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60"/>
        <w:spacing w:after="0"/>
        <w:rPr>
          <w:sz w:val="20"/>
          <w:szCs w:val="20"/>
          <w:color w:val="auto"/>
        </w:rPr>
      </w:pPr>
      <w:r>
        <w:rPr>
          <w:rFonts w:ascii="Courier New" w:cs="Courier New" w:eastAsia="Courier New" w:hAnsi="Courier New"/>
          <w:sz w:val="16"/>
          <w:szCs w:val="16"/>
          <w:color w:val="auto"/>
        </w:rPr>
        <w:t>FORM 6-K</w:t>
      </w:r>
    </w:p>
    <w:p>
      <w:pPr>
        <w:spacing w:after="0" w:line="200" w:lineRule="exact"/>
        <w:rPr>
          <w:sz w:val="24"/>
          <w:szCs w:val="24"/>
          <w:color w:val="auto"/>
        </w:rPr>
      </w:pPr>
    </w:p>
    <w:p>
      <w:pPr>
        <w:spacing w:after="0" w:line="358" w:lineRule="exact"/>
        <w:rPr>
          <w:sz w:val="24"/>
          <w:szCs w:val="24"/>
          <w:color w:val="auto"/>
        </w:rPr>
      </w:pPr>
    </w:p>
    <w:p>
      <w:pPr>
        <w:ind w:left="22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00" w:lineRule="exact"/>
        <w:rPr>
          <w:sz w:val="24"/>
          <w:szCs w:val="24"/>
          <w:color w:val="auto"/>
        </w:rPr>
      </w:pPr>
    </w:p>
    <w:p>
      <w:pPr>
        <w:spacing w:after="0" w:line="358"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5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Pursuant to Rule 13a - 16 under</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373" w:lineRule="exact"/>
        <w:rPr>
          <w:sz w:val="24"/>
          <w:szCs w:val="24"/>
          <w:color w:val="auto"/>
        </w:rPr>
      </w:pPr>
    </w:p>
    <w:p>
      <w:pPr>
        <w:ind w:left="1540"/>
        <w:spacing w:after="0"/>
        <w:rPr>
          <w:sz w:val="20"/>
          <w:szCs w:val="20"/>
          <w:color w:val="auto"/>
        </w:rPr>
      </w:pPr>
      <w:r>
        <w:rPr>
          <w:rFonts w:ascii="Courier New" w:cs="Courier New" w:eastAsia="Courier New" w:hAnsi="Courier New"/>
          <w:sz w:val="16"/>
          <w:szCs w:val="16"/>
          <w:color w:val="auto"/>
        </w:rPr>
        <w:t>For the quarterly period ended September 30, 2006</w:t>
      </w:r>
    </w:p>
    <w:p>
      <w:pPr>
        <w:spacing w:after="0" w:line="373"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ICON plc</w:t>
      </w:r>
    </w:p>
    <w:p>
      <w:pPr>
        <w:spacing w:after="0" w:line="4"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(Registrant's name)</w:t>
      </w:r>
    </w:p>
    <w:p>
      <w:pPr>
        <w:spacing w:after="0" w:line="373"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0-29714</w:t>
      </w:r>
    </w:p>
    <w:p>
      <w:pPr>
        <w:spacing w:after="0" w:line="4"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(Commission file number)</w:t>
      </w:r>
    </w:p>
    <w:p>
      <w:pPr>
        <w:spacing w:after="0" w:line="373"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South County Business Park, Leopardstown, Dublin 18, Ireland.</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375" w:lineRule="exact"/>
        <w:rPr>
          <w:sz w:val="24"/>
          <w:szCs w:val="24"/>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87" w:lineRule="exact"/>
        <w:rPr>
          <w:sz w:val="24"/>
          <w:szCs w:val="24"/>
          <w:color w:val="auto"/>
        </w:rPr>
      </w:pPr>
    </w:p>
    <w:p>
      <w:pPr>
        <w:ind w:left="2980"/>
        <w:spacing w:after="0"/>
        <w:tabs>
          <w:tab w:leader="none" w:pos="4020" w:val="left"/>
        </w:tabs>
        <w:rPr>
          <w:sz w:val="20"/>
          <w:szCs w:val="20"/>
          <w:color w:val="auto"/>
        </w:rPr>
      </w:pPr>
      <w:r>
        <w:rPr>
          <w:rFonts w:ascii="Courier New" w:cs="Courier New" w:eastAsia="Courier New" w:hAnsi="Courier New"/>
          <w:sz w:val="16"/>
          <w:szCs w:val="16"/>
          <w:color w:val="auto"/>
        </w:rPr>
        <w:t>Yes__X__</w:t>
      </w:r>
      <w:r>
        <w:rPr>
          <w:sz w:val="20"/>
          <w:szCs w:val="20"/>
          <w:color w:val="auto"/>
        </w:rPr>
        <w:tab/>
      </w:r>
      <w:r>
        <w:rPr>
          <w:rFonts w:ascii="Courier New" w:cs="Courier New" w:eastAsia="Courier New" w:hAnsi="Courier New"/>
          <w:sz w:val="16"/>
          <w:szCs w:val="16"/>
          <w:color w:val="auto"/>
        </w:rPr>
        <w:t>No____</w:t>
      </w:r>
    </w:p>
    <w:p>
      <w:pPr>
        <w:spacing w:after="0" w:line="190" w:lineRule="exact"/>
        <w:rPr>
          <w:sz w:val="24"/>
          <w:szCs w:val="24"/>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101(b)(1):</w:t>
      </w:r>
    </w:p>
    <w:p>
      <w:pPr>
        <w:spacing w:after="0" w:line="187" w:lineRule="exact"/>
        <w:rPr>
          <w:sz w:val="24"/>
          <w:szCs w:val="24"/>
          <w:color w:val="auto"/>
        </w:rPr>
      </w:pPr>
    </w:p>
    <w:p>
      <w:pPr>
        <w:ind w:left="2980"/>
        <w:spacing w:after="0"/>
        <w:tabs>
          <w:tab w:leader="none" w:pos="4020" w:val="left"/>
        </w:tabs>
        <w:rPr>
          <w:sz w:val="20"/>
          <w:szCs w:val="20"/>
          <w:color w:val="auto"/>
        </w:rPr>
      </w:pPr>
      <w:r>
        <w:rPr>
          <w:rFonts w:ascii="Courier New" w:cs="Courier New" w:eastAsia="Courier New" w:hAnsi="Courier New"/>
          <w:sz w:val="16"/>
          <w:szCs w:val="16"/>
          <w:color w:val="auto"/>
        </w:rPr>
        <w:t>Yes____</w:t>
      </w:r>
      <w:r>
        <w:rPr>
          <w:sz w:val="20"/>
          <w:szCs w:val="20"/>
          <w:color w:val="auto"/>
        </w:rPr>
        <w:tab/>
      </w:r>
      <w:r>
        <w:rPr>
          <w:rFonts w:ascii="Courier New" w:cs="Courier New" w:eastAsia="Courier New" w:hAnsi="Courier New"/>
          <w:sz w:val="15"/>
          <w:szCs w:val="15"/>
          <w:color w:val="auto"/>
        </w:rPr>
        <w:t>No__X__</w:t>
      </w:r>
    </w:p>
    <w:p>
      <w:pPr>
        <w:spacing w:after="0" w:line="190" w:lineRule="exact"/>
        <w:rPr>
          <w:sz w:val="24"/>
          <w:szCs w:val="24"/>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101(b)(7):</w:t>
      </w:r>
    </w:p>
    <w:p>
      <w:pPr>
        <w:spacing w:after="0" w:line="187" w:lineRule="exact"/>
        <w:rPr>
          <w:sz w:val="24"/>
          <w:szCs w:val="24"/>
          <w:color w:val="auto"/>
        </w:rPr>
      </w:pPr>
    </w:p>
    <w:p>
      <w:pPr>
        <w:ind w:left="2980"/>
        <w:spacing w:after="0"/>
        <w:tabs>
          <w:tab w:leader="none" w:pos="4020" w:val="left"/>
        </w:tabs>
        <w:rPr>
          <w:sz w:val="20"/>
          <w:szCs w:val="20"/>
          <w:color w:val="auto"/>
        </w:rPr>
      </w:pPr>
      <w:r>
        <w:rPr>
          <w:rFonts w:ascii="Courier New" w:cs="Courier New" w:eastAsia="Courier New" w:hAnsi="Courier New"/>
          <w:sz w:val="16"/>
          <w:szCs w:val="16"/>
          <w:color w:val="auto"/>
        </w:rPr>
        <w:t>Yes____</w:t>
      </w:r>
      <w:r>
        <w:rPr>
          <w:sz w:val="20"/>
          <w:szCs w:val="20"/>
          <w:color w:val="auto"/>
        </w:rPr>
        <w:tab/>
      </w:r>
      <w:r>
        <w:rPr>
          <w:rFonts w:ascii="Courier New" w:cs="Courier New" w:eastAsia="Courier New" w:hAnsi="Courier New"/>
          <w:sz w:val="15"/>
          <w:szCs w:val="15"/>
          <w:color w:val="auto"/>
        </w:rPr>
        <w:t>No__X__</w:t>
      </w:r>
    </w:p>
    <w:p>
      <w:pPr>
        <w:spacing w:after="0" w:line="190" w:lineRule="exact"/>
        <w:rPr>
          <w:sz w:val="24"/>
          <w:szCs w:val="24"/>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0" w:lineRule="exact"/>
        <w:rPr>
          <w:sz w:val="24"/>
          <w:szCs w:val="24"/>
          <w:color w:val="auto"/>
        </w:rPr>
      </w:pPr>
    </w:p>
    <w:p>
      <w:pPr>
        <w:ind w:left="2980"/>
        <w:spacing w:after="0"/>
        <w:tabs>
          <w:tab w:leader="none" w:pos="4020" w:val="left"/>
        </w:tabs>
        <w:rPr>
          <w:sz w:val="20"/>
          <w:szCs w:val="20"/>
          <w:color w:val="auto"/>
        </w:rPr>
      </w:pPr>
      <w:r>
        <w:rPr>
          <w:rFonts w:ascii="Courier New" w:cs="Courier New" w:eastAsia="Courier New" w:hAnsi="Courier New"/>
          <w:sz w:val="16"/>
          <w:szCs w:val="16"/>
          <w:color w:val="auto"/>
        </w:rPr>
        <w:t>Yes____</w:t>
      </w:r>
      <w:r>
        <w:rPr>
          <w:sz w:val="20"/>
          <w:szCs w:val="20"/>
          <w:color w:val="auto"/>
        </w:rPr>
        <w:tab/>
      </w:r>
      <w:r>
        <w:rPr>
          <w:rFonts w:ascii="Courier New" w:cs="Courier New" w:eastAsia="Courier New" w:hAnsi="Courier New"/>
          <w:sz w:val="15"/>
          <w:szCs w:val="15"/>
          <w:color w:val="auto"/>
        </w:rPr>
        <w:t>No__X__</w:t>
      </w:r>
    </w:p>
    <w:p>
      <w:pPr>
        <w:spacing w:after="0" w:line="190" w:lineRule="exact"/>
        <w:rPr>
          <w:sz w:val="24"/>
          <w:szCs w:val="24"/>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ICON plc</w:t>
      </w:r>
    </w:p>
    <w:p>
      <w:pPr>
        <w:spacing w:after="0" w:line="188" w:lineRule="exact"/>
        <w:rPr>
          <w:sz w:val="24"/>
          <w:szCs w:val="24"/>
          <w:color w:val="auto"/>
        </w:rPr>
      </w:pPr>
    </w:p>
    <w:p>
      <w:pPr>
        <w:ind w:left="1920"/>
        <w:spacing w:after="0"/>
        <w:rPr>
          <w:sz w:val="20"/>
          <w:szCs w:val="20"/>
          <w:color w:val="auto"/>
        </w:rPr>
      </w:pPr>
      <w:r>
        <w:rPr>
          <w:rFonts w:ascii="Courier New" w:cs="Courier New" w:eastAsia="Courier New" w:hAnsi="Courier New"/>
          <w:sz w:val="16"/>
          <w:szCs w:val="16"/>
          <w:color w:val="auto"/>
        </w:rPr>
        <w:t>Quarterly Period Ended September 30, 2006</w:t>
      </w:r>
    </w:p>
    <w:p>
      <w:pPr>
        <w:spacing w:after="0" w:line="373" w:lineRule="exact"/>
        <w:rPr>
          <w:sz w:val="24"/>
          <w:szCs w:val="24"/>
          <w:color w:val="auto"/>
        </w:rPr>
      </w:pPr>
    </w:p>
    <w:p>
      <w:pPr>
        <w:spacing w:after="0"/>
        <w:tabs>
          <w:tab w:leader="none" w:pos="7280" w:val="left"/>
        </w:tabs>
        <w:rPr>
          <w:sz w:val="20"/>
          <w:szCs w:val="20"/>
          <w:color w:val="auto"/>
        </w:rPr>
      </w:pPr>
      <w:r>
        <w:rPr>
          <w:rFonts w:ascii="Courier New" w:cs="Courier New" w:eastAsia="Courier New" w:hAnsi="Courier New"/>
          <w:sz w:val="16"/>
          <w:szCs w:val="16"/>
          <w:color w:val="auto"/>
        </w:rPr>
        <w:t>CONTENTS</w:t>
      </w:r>
      <w:r>
        <w:rPr>
          <w:sz w:val="20"/>
          <w:szCs w:val="20"/>
          <w:color w:val="auto"/>
        </w:rPr>
        <w:tab/>
      </w:r>
      <w:r>
        <w:rPr>
          <w:rFonts w:ascii="Courier New" w:cs="Courier New" w:eastAsia="Courier New" w:hAnsi="Courier New"/>
          <w:sz w:val="15"/>
          <w:szCs w:val="15"/>
          <w:color w:val="auto"/>
        </w:rPr>
        <w:t>Page</w:t>
      </w:r>
    </w:p>
    <w:p>
      <w:pPr>
        <w:spacing w:after="0" w:line="373" w:lineRule="exact"/>
        <w:rPr>
          <w:sz w:val="24"/>
          <w:szCs w:val="24"/>
          <w:color w:val="auto"/>
        </w:rPr>
      </w:pPr>
    </w:p>
    <w:p>
      <w:pPr>
        <w:spacing w:after="0"/>
        <w:tabs>
          <w:tab w:leader="dot" w:pos="7480" w:val="left"/>
        </w:tabs>
        <w:rPr>
          <w:sz w:val="20"/>
          <w:szCs w:val="20"/>
          <w:color w:val="auto"/>
        </w:rPr>
      </w:pPr>
      <w:r>
        <w:rPr>
          <w:rFonts w:ascii="Courier New" w:cs="Courier New" w:eastAsia="Courier New" w:hAnsi="Courier New"/>
          <w:sz w:val="16"/>
          <w:szCs w:val="16"/>
          <w:color w:val="auto"/>
        </w:rPr>
        <w:t>General</w:t>
      </w:r>
      <w:r>
        <w:rPr>
          <w:sz w:val="20"/>
          <w:szCs w:val="20"/>
          <w:color w:val="auto"/>
        </w:rPr>
        <w:tab/>
      </w:r>
      <w:r>
        <w:rPr>
          <w:rFonts w:ascii="Courier New" w:cs="Courier New" w:eastAsia="Courier New" w:hAnsi="Courier New"/>
          <w:sz w:val="13"/>
          <w:szCs w:val="13"/>
          <w:color w:val="auto"/>
        </w:rPr>
        <w:t>2</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Sheets as at</w:t>
      </w:r>
    </w:p>
    <w:p>
      <w:pPr>
        <w:spacing w:after="0" w:line="4" w:lineRule="exact"/>
        <w:rPr>
          <w:sz w:val="24"/>
          <w:szCs w:val="24"/>
          <w:color w:val="auto"/>
        </w:rPr>
      </w:pPr>
    </w:p>
    <w:p>
      <w:pPr>
        <w:spacing w:after="0"/>
        <w:tabs>
          <w:tab w:leader="dot" w:pos="7480" w:val="left"/>
        </w:tabs>
        <w:rPr>
          <w:sz w:val="20"/>
          <w:szCs w:val="20"/>
          <w:color w:val="auto"/>
        </w:rPr>
      </w:pPr>
      <w:r>
        <w:rPr>
          <w:rFonts w:ascii="Courier New" w:cs="Courier New" w:eastAsia="Courier New" w:hAnsi="Courier New"/>
          <w:sz w:val="16"/>
          <w:szCs w:val="16"/>
          <w:color w:val="auto"/>
        </w:rPr>
        <w:t>September 30, 2006 and December 31, 2005</w:t>
      </w:r>
      <w:r>
        <w:rPr>
          <w:sz w:val="20"/>
          <w:szCs w:val="20"/>
          <w:color w:val="auto"/>
        </w:rPr>
        <w:tab/>
      </w:r>
      <w:r>
        <w:rPr>
          <w:rFonts w:ascii="Courier New" w:cs="Courier New" w:eastAsia="Courier New" w:hAnsi="Courier New"/>
          <w:sz w:val="13"/>
          <w:szCs w:val="13"/>
          <w:color w:val="auto"/>
        </w:rPr>
        <w:t>3</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Operations for the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three and nine months ended September 30, 2006 and the</w:t>
      </w:r>
    </w:p>
    <w:p>
      <w:pPr>
        <w:spacing w:after="0" w:line="4" w:lineRule="exact"/>
        <w:rPr>
          <w:sz w:val="24"/>
          <w:szCs w:val="24"/>
          <w:color w:val="auto"/>
        </w:rPr>
      </w:pPr>
    </w:p>
    <w:p>
      <w:pPr>
        <w:spacing w:after="0"/>
        <w:tabs>
          <w:tab w:leader="dot" w:pos="7480" w:val="left"/>
        </w:tabs>
        <w:rPr>
          <w:sz w:val="20"/>
          <w:szCs w:val="20"/>
          <w:color w:val="auto"/>
        </w:rPr>
      </w:pPr>
      <w:r>
        <w:rPr>
          <w:rFonts w:ascii="Courier New" w:cs="Courier New" w:eastAsia="Courier New" w:hAnsi="Courier New"/>
          <w:sz w:val="16"/>
          <w:szCs w:val="16"/>
          <w:color w:val="auto"/>
        </w:rPr>
        <w:t>three and nine months ended August 31, 2005</w:t>
      </w:r>
      <w:r>
        <w:rPr>
          <w:sz w:val="20"/>
          <w:szCs w:val="20"/>
          <w:color w:val="auto"/>
        </w:rPr>
        <w:tab/>
      </w:r>
      <w:r>
        <w:rPr>
          <w:rFonts w:ascii="Courier New" w:cs="Courier New" w:eastAsia="Courier New" w:hAnsi="Courier New"/>
          <w:sz w:val="13"/>
          <w:szCs w:val="13"/>
          <w:color w:val="auto"/>
        </w:rPr>
        <w:t>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Cash Flows for the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nine months ended September 30, 2006 and the nine months</w:t>
      </w:r>
    </w:p>
    <w:p>
      <w:pPr>
        <w:spacing w:after="0" w:line="4" w:lineRule="exact"/>
        <w:rPr>
          <w:sz w:val="24"/>
          <w:szCs w:val="24"/>
          <w:color w:val="auto"/>
        </w:rPr>
      </w:pPr>
    </w:p>
    <w:p>
      <w:pPr>
        <w:spacing w:after="0"/>
        <w:tabs>
          <w:tab w:leader="dot" w:pos="7480" w:val="left"/>
        </w:tabs>
        <w:rPr>
          <w:sz w:val="20"/>
          <w:szCs w:val="20"/>
          <w:color w:val="auto"/>
        </w:rPr>
      </w:pPr>
      <w:r>
        <w:rPr>
          <w:rFonts w:ascii="Courier New" w:cs="Courier New" w:eastAsia="Courier New" w:hAnsi="Courier New"/>
          <w:sz w:val="16"/>
          <w:szCs w:val="16"/>
          <w:color w:val="auto"/>
        </w:rPr>
        <w:t>ended August 31, 2005</w:t>
      </w:r>
      <w:r>
        <w:rPr>
          <w:sz w:val="20"/>
          <w:szCs w:val="20"/>
          <w:color w:val="auto"/>
        </w:rPr>
        <w:tab/>
      </w:r>
      <w:r>
        <w:rPr>
          <w:rFonts w:ascii="Courier New" w:cs="Courier New" w:eastAsia="Courier New" w:hAnsi="Courier New"/>
          <w:sz w:val="13"/>
          <w:szCs w:val="13"/>
          <w:color w:val="auto"/>
        </w:rPr>
        <w:t>5</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Shareholders' Equity</w:t>
      </w:r>
    </w:p>
    <w:p>
      <w:pPr>
        <w:spacing w:after="0" w:line="4" w:lineRule="exact"/>
        <w:rPr>
          <w:sz w:val="24"/>
          <w:szCs w:val="24"/>
          <w:color w:val="auto"/>
        </w:rPr>
      </w:pPr>
    </w:p>
    <w:p>
      <w:pPr>
        <w:spacing w:after="0"/>
        <w:tabs>
          <w:tab w:leader="dot" w:pos="7480" w:val="left"/>
        </w:tabs>
        <w:rPr>
          <w:sz w:val="20"/>
          <w:szCs w:val="20"/>
          <w:color w:val="auto"/>
        </w:rPr>
      </w:pPr>
      <w:r>
        <w:rPr>
          <w:rFonts w:ascii="Courier New" w:cs="Courier New" w:eastAsia="Courier New" w:hAnsi="Courier New"/>
          <w:sz w:val="16"/>
          <w:szCs w:val="16"/>
          <w:color w:val="auto"/>
        </w:rPr>
        <w:t>and Comprehensive Income</w:t>
      </w:r>
      <w:r>
        <w:rPr>
          <w:sz w:val="20"/>
          <w:szCs w:val="20"/>
          <w:color w:val="auto"/>
        </w:rPr>
        <w:tab/>
      </w:r>
      <w:r>
        <w:rPr>
          <w:rFonts w:ascii="Courier New" w:cs="Courier New" w:eastAsia="Courier New" w:hAnsi="Courier New"/>
          <w:sz w:val="13"/>
          <w:szCs w:val="13"/>
          <w:color w:val="auto"/>
        </w:rPr>
        <w:t>6</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Notes to the Condensed Consolidated Financial</w:t>
      </w:r>
    </w:p>
    <w:p>
      <w:pPr>
        <w:spacing w:after="0" w:line="4" w:lineRule="exact"/>
        <w:rPr>
          <w:sz w:val="24"/>
          <w:szCs w:val="24"/>
          <w:color w:val="auto"/>
        </w:rPr>
      </w:pPr>
    </w:p>
    <w:p>
      <w:pPr>
        <w:spacing w:after="0"/>
        <w:tabs>
          <w:tab w:leader="dot" w:pos="748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3"/>
          <w:szCs w:val="13"/>
          <w:color w:val="auto"/>
        </w:rPr>
        <w:t>7</w:t>
      </w:r>
    </w:p>
    <w:p>
      <w:pPr>
        <w:sectPr>
          <w:pgSz w:w="11900" w:h="16838" w:orient="portrait"/>
          <w:cols w:equalWidth="0" w:num="1">
            <w:col w:w="10219"/>
          </w:cols>
          <w:pgMar w:left="240" w:top="60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Financial Condition and Results of Operations</w:t>
      </w:r>
      <w:r>
        <w:rPr>
          <w:sz w:val="20"/>
          <w:szCs w:val="20"/>
          <w:color w:val="auto"/>
        </w:rPr>
        <w:tab/>
      </w:r>
      <w:r>
        <w:rPr>
          <w:rFonts w:ascii="Courier New" w:cs="Courier New" w:eastAsia="Courier New" w:hAnsi="Courier New"/>
          <w:sz w:val="15"/>
          <w:szCs w:val="15"/>
          <w:color w:val="auto"/>
        </w:rPr>
        <w:t>14</w:t>
      </w:r>
    </w:p>
    <w:p>
      <w:pPr>
        <w:spacing w:after="0" w:line="188"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Signature Page</w:t>
      </w:r>
      <w:r>
        <w:rPr>
          <w:sz w:val="20"/>
          <w:szCs w:val="20"/>
          <w:color w:val="auto"/>
        </w:rPr>
        <w:tab/>
      </w:r>
      <w:r>
        <w:rPr>
          <w:rFonts w:ascii="Courier New" w:cs="Courier New" w:eastAsia="Courier New" w:hAnsi="Courier New"/>
          <w:sz w:val="15"/>
          <w:szCs w:val="15"/>
          <w:color w:val="auto"/>
        </w:rPr>
        <w:t>20</w:t>
      </w:r>
    </w:p>
    <w:p>
      <w:pPr>
        <w:sectPr>
          <w:pgSz w:w="11900" w:h="16838" w:orient="portrait"/>
          <w:cols w:equalWidth="0" w:num="1">
            <w:col w:w="10219"/>
          </w:cols>
          <w:pgMar w:left="240" w:top="140" w:right="1440" w:bottom="1440" w:gutter="0" w:footer="0" w:header="0"/>
        </w:sectPr>
      </w:pPr>
    </w:p>
    <w:bookmarkStart w:id="2" w:name="page3"/>
    <w:bookmarkEnd w:id="2"/>
    <w:p>
      <w:pPr>
        <w:ind w:left="3460"/>
        <w:spacing w:after="0"/>
        <w:rPr>
          <w:sz w:val="20"/>
          <w:szCs w:val="20"/>
          <w:color w:val="auto"/>
        </w:rPr>
      </w:pPr>
      <w:r>
        <w:rPr>
          <w:rFonts w:ascii="Courier New" w:cs="Courier New" w:eastAsia="Courier New" w:hAnsi="Courier New"/>
          <w:sz w:val="16"/>
          <w:szCs w:val="16"/>
          <w:color w:val="auto"/>
        </w:rPr>
        <w:t>ICON plc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Rider A</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5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jc w:val="both"/>
        <w:ind w:right="2539"/>
        <w:spacing w:after="0" w:line="242" w:lineRule="auto"/>
        <w:rPr>
          <w:sz w:val="20"/>
          <w:szCs w:val="20"/>
          <w:color w:val="auto"/>
        </w:rPr>
      </w:pPr>
      <w:r>
        <w:rPr>
          <w:rFonts w:ascii="Courier New" w:cs="Courier New" w:eastAsia="Courier New" w:hAnsi="Courier New"/>
          <w:sz w:val="16"/>
          <w:szCs w:val="16"/>
          <w:color w:val="auto"/>
        </w:rPr>
        <w:t>As used herein, "ICON", the "Company" and "we" refer to ICON plc and its consolidated subsidiaries, unless the context requires otherwise.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190" w:lineRule="exact"/>
        <w:rPr>
          <w:sz w:val="20"/>
          <w:szCs w:val="20"/>
          <w:color w:val="auto"/>
        </w:rPr>
      </w:pPr>
    </w:p>
    <w:p>
      <w:pPr>
        <w:jc w:val="both"/>
        <w:ind w:right="2539"/>
        <w:spacing w:after="0" w:line="262"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4,000 employees worldwide, with operations in 48 locations in 30 countries, including the United States and major markets in Europe and Rest of World. For the nine months ended September 30, 2006, we derived approximately 60.7%, 32.3%, and 7.0% of our net revenue in the United States, Europe and Rest of World, respectively.</w:t>
      </w:r>
    </w:p>
    <w:p>
      <w:pPr>
        <w:spacing w:after="0" w:line="176" w:lineRule="exact"/>
        <w:rPr>
          <w:sz w:val="20"/>
          <w:szCs w:val="20"/>
          <w:color w:val="auto"/>
        </w:rPr>
      </w:pPr>
    </w:p>
    <w:p>
      <w:pPr>
        <w:jc w:val="both"/>
        <w:ind w:right="2539"/>
        <w:spacing w:after="0" w:line="242" w:lineRule="auto"/>
        <w:rPr>
          <w:sz w:val="20"/>
          <w:szCs w:val="20"/>
          <w:color w:val="auto"/>
        </w:rPr>
      </w:pPr>
      <w:r>
        <w:rPr>
          <w:rFonts w:ascii="Courier New" w:cs="Courier New" w:eastAsia="Courier New" w:hAnsi="Courier New"/>
          <w:sz w:val="16"/>
          <w:szCs w:val="16"/>
          <w:color w:val="auto"/>
        </w:rPr>
        <w:t>Headquartered in Dublin, Ireland, we began operations in 1990 and have expanded our business through internal growth and strategic acquisitions.</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July 27, 2005 the Board of Directors of the Company approved a change of the Company's fiscal year-end from a twelve-month period ending on May 31 to a twelve-month period ending on December 31. The Company made this change in order to align its fiscal year end with the majority of other contract research organizations. As a requirement of this change, the Company reported results for the seven-month period from June 1, 2005 to December 31, 2005 as a separate transition period in a Transition Report filed on Form 20-F. From January 1, 2006, the Company's fiscal quarters will end on the last day of March, June, September and December of each year. Information set out in this report is for the three and nine months ending September 30, 2006. Comparative income statement and cash flow information, together with related notes, is for the three and nine months ending August 31, 2005. Comparative balance sheet information and related notes are stated as at December 31, 2005.</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September 29, 2006, ICON's shareholders approved a bonus issue of ordinary shares (the "Bonus Issue") to shareholders of record as of the close of business on October 13, 2006 (the "Record Date"). The Bonus Issue provides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following unaudited condensed consolidated financial statements and the notes thereto give effect to the Bonus Issue as if had occurred as of the date referenced.</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5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7500" w:type="dxa"/>
            <w:vAlign w:val="bottom"/>
          </w:tcPr>
          <w:p>
            <w:pPr>
              <w:jc w:val="right"/>
              <w:ind w:right="3200"/>
              <w:spacing w:after="0"/>
              <w:rPr>
                <w:sz w:val="20"/>
                <w:szCs w:val="20"/>
                <w:color w:val="auto"/>
              </w:rPr>
            </w:pPr>
            <w:r>
              <w:rPr>
                <w:rFonts w:ascii="Courier New" w:cs="Courier New" w:eastAsia="Courier New" w:hAnsi="Courier New"/>
                <w:sz w:val="16"/>
                <w:szCs w:val="16"/>
                <w:color w:val="auto"/>
              </w:rPr>
              <w:t>ICON plc</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0"/>
        </w:trPr>
        <w:tc>
          <w:tcPr>
            <w:tcW w:w="7500" w:type="dxa"/>
            <w:vAlign w:val="bottom"/>
          </w:tcPr>
          <w:p>
            <w:pPr>
              <w:jc w:val="right"/>
              <w:ind w:right="1760"/>
              <w:spacing w:after="0"/>
              <w:rPr>
                <w:sz w:val="20"/>
                <w:szCs w:val="20"/>
                <w:color w:val="auto"/>
              </w:rPr>
            </w:pPr>
            <w:r>
              <w:rPr>
                <w:rFonts w:ascii="Courier New" w:cs="Courier New" w:eastAsia="Courier New" w:hAnsi="Courier New"/>
                <w:sz w:val="16"/>
                <w:szCs w:val="16"/>
                <w:color w:val="auto"/>
              </w:rPr>
              <w:t>CONDENSED CONSOLIDATED BALANCE SHEETS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7500" w:type="dxa"/>
            <w:vAlign w:val="bottom"/>
          </w:tcPr>
          <w:p>
            <w:pPr>
              <w:jc w:val="right"/>
              <w:ind w:right="1360"/>
              <w:spacing w:after="0"/>
              <w:rPr>
                <w:sz w:val="20"/>
                <w:szCs w:val="20"/>
                <w:color w:val="auto"/>
              </w:rPr>
            </w:pPr>
            <w:r>
              <w:rPr>
                <w:rFonts w:ascii="Courier New" w:cs="Courier New" w:eastAsia="Courier New" w:hAnsi="Courier New"/>
                <w:sz w:val="16"/>
                <w:szCs w:val="16"/>
                <w:color w:val="auto"/>
              </w:rPr>
              <w:t>AS AT SEPTEMBER 30, 2006 AND DECEMBER 31, 2005</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0"/>
        </w:trPr>
        <w:tc>
          <w:tcPr>
            <w:tcW w:w="7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(Unaudited)</w:t>
            </w:r>
          </w:p>
        </w:tc>
        <w:tc>
          <w:tcPr>
            <w:tcW w:w="2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(Audited)</w:t>
            </w:r>
          </w:p>
        </w:tc>
      </w:tr>
      <w:tr>
        <w:trPr>
          <w:trHeight w:val="185"/>
        </w:trPr>
        <w:tc>
          <w:tcPr>
            <w:tcW w:w="750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September 30,</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2006</w:t>
            </w:r>
          </w:p>
        </w:tc>
        <w:tc>
          <w:tcPr>
            <w:tcW w:w="24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2005</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3"/>
          </w:tcPr>
          <w:p>
            <w:pPr>
              <w:jc w:val="right"/>
              <w:ind w:right="5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54,888</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59,509</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Short term investments - available for sale ...............................</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39,822</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22,809</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receivable........................................................</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101,124</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71,450</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Unbilled revenue...........................................................</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76,826</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62,270</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receivables..........................................................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6,052</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6,435</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tax asset.........................................................</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2,280</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1,554</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Prepayments and other current assets.......................................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14,345</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11,089</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295,337</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235,116</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Property, plant and equipment, net.........................................</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58,397</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47,652</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Goodwill...................................................................</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77,285</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65,731</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Non-current deferred tax asset.............................................</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97</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452</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Intangible assets..........................................................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116</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Assets.................................................................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431,137</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349,067</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75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7,661</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7,575</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Payments on account........................................................</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71,156</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50,211</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liabilities..........................................................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50,096</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33,184</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tax liability.....................................................</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558</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682</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Bank credit lines and loan facilities......................................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4,000</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4,856</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Income taxes payable.......................................................</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8,334</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6,296</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141,805</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102,804</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Long term government grants................................................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1,166</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1,160</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Long term finance leases...................................................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193</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152</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Non-current deferred tax liability.........................................</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2,632</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2,499</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1,015</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894</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146,811</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107,509</w:t>
            </w:r>
          </w:p>
        </w:tc>
      </w:tr>
      <w:tr>
        <w:trPr>
          <w:trHeight w:val="370"/>
        </w:trPr>
        <w:tc>
          <w:tcPr>
            <w:tcW w:w="75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750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Ordinary shares, par value 6 euro cents per share; 40,000,000 shares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7500" w:type="dxa"/>
            <w:vAlign w:val="bottom"/>
          </w:tcPr>
          <w:p>
            <w:pPr>
              <w:ind w:left="280"/>
              <w:spacing w:after="0"/>
              <w:rPr>
                <w:sz w:val="20"/>
                <w:szCs w:val="20"/>
                <w:color w:val="auto"/>
              </w:rPr>
            </w:pPr>
            <w:r>
              <w:rPr>
                <w:rFonts w:ascii="Courier New" w:cs="Courier New" w:eastAsia="Courier New" w:hAnsi="Courier New"/>
                <w:sz w:val="16"/>
                <w:szCs w:val="16"/>
                <w:color w:val="auto"/>
              </w:rPr>
              <w:t>authorized, 28,475,118 shares issued and outstanding at September 30,</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7500" w:type="dxa"/>
            <w:vAlign w:val="bottom"/>
          </w:tcPr>
          <w:p>
            <w:pPr>
              <w:ind w:left="280"/>
              <w:spacing w:after="0"/>
              <w:rPr>
                <w:sz w:val="20"/>
                <w:szCs w:val="20"/>
                <w:color w:val="auto"/>
              </w:rPr>
            </w:pPr>
            <w:r>
              <w:rPr>
                <w:rFonts w:ascii="Courier New" w:cs="Courier New" w:eastAsia="Courier New" w:hAnsi="Courier New"/>
                <w:sz w:val="16"/>
                <w:szCs w:val="16"/>
                <w:color w:val="auto"/>
              </w:rPr>
              <w:t>2006 and 28,036,184 shares issued and outstanding at December 31, 2005</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2,097</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993</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Additional paid-in capital.................................................</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131,209</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123,333</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Accumulated other comprehensive income.....................................</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10,265</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3,409</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Retained earnings..........................................................</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140,755</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113,823</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Shareholders' Equity...................................................</w:t>
            </w:r>
          </w:p>
        </w:tc>
        <w:tc>
          <w:tcPr>
            <w:tcW w:w="18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284,326</w:t>
            </w: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241,558</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75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Liabilities and Shareholders' Equity...................................</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431,137</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349,067</w:t>
            </w:r>
          </w:p>
        </w:tc>
      </w:tr>
      <w:tr>
        <w:trPr>
          <w:trHeight w:val="185"/>
        </w:trPr>
        <w:tc>
          <w:tcPr>
            <w:tcW w:w="75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bl>
    <w:p>
      <w:pPr>
        <w:spacing w:after="0" w:line="19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22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5820" w:type="dxa"/>
            <w:vAlign w:val="bottom"/>
          </w:tcPr>
          <w:p>
            <w:pPr>
              <w:jc w:val="right"/>
              <w:ind w:right="1520"/>
              <w:spacing w:after="0"/>
              <w:rPr>
                <w:sz w:val="20"/>
                <w:szCs w:val="20"/>
                <w:color w:val="auto"/>
              </w:rPr>
            </w:pPr>
            <w:r>
              <w:rPr>
                <w:rFonts w:ascii="Courier New" w:cs="Courier New" w:eastAsia="Courier New" w:hAnsi="Courier New"/>
                <w:sz w:val="16"/>
                <w:szCs w:val="16"/>
                <w:color w:val="auto"/>
              </w:rPr>
              <w:t>ICON plc</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70"/>
        </w:trPr>
        <w:tc>
          <w:tcPr>
            <w:tcW w:w="6140" w:type="dxa"/>
            <w:vAlign w:val="bottom"/>
            <w:gridSpan w:val="2"/>
          </w:tcPr>
          <w:p>
            <w:pPr>
              <w:ind w:left="1640"/>
              <w:spacing w:after="0"/>
              <w:rPr>
                <w:sz w:val="20"/>
                <w:szCs w:val="20"/>
                <w:color w:val="auto"/>
              </w:rPr>
            </w:pPr>
            <w:r>
              <w:rPr>
                <w:rFonts w:ascii="Courier New" w:cs="Courier New" w:eastAsia="Courier New" w:hAnsi="Courier New"/>
                <w:sz w:val="16"/>
                <w:szCs w:val="16"/>
                <w:color w:val="auto"/>
                <w:w w:val="99"/>
              </w:rPr>
              <w:t>CONDENSED CONSOLIDATED STATEMENTS OF OPERATIONS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7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FOR THE THREE AND NINE MONTHS ENDED SEPTEMBER 30, 2006 AND AUGUST 31, 2005</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820" w:type="dxa"/>
            <w:vAlign w:val="bottom"/>
          </w:tcPr>
          <w:p>
            <w:pPr>
              <w:jc w:val="right"/>
              <w:ind w:right="1320"/>
              <w:spacing w:after="0"/>
              <w:rPr>
                <w:sz w:val="20"/>
                <w:szCs w:val="20"/>
                <w:color w:val="auto"/>
              </w:rPr>
            </w:pPr>
            <w:r>
              <w:rPr>
                <w:rFonts w:ascii="Courier New" w:cs="Courier New" w:eastAsia="Courier New" w:hAnsi="Courier New"/>
                <w:sz w:val="16"/>
                <w:szCs w:val="16"/>
                <w:color w:val="auto"/>
              </w:rPr>
              <w:t>(UNAUDITED)</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0"/>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3"/>
          </w:tcPr>
          <w:p>
            <w:pPr>
              <w:jc w:val="right"/>
              <w:ind w:right="600"/>
              <w:spacing w:after="0"/>
              <w:rPr>
                <w:sz w:val="20"/>
                <w:szCs w:val="20"/>
                <w:color w:val="auto"/>
              </w:rPr>
            </w:pPr>
            <w:r>
              <w:rPr>
                <w:rFonts w:ascii="Courier New" w:cs="Courier New" w:eastAsia="Courier New" w:hAnsi="Courier New"/>
                <w:sz w:val="16"/>
                <w:szCs w:val="16"/>
                <w:color w:val="auto"/>
              </w:rPr>
              <w:t>Three Months Ended</w:t>
            </w:r>
          </w:p>
        </w:tc>
        <w:tc>
          <w:tcPr>
            <w:tcW w:w="240" w:type="dxa"/>
            <w:vAlign w:val="bottom"/>
          </w:tcPr>
          <w:p>
            <w:pPr>
              <w:spacing w:after="0"/>
              <w:rPr>
                <w:sz w:val="24"/>
                <w:szCs w:val="24"/>
                <w:color w:val="auto"/>
              </w:rPr>
            </w:pPr>
          </w:p>
        </w:tc>
        <w:tc>
          <w:tcPr>
            <w:tcW w:w="2540" w:type="dxa"/>
            <w:vAlign w:val="bottom"/>
            <w:gridSpan w:val="3"/>
          </w:tcPr>
          <w:p>
            <w:pPr>
              <w:jc w:val="right"/>
              <w:ind w:right="5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72"/>
              </w:rPr>
              <w:t>------------------</w:t>
            </w: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August 31,</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September 30,</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August 31,</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2006</w:t>
            </w:r>
          </w:p>
        </w:tc>
        <w:tc>
          <w:tcPr>
            <w:tcW w:w="140" w:type="dxa"/>
            <w:vAlign w:val="bottom"/>
          </w:tcPr>
          <w:p>
            <w:pPr>
              <w:spacing w:after="0"/>
              <w:rPr>
                <w:sz w:val="16"/>
                <w:szCs w:val="16"/>
                <w:color w:val="auto"/>
              </w:rPr>
            </w:pPr>
          </w:p>
        </w:tc>
        <w:tc>
          <w:tcPr>
            <w:tcW w:w="12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6"/>
                <w:szCs w:val="16"/>
                <w:color w:val="auto"/>
              </w:rPr>
            </w:pP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2006</w:t>
            </w:r>
          </w:p>
        </w:tc>
        <w:tc>
          <w:tcPr>
            <w:tcW w:w="24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2005</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80" w:type="dxa"/>
            <w:vAlign w:val="bottom"/>
            <w:gridSpan w:val="7"/>
          </w:tcPr>
          <w:p>
            <w:pPr>
              <w:jc w:val="right"/>
              <w:ind w:right="580"/>
              <w:spacing w:after="0"/>
              <w:rPr>
                <w:sz w:val="20"/>
                <w:szCs w:val="20"/>
                <w:color w:val="auto"/>
              </w:rPr>
            </w:pPr>
            <w:r>
              <w:rPr>
                <w:rFonts w:ascii="Courier New" w:cs="Courier New" w:eastAsia="Courier New" w:hAnsi="Courier New"/>
                <w:sz w:val="16"/>
                <w:szCs w:val="16"/>
                <w:color w:val="auto"/>
              </w:rPr>
              <w:t>(in thousands except share and per share data)</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Gross revenue............................................</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171,109</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115,352</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465,497</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350,672</w:t>
            </w: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Subcontractor costs......................................</w:t>
            </w:r>
          </w:p>
        </w:tc>
        <w:tc>
          <w:tcPr>
            <w:tcW w:w="32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(50,395)</w:t>
            </w:r>
          </w:p>
        </w:tc>
        <w:tc>
          <w:tcPr>
            <w:tcW w:w="14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(29,431)</w:t>
            </w:r>
          </w:p>
        </w:tc>
        <w:tc>
          <w:tcPr>
            <w:tcW w:w="24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(138,852)</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(95,927)</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Net revenue..............................................</w:t>
            </w:r>
          </w:p>
        </w:tc>
        <w:tc>
          <w:tcPr>
            <w:tcW w:w="32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120,714</w:t>
            </w:r>
          </w:p>
        </w:tc>
        <w:tc>
          <w:tcPr>
            <w:tcW w:w="14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85,921</w:t>
            </w:r>
          </w:p>
        </w:tc>
        <w:tc>
          <w:tcPr>
            <w:tcW w:w="24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326,645</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254,745</w:t>
            </w:r>
          </w:p>
        </w:tc>
      </w:tr>
      <w:tr>
        <w:trPr>
          <w:trHeight w:val="370"/>
        </w:trPr>
        <w:tc>
          <w:tcPr>
            <w:tcW w:w="58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Direct costs.............................................</w:t>
            </w:r>
          </w:p>
        </w:tc>
        <w:tc>
          <w:tcPr>
            <w:tcW w:w="32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68,428</w:t>
            </w:r>
          </w:p>
        </w:tc>
        <w:tc>
          <w:tcPr>
            <w:tcW w:w="14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47,310</w:t>
            </w:r>
          </w:p>
        </w:tc>
        <w:tc>
          <w:tcPr>
            <w:tcW w:w="24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183,146</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140,847</w:t>
            </w: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Selling, general and administrative expense..............</w:t>
            </w:r>
          </w:p>
        </w:tc>
        <w:tc>
          <w:tcPr>
            <w:tcW w:w="32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35,800</w:t>
            </w:r>
          </w:p>
        </w:tc>
        <w:tc>
          <w:tcPr>
            <w:tcW w:w="14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26,809</w:t>
            </w:r>
          </w:p>
        </w:tc>
        <w:tc>
          <w:tcPr>
            <w:tcW w:w="24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98,477</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81,734</w:t>
            </w: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Depreciation and amortization ...........................</w:t>
            </w:r>
          </w:p>
        </w:tc>
        <w:tc>
          <w:tcPr>
            <w:tcW w:w="32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3,875</w:t>
            </w:r>
          </w:p>
        </w:tc>
        <w:tc>
          <w:tcPr>
            <w:tcW w:w="14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3,434</w:t>
            </w:r>
          </w:p>
        </w:tc>
        <w:tc>
          <w:tcPr>
            <w:tcW w:w="24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11,009</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10,407</w:t>
            </w:r>
          </w:p>
        </w:tc>
      </w:tr>
      <w:tr>
        <w:trPr>
          <w:trHeight w:val="185"/>
        </w:trPr>
        <w:tc>
          <w:tcPr>
            <w:tcW w:w="5820" w:type="dxa"/>
            <w:vAlign w:val="bottom"/>
          </w:tcPr>
          <w:p>
            <w:pPr>
              <w:jc w:val="right"/>
              <w:ind w:right="4300"/>
              <w:spacing w:after="0"/>
              <w:rPr>
                <w:sz w:val="20"/>
                <w:szCs w:val="20"/>
                <w:color w:val="auto"/>
              </w:rPr>
            </w:pPr>
            <w:r>
              <w:rPr>
                <w:rFonts w:ascii="Courier New" w:cs="Courier New" w:eastAsia="Courier New" w:hAnsi="Courier New"/>
                <w:sz w:val="16"/>
                <w:szCs w:val="16"/>
                <w:color w:val="auto"/>
              </w:rPr>
              <w:t>Other Charges</w:t>
            </w:r>
          </w:p>
        </w:tc>
        <w:tc>
          <w:tcPr>
            <w:tcW w:w="32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11,275</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Total costs and expenses.................................</w:t>
            </w:r>
          </w:p>
        </w:tc>
        <w:tc>
          <w:tcPr>
            <w:tcW w:w="320" w:type="dxa"/>
            <w:vAlign w:val="bottom"/>
          </w:tcPr>
          <w:p>
            <w:pPr>
              <w:spacing w:after="0"/>
              <w:rPr>
                <w:sz w:val="24"/>
                <w:szCs w:val="24"/>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108,103</w:t>
            </w:r>
          </w:p>
        </w:tc>
        <w:tc>
          <w:tcPr>
            <w:tcW w:w="14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77,553</w:t>
            </w:r>
          </w:p>
        </w:tc>
        <w:tc>
          <w:tcPr>
            <w:tcW w:w="240" w:type="dxa"/>
            <w:vAlign w:val="bottom"/>
          </w:tcPr>
          <w:p>
            <w:pPr>
              <w:spacing w:after="0"/>
              <w:rPr>
                <w:sz w:val="24"/>
                <w:szCs w:val="24"/>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292,632</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244,263</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Income from operations.....................................</w:t>
            </w:r>
          </w:p>
        </w:tc>
        <w:tc>
          <w:tcPr>
            <w:tcW w:w="320" w:type="dxa"/>
            <w:vAlign w:val="bottom"/>
          </w:tcPr>
          <w:p>
            <w:pPr>
              <w:spacing w:after="0"/>
              <w:rPr>
                <w:sz w:val="24"/>
                <w:szCs w:val="24"/>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12,611</w:t>
            </w:r>
          </w:p>
        </w:tc>
        <w:tc>
          <w:tcPr>
            <w:tcW w:w="14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8,368</w:t>
            </w:r>
          </w:p>
        </w:tc>
        <w:tc>
          <w:tcPr>
            <w:tcW w:w="240" w:type="dxa"/>
            <w:vAlign w:val="bottom"/>
          </w:tcPr>
          <w:p>
            <w:pPr>
              <w:spacing w:after="0"/>
              <w:rPr>
                <w:sz w:val="24"/>
                <w:szCs w:val="24"/>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34,013</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10,482</w:t>
            </w: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Interest income............................................</w:t>
            </w:r>
          </w:p>
        </w:tc>
        <w:tc>
          <w:tcPr>
            <w:tcW w:w="320" w:type="dxa"/>
            <w:vAlign w:val="bottom"/>
          </w:tcPr>
          <w:p>
            <w:pPr>
              <w:spacing w:after="0"/>
              <w:rPr>
                <w:sz w:val="16"/>
                <w:szCs w:val="16"/>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995</w:t>
            </w:r>
          </w:p>
        </w:tc>
        <w:tc>
          <w:tcPr>
            <w:tcW w:w="14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427</w:t>
            </w:r>
          </w:p>
        </w:tc>
        <w:tc>
          <w:tcPr>
            <w:tcW w:w="24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2,646</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1,168</w:t>
            </w: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Interest expense...........................................</w:t>
            </w:r>
          </w:p>
        </w:tc>
        <w:tc>
          <w:tcPr>
            <w:tcW w:w="32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w:t>
            </w:r>
          </w:p>
        </w:tc>
        <w:tc>
          <w:tcPr>
            <w:tcW w:w="14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c>
          <w:tcPr>
            <w:tcW w:w="24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(110)</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Income before provision for income taxes...................</w:t>
            </w:r>
          </w:p>
        </w:tc>
        <w:tc>
          <w:tcPr>
            <w:tcW w:w="320" w:type="dxa"/>
            <w:vAlign w:val="bottom"/>
          </w:tcPr>
          <w:p>
            <w:pPr>
              <w:spacing w:after="0"/>
              <w:rPr>
                <w:sz w:val="24"/>
                <w:szCs w:val="24"/>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13,562</w:t>
            </w:r>
          </w:p>
        </w:tc>
        <w:tc>
          <w:tcPr>
            <w:tcW w:w="14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8,783</w:t>
            </w:r>
          </w:p>
        </w:tc>
        <w:tc>
          <w:tcPr>
            <w:tcW w:w="240" w:type="dxa"/>
            <w:vAlign w:val="bottom"/>
          </w:tcPr>
          <w:p>
            <w:pPr>
              <w:spacing w:after="0"/>
              <w:rPr>
                <w:sz w:val="24"/>
                <w:szCs w:val="24"/>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36,549</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11,533</w:t>
            </w: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Provision for income taxes.................................</w:t>
            </w:r>
          </w:p>
        </w:tc>
        <w:tc>
          <w:tcPr>
            <w:tcW w:w="32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(3,423)</w:t>
            </w:r>
          </w:p>
        </w:tc>
        <w:tc>
          <w:tcPr>
            <w:tcW w:w="14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(2,459)</w:t>
            </w:r>
          </w:p>
        </w:tc>
        <w:tc>
          <w:tcPr>
            <w:tcW w:w="24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(9,496)</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(4,679)</w:t>
            </w: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Minority interest..........................................</w:t>
            </w:r>
          </w:p>
        </w:tc>
        <w:tc>
          <w:tcPr>
            <w:tcW w:w="32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w:t>
            </w:r>
          </w:p>
        </w:tc>
        <w:tc>
          <w:tcPr>
            <w:tcW w:w="14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59</w:t>
            </w:r>
          </w:p>
        </w:tc>
        <w:tc>
          <w:tcPr>
            <w:tcW w:w="24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(121)</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Net income.................................................</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10,094</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6,383</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26,932</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6,804</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Net income per Ordinary Share:</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Basic....................................................</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0.36</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0.23</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0.95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Diluted..................................................</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0.35</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0.23</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0.94</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820" w:type="dxa"/>
            <w:vAlign w:val="bottom"/>
          </w:tcPr>
          <w:p>
            <w:pPr>
              <w:spacing w:after="0"/>
              <w:rPr>
                <w:sz w:val="20"/>
                <w:szCs w:val="20"/>
                <w:color w:val="auto"/>
              </w:rPr>
            </w:pPr>
            <w:r>
              <w:rPr>
                <w:rFonts w:ascii="Courier New" w:cs="Courier New" w:eastAsia="Courier New" w:hAnsi="Courier New"/>
                <w:sz w:val="16"/>
                <w:szCs w:val="16"/>
                <w:color w:val="auto"/>
              </w:rPr>
              <w:t>Weighted average number of Ordinary Shares outstanding:</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0"/>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Basic....................................................</w:t>
            </w:r>
          </w:p>
        </w:tc>
        <w:tc>
          <w:tcPr>
            <w:tcW w:w="320" w:type="dxa"/>
            <w:vAlign w:val="bottom"/>
          </w:tcPr>
          <w:p>
            <w:pPr>
              <w:spacing w:after="0"/>
              <w:rPr>
                <w:sz w:val="24"/>
                <w:szCs w:val="24"/>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7"/>
              </w:rPr>
              <w:t>28,351,525</w:t>
            </w:r>
          </w:p>
        </w:tc>
        <w:tc>
          <w:tcPr>
            <w:tcW w:w="14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27,839,212</w:t>
            </w:r>
          </w:p>
        </w:tc>
        <w:tc>
          <w:tcPr>
            <w:tcW w:w="240" w:type="dxa"/>
            <w:vAlign w:val="bottom"/>
          </w:tcPr>
          <w:p>
            <w:pPr>
              <w:spacing w:after="0"/>
              <w:rPr>
                <w:sz w:val="24"/>
                <w:szCs w:val="24"/>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28,333,823</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27,782,555</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Diluted..................................................</w:t>
            </w:r>
          </w:p>
        </w:tc>
        <w:tc>
          <w:tcPr>
            <w:tcW w:w="320" w:type="dxa"/>
            <w:vAlign w:val="bottom"/>
          </w:tcPr>
          <w:p>
            <w:pPr>
              <w:spacing w:after="0"/>
              <w:rPr>
                <w:sz w:val="24"/>
                <w:szCs w:val="24"/>
                <w:color w:val="auto"/>
              </w:rPr>
            </w:pP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7"/>
              </w:rPr>
              <w:t>29,085,080</w:t>
            </w:r>
          </w:p>
        </w:tc>
        <w:tc>
          <w:tcPr>
            <w:tcW w:w="14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28,300,424</w:t>
            </w:r>
          </w:p>
        </w:tc>
        <w:tc>
          <w:tcPr>
            <w:tcW w:w="240" w:type="dxa"/>
            <w:vAlign w:val="bottom"/>
          </w:tcPr>
          <w:p>
            <w:pPr>
              <w:spacing w:after="0"/>
              <w:rPr>
                <w:sz w:val="24"/>
                <w:szCs w:val="24"/>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28,709,932</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28,218,814</w:t>
            </w:r>
          </w:p>
        </w:tc>
      </w:tr>
      <w:tr>
        <w:trPr>
          <w:trHeight w:val="185"/>
        </w:trPr>
        <w:tc>
          <w:tcPr>
            <w:tcW w:w="58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bl>
    <w:p>
      <w:pPr>
        <w:spacing w:after="0" w:line="190" w:lineRule="exact"/>
        <w:rPr>
          <w:sz w:val="20"/>
          <w:szCs w:val="20"/>
          <w:color w:val="auto"/>
        </w:rPr>
      </w:pPr>
    </w:p>
    <w:p>
      <w:pPr>
        <w:ind w:right="4320"/>
        <w:spacing w:after="0" w:line="242" w:lineRule="auto"/>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1224" w:right="1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6960" w:type="dxa"/>
            <w:vAlign w:val="bottom"/>
          </w:tcPr>
          <w:p>
            <w:pPr>
              <w:jc w:val="right"/>
              <w:ind w:right="2660"/>
              <w:spacing w:after="0"/>
              <w:rPr>
                <w:sz w:val="20"/>
                <w:szCs w:val="20"/>
                <w:color w:val="auto"/>
              </w:rPr>
            </w:pPr>
            <w:r>
              <w:rPr>
                <w:rFonts w:ascii="Courier New" w:cs="Courier New" w:eastAsia="Courier New" w:hAnsi="Courier New"/>
                <w:sz w:val="16"/>
                <w:szCs w:val="16"/>
                <w:color w:val="auto"/>
              </w:rPr>
              <w:t>ICON plc</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70"/>
        </w:trPr>
        <w:tc>
          <w:tcPr>
            <w:tcW w:w="69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5"/>
        </w:trPr>
        <w:tc>
          <w:tcPr>
            <w:tcW w:w="6960" w:type="dxa"/>
            <w:vAlign w:val="bottom"/>
          </w:tcPr>
          <w:p>
            <w:pPr>
              <w:jc w:val="right"/>
              <w:spacing w:after="0"/>
              <w:rPr>
                <w:sz w:val="20"/>
                <w:szCs w:val="20"/>
                <w:color w:val="auto"/>
              </w:rPr>
            </w:pPr>
            <w:r>
              <w:rPr>
                <w:rFonts w:ascii="Courier New" w:cs="Courier New" w:eastAsia="Courier New" w:hAnsi="Courier New"/>
                <w:sz w:val="16"/>
                <w:szCs w:val="16"/>
                <w:color w:val="auto"/>
              </w:rPr>
              <w:t>FOR THE NINE MONTHS ENDED SEPTEMBER 30, 2006 AND AUGUST 31, 2005</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5"/>
        </w:trPr>
        <w:tc>
          <w:tcPr>
            <w:tcW w:w="6960" w:type="dxa"/>
            <w:vAlign w:val="bottom"/>
          </w:tcPr>
          <w:p>
            <w:pPr>
              <w:jc w:val="right"/>
              <w:ind w:right="2460"/>
              <w:spacing w:after="0"/>
              <w:rPr>
                <w:sz w:val="20"/>
                <w:szCs w:val="20"/>
                <w:color w:val="auto"/>
              </w:rPr>
            </w:pPr>
            <w:r>
              <w:rPr>
                <w:rFonts w:ascii="Courier New" w:cs="Courier New" w:eastAsia="Courier New" w:hAnsi="Courier New"/>
                <w:sz w:val="16"/>
                <w:szCs w:val="16"/>
                <w:color w:val="auto"/>
              </w:rPr>
              <w:t>(UNAUDITED)</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0"/>
        </w:trPr>
        <w:tc>
          <w:tcPr>
            <w:tcW w:w="6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3"/>
          </w:tcPr>
          <w:p>
            <w:pPr>
              <w:jc w:val="right"/>
              <w:ind w:right="32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6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3"/>
          </w:tcPr>
          <w:p>
            <w:pPr>
              <w:jc w:val="right"/>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69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September 30,</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August 31,</w:t>
            </w:r>
          </w:p>
        </w:tc>
      </w:tr>
      <w:tr>
        <w:trPr>
          <w:trHeight w:val="185"/>
        </w:trPr>
        <w:tc>
          <w:tcPr>
            <w:tcW w:w="696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6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2006</w:t>
            </w:r>
          </w:p>
        </w:tc>
        <w:tc>
          <w:tcPr>
            <w:tcW w:w="180" w:type="dxa"/>
            <w:vAlign w:val="bottom"/>
          </w:tcPr>
          <w:p>
            <w:pPr>
              <w:spacing w:after="0"/>
              <w:rPr>
                <w:sz w:val="16"/>
                <w:szCs w:val="16"/>
                <w:color w:val="auto"/>
              </w:rPr>
            </w:pPr>
          </w:p>
        </w:tc>
        <w:tc>
          <w:tcPr>
            <w:tcW w:w="9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2005</w:t>
            </w:r>
          </w:p>
        </w:tc>
      </w:tr>
      <w:tr>
        <w:trPr>
          <w:trHeight w:val="185"/>
        </w:trPr>
        <w:tc>
          <w:tcPr>
            <w:tcW w:w="696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6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69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5"/>
        </w:trPr>
        <w:tc>
          <w:tcPr>
            <w:tcW w:w="69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26,932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6,804</w:t>
            </w:r>
          </w:p>
        </w:tc>
      </w:tr>
      <w:tr>
        <w:trPr>
          <w:trHeight w:val="185"/>
        </w:trPr>
        <w:tc>
          <w:tcPr>
            <w:tcW w:w="696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 to net cash provided by operating</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activities:.........................................................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Loss on disposal of property, plant and equipment...................</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197</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Depreciation and amortization.......................................</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11,012</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10,407</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Amortization of grants..............................................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(85)</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Share compensation expense..........................................</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2,993</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Deferred taxes......................................................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(310)</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(532)</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Minority interest...................................................</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121</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Other charges.......................................................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11,275</w:t>
            </w:r>
          </w:p>
        </w:tc>
      </w:tr>
      <w:tr>
        <w:trPr>
          <w:trHeight w:val="185"/>
        </w:trPr>
        <w:tc>
          <w:tcPr>
            <w:tcW w:w="6960" w:type="dxa"/>
            <w:vAlign w:val="bottom"/>
          </w:tcPr>
          <w:p>
            <w:pPr>
              <w:spacing w:after="0"/>
              <w:rPr>
                <w:sz w:val="20"/>
                <w:szCs w:val="20"/>
                <w:color w:val="auto"/>
              </w:rPr>
            </w:pPr>
            <w:r>
              <w:rPr>
                <w:rFonts w:ascii="Courier New" w:cs="Courier New" w:eastAsia="Courier New" w:hAnsi="Courier New"/>
                <w:sz w:val="16"/>
                <w:szCs w:val="16"/>
                <w:color w:val="auto"/>
              </w:rPr>
              <w:t>Changes in assets and liabilities: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(Increase)/decrease in accounts receivable..........................</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(26,546)</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20,948</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Increase in unbilled revenue........................................</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(11,340)</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(277)</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Decrease/(increase) in other receivables............................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1,864</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(6,280)</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Increase in prepayments and other current assets....................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(2,617)</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(2,390)</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Increase/(decrease) in payments on account..........................</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16,530</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(22,205)</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Increase in other liabilities.......................................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13,082</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8,950</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Increase in income taxes payable....................................</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1,658</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1,271</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(Decrease)/Increase in accounts payable.............................</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(498)</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2,148</w:t>
            </w:r>
          </w:p>
        </w:tc>
      </w:tr>
      <w:tr>
        <w:trPr>
          <w:trHeight w:val="185"/>
        </w:trPr>
        <w:tc>
          <w:tcPr>
            <w:tcW w:w="696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554"/>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Net cash provided by operating activities............................</w:t>
            </w:r>
          </w:p>
        </w:tc>
        <w:tc>
          <w:tcPr>
            <w:tcW w:w="440" w:type="dxa"/>
            <w:vAlign w:val="bottom"/>
          </w:tcPr>
          <w:p>
            <w:pPr>
              <w:spacing w:after="0"/>
              <w:rPr>
                <w:sz w:val="24"/>
                <w:szCs w:val="24"/>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32,993</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30,038</w:t>
            </w:r>
          </w:p>
        </w:tc>
      </w:tr>
      <w:tr>
        <w:trPr>
          <w:trHeight w:val="370"/>
        </w:trPr>
        <w:tc>
          <w:tcPr>
            <w:tcW w:w="69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Purchase of property, plant and equipment...........................</w:t>
            </w:r>
          </w:p>
        </w:tc>
        <w:tc>
          <w:tcPr>
            <w:tcW w:w="4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(19,260)</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(11,318)</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Purchase of intangible asset........................................</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Purchase of subsidiary undertakings and acquisition costs...........</w:t>
            </w:r>
          </w:p>
        </w:tc>
        <w:tc>
          <w:tcPr>
            <w:tcW w:w="4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(6,837)</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Purchase of short term investments..................................</w:t>
            </w:r>
          </w:p>
        </w:tc>
        <w:tc>
          <w:tcPr>
            <w:tcW w:w="4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(20,021)</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(5,011)</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Sale of short term investments......................................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3,008</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17,026</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Cash received on acquisition........................................</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341</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Deferred payments in respect of prior year acquisitions.............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(96)</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(4,958)</w:t>
            </w:r>
          </w:p>
        </w:tc>
      </w:tr>
      <w:tr>
        <w:trPr>
          <w:trHeight w:val="185"/>
        </w:trPr>
        <w:tc>
          <w:tcPr>
            <w:tcW w:w="696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Net cash used in investing activities................................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(42,865)</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(4,511)</w:t>
            </w:r>
          </w:p>
        </w:tc>
      </w:tr>
      <w:tr>
        <w:trPr>
          <w:trHeight w:val="370"/>
        </w:trPr>
        <w:tc>
          <w:tcPr>
            <w:tcW w:w="69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Repayments of bank credit lines and loan facilities..................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(888)</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Proceeds from exercise of share options..............................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6,015</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2,136</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Share issuance costs.................................................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Repayment of other liabilities.......................................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(84)</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(164)</w:t>
            </w:r>
          </w:p>
        </w:tc>
      </w:tr>
      <w:tr>
        <w:trPr>
          <w:trHeight w:val="185"/>
        </w:trPr>
        <w:tc>
          <w:tcPr>
            <w:tcW w:w="696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Net cash provided by/ (used in) financing activities.................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5,015</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(8,057)</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Effect of exchange rate movements on cash............................</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236</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(1,124)</w:t>
            </w:r>
          </w:p>
        </w:tc>
      </w:tr>
      <w:tr>
        <w:trPr>
          <w:trHeight w:val="185"/>
        </w:trPr>
        <w:tc>
          <w:tcPr>
            <w:tcW w:w="696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Net (decrease)/ increase in cash and cash equivalents................</w:t>
            </w:r>
          </w:p>
        </w:tc>
        <w:tc>
          <w:tcPr>
            <w:tcW w:w="440" w:type="dxa"/>
            <w:vAlign w:val="bottom"/>
          </w:tcPr>
          <w:p>
            <w:pPr>
              <w:spacing w:after="0"/>
              <w:rPr>
                <w:sz w:val="24"/>
                <w:szCs w:val="24"/>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(4,621)</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16,346</w:t>
            </w:r>
          </w:p>
        </w:tc>
      </w:tr>
      <w:tr>
        <w:trPr>
          <w:trHeight w:val="185"/>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Cash and cash equivalents at beginning of period.....................</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59,509</w:t>
            </w:r>
          </w:p>
        </w:tc>
        <w:tc>
          <w:tcPr>
            <w:tcW w:w="1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41,975</w:t>
            </w:r>
          </w:p>
        </w:tc>
      </w:tr>
      <w:tr>
        <w:trPr>
          <w:trHeight w:val="185"/>
        </w:trPr>
        <w:tc>
          <w:tcPr>
            <w:tcW w:w="696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96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Cash and cash equivalents at end of period...........................</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54,888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58,321</w:t>
            </w:r>
          </w:p>
        </w:tc>
      </w:tr>
      <w:tr>
        <w:trPr>
          <w:trHeight w:val="185"/>
        </w:trPr>
        <w:tc>
          <w:tcPr>
            <w:tcW w:w="696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bl>
    <w:p>
      <w:pPr>
        <w:spacing w:after="0" w:line="19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224" w:right="1440" w:bottom="1440" w:gutter="0" w:footer="0" w:header="0"/>
        </w:sectPr>
      </w:pPr>
    </w:p>
    <w:bookmarkStart w:id="7" w:name="page8"/>
    <w:bookmarkEnd w:id="7"/>
    <w:tbl>
      <w:tblPr>
        <w:tblLayout w:type="fixed"/>
        <w:tblInd w:w="1"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ICON plc</w:t>
            </w: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70"/>
        </w:trPr>
        <w:tc>
          <w:tcPr>
            <w:tcW w:w="8160" w:type="dxa"/>
            <w:vAlign w:val="bottom"/>
            <w:gridSpan w:val="6"/>
          </w:tcPr>
          <w:p>
            <w:pPr>
              <w:ind w:left="100"/>
              <w:spacing w:after="0"/>
              <w:rPr>
                <w:sz w:val="20"/>
                <w:szCs w:val="20"/>
                <w:color w:val="auto"/>
              </w:rPr>
            </w:pPr>
            <w:r>
              <w:rPr>
                <w:rFonts w:ascii="Courier New" w:cs="Courier New" w:eastAsia="Courier New" w:hAnsi="Courier New"/>
                <w:sz w:val="16"/>
                <w:szCs w:val="16"/>
                <w:color w:val="auto"/>
              </w:rPr>
              <w:t>CONDENSED CONSOLIDATED STATEMENTS OF SHAREHOLDERS' EQUITY AND COMPREHENSIVE INCOME</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220" w:type="dxa"/>
            <w:vAlign w:val="bottom"/>
          </w:tcPr>
          <w:p>
            <w:pPr>
              <w:spacing w:after="0"/>
              <w:rPr>
                <w:sz w:val="16"/>
                <w:szCs w:val="16"/>
                <w:color w:val="auto"/>
              </w:rPr>
            </w:pP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(UNAUDITED)</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3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Accumulated</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Additional</w:t>
            </w:r>
          </w:p>
        </w:tc>
        <w:tc>
          <w:tcPr>
            <w:tcW w:w="200" w:type="dxa"/>
            <w:vAlign w:val="bottom"/>
          </w:tcPr>
          <w:p>
            <w:pPr>
              <w:spacing w:after="0"/>
              <w:rPr>
                <w:sz w:val="16"/>
                <w:szCs w:val="16"/>
                <w:color w:val="auto"/>
              </w:rPr>
            </w:pPr>
          </w:p>
        </w:tc>
        <w:tc>
          <w:tcPr>
            <w:tcW w:w="124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Other</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Paid-in</w:t>
            </w:r>
          </w:p>
        </w:tc>
        <w:tc>
          <w:tcPr>
            <w:tcW w:w="1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Comprehensive</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Retained</w:t>
            </w:r>
          </w:p>
        </w:tc>
        <w:tc>
          <w:tcPr>
            <w:tcW w:w="1060" w:type="dxa"/>
            <w:vAlign w:val="bottom"/>
          </w:tcPr>
          <w:p>
            <w:pPr>
              <w:spacing w:after="0"/>
              <w:rPr>
                <w:sz w:val="16"/>
                <w:szCs w:val="16"/>
                <w:color w:val="auto"/>
              </w:rPr>
            </w:pPr>
          </w:p>
        </w:tc>
      </w:tr>
      <w:tr>
        <w:trPr>
          <w:trHeight w:val="185"/>
        </w:trPr>
        <w:tc>
          <w:tcPr>
            <w:tcW w:w="3220" w:type="dxa"/>
            <w:vAlign w:val="bottom"/>
          </w:tcPr>
          <w:p>
            <w:pPr>
              <w:spacing w:after="0"/>
              <w:rPr>
                <w:sz w:val="16"/>
                <w:szCs w:val="16"/>
                <w:color w:val="auto"/>
              </w:rPr>
            </w:pP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Shares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Amount</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Capital</w:t>
            </w:r>
          </w:p>
        </w:tc>
        <w:tc>
          <w:tcPr>
            <w:tcW w:w="20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Income</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Earnings</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3220" w:type="dxa"/>
            <w:vAlign w:val="bottom"/>
          </w:tcPr>
          <w:p>
            <w:pPr>
              <w:spacing w:after="0"/>
              <w:rPr>
                <w:sz w:val="16"/>
                <w:szCs w:val="16"/>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48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0"/>
        </w:trPr>
        <w:tc>
          <w:tcPr>
            <w:tcW w:w="3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760" w:type="dxa"/>
            <w:vAlign w:val="bottom"/>
            <w:gridSpan w:val="5"/>
          </w:tcPr>
          <w:p>
            <w:pPr>
              <w:jc w:val="right"/>
              <w:ind w:right="300"/>
              <w:spacing w:after="0"/>
              <w:rPr>
                <w:sz w:val="20"/>
                <w:szCs w:val="20"/>
                <w:color w:val="auto"/>
              </w:rPr>
            </w:pPr>
            <w:r>
              <w:rPr>
                <w:rFonts w:ascii="Courier New" w:cs="Courier New" w:eastAsia="Courier New" w:hAnsi="Courier New"/>
                <w:sz w:val="16"/>
                <w:szCs w:val="16"/>
                <w:color w:val="auto"/>
              </w:rPr>
              <w:t>(dollars in thousands, except share data)</w:t>
            </w:r>
          </w:p>
        </w:tc>
        <w:tc>
          <w:tcPr>
            <w:tcW w:w="1060" w:type="dxa"/>
            <w:vAlign w:val="bottom"/>
          </w:tcPr>
          <w:p>
            <w:pPr>
              <w:spacing w:after="0"/>
              <w:rPr>
                <w:sz w:val="24"/>
                <w:szCs w:val="24"/>
                <w:color w:val="auto"/>
              </w:rPr>
            </w:pPr>
          </w:p>
        </w:tc>
      </w:tr>
      <w:tr>
        <w:trPr>
          <w:trHeight w:val="554"/>
        </w:trPr>
        <w:tc>
          <w:tcPr>
            <w:tcW w:w="3220" w:type="dxa"/>
            <w:vAlign w:val="bottom"/>
          </w:tcPr>
          <w:p>
            <w:pPr>
              <w:spacing w:after="0"/>
              <w:rPr>
                <w:sz w:val="20"/>
                <w:szCs w:val="20"/>
                <w:color w:val="auto"/>
              </w:rPr>
            </w:pPr>
            <w:r>
              <w:rPr>
                <w:rFonts w:ascii="Courier New" w:cs="Courier New" w:eastAsia="Courier New" w:hAnsi="Courier New"/>
                <w:sz w:val="16"/>
                <w:szCs w:val="16"/>
                <w:color w:val="auto"/>
              </w:rPr>
              <w:t>*Balance at December 31, 2005</w:t>
            </w: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*28,036,184</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*$ 2,063</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*$ 122,263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3,409</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$ 113,823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$ 241,558</w:t>
            </w:r>
          </w:p>
        </w:tc>
      </w:tr>
      <w:tr>
        <w:trPr>
          <w:trHeight w:val="554"/>
        </w:trPr>
        <w:tc>
          <w:tcPr>
            <w:tcW w:w="322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26,932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26,932</w:t>
            </w:r>
          </w:p>
        </w:tc>
      </w:tr>
      <w:tr>
        <w:trPr>
          <w:trHeight w:val="185"/>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Currency translation adjustment</w:t>
            </w: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6,856</w:t>
            </w:r>
          </w:p>
        </w:tc>
        <w:tc>
          <w:tcPr>
            <w:tcW w:w="11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6,856</w:t>
            </w:r>
          </w:p>
        </w:tc>
      </w:tr>
      <w:tr>
        <w:trPr>
          <w:trHeight w:val="185"/>
        </w:trPr>
        <w:tc>
          <w:tcPr>
            <w:tcW w:w="3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Total comprehensive income</w:t>
            </w: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33,788</w:t>
            </w:r>
          </w:p>
        </w:tc>
      </w:tr>
      <w:tr>
        <w:trPr>
          <w:trHeight w:val="185"/>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Share issuance costs</w:t>
            </w: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5"/>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Exercise of share options</w:t>
            </w: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438,934</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5,981</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6,015</w:t>
            </w:r>
          </w:p>
        </w:tc>
      </w:tr>
      <w:tr>
        <w:trPr>
          <w:trHeight w:val="185"/>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Non-cash stock compensation</w:t>
            </w: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220" w:type="dxa"/>
            <w:vAlign w:val="bottom"/>
          </w:tcPr>
          <w:p>
            <w:pPr>
              <w:ind w:left="280"/>
              <w:spacing w:after="0"/>
              <w:rPr>
                <w:sz w:val="20"/>
                <w:szCs w:val="20"/>
                <w:color w:val="auto"/>
              </w:rPr>
            </w:pPr>
            <w:r>
              <w:rPr>
                <w:rFonts w:ascii="Courier New" w:cs="Courier New" w:eastAsia="Courier New" w:hAnsi="Courier New"/>
                <w:sz w:val="16"/>
                <w:szCs w:val="16"/>
                <w:color w:val="auto"/>
              </w:rPr>
              <w:t>expense</w:t>
            </w: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2,993</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2,993</w:t>
            </w:r>
          </w:p>
        </w:tc>
      </w:tr>
      <w:tr>
        <w:trPr>
          <w:trHeight w:val="185"/>
        </w:trPr>
        <w:tc>
          <w:tcPr>
            <w:tcW w:w="3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Balance at September 30, 2006</w:t>
            </w: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28,475,118</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$ 2,097</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$ 131,209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10,265</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$ 140,755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$ 284,326</w:t>
            </w:r>
          </w:p>
        </w:tc>
      </w:tr>
      <w:tr>
        <w:trPr>
          <w:trHeight w:val="185"/>
        </w:trPr>
        <w:tc>
          <w:tcPr>
            <w:tcW w:w="3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right="3460" w:hanging="1"/>
        <w:spacing w:after="0" w:line="242" w:lineRule="auto"/>
        <w:tabs>
          <w:tab w:leader="none" w:pos="19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Comparative figures have been amended to reflect the Bonus Issue which took place with an effective date of October 13, 2006</w:t>
      </w:r>
    </w:p>
    <w:p>
      <w:pPr>
        <w:spacing w:after="0" w:line="374" w:lineRule="exact"/>
        <w:rPr>
          <w:sz w:val="20"/>
          <w:szCs w:val="20"/>
          <w:color w:val="auto"/>
        </w:rPr>
      </w:pPr>
    </w:p>
    <w:p>
      <w:pPr>
        <w:ind w:left="1" w:right="3180"/>
        <w:spacing w:after="0" w:line="242" w:lineRule="auto"/>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381"/>
          </w:cols>
          <w:pgMar w:left="239" w:top="1224" w:right="1279" w:bottom="1440" w:gutter="0" w:footer="0" w:header="0"/>
        </w:sectPr>
      </w:pPr>
    </w:p>
    <w:bookmarkStart w:id="8" w:name="page9"/>
    <w:bookmarkEnd w:id="8"/>
    <w:p>
      <w:pPr>
        <w:jc w:val="center"/>
        <w:ind w:right="2538"/>
        <w:spacing w:after="0"/>
        <w:rPr>
          <w:sz w:val="20"/>
          <w:szCs w:val="20"/>
          <w:color w:val="auto"/>
        </w:rPr>
      </w:pPr>
      <w:r>
        <w:rPr>
          <w:rFonts w:ascii="Courier New" w:cs="Courier New" w:eastAsia="Courier New" w:hAnsi="Courier New"/>
          <w:sz w:val="16"/>
          <w:szCs w:val="16"/>
          <w:color w:val="auto"/>
        </w:rPr>
        <w:t>ICON plc</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THE CONDENSED CONSOLIDATED FINANCIAL STATEMENTS</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SEPTEMBER 30, 2006</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 Basis of Presentation</w:t>
      </w:r>
    </w:p>
    <w:p>
      <w:pPr>
        <w:spacing w:after="0" w:line="190"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As discussed in note 5, the Company adopted Statement of Accounting Standard ("SFAS") 123 (revised 2004) Share Based Payment ("SFAS 123R") effective from January 1, 2006. There were no other significant change in ICON plc's accounting policies from those outlined in ICON's Transition Report on Form 20-F for the seven month period ended December 31, 2005.</w:t>
      </w:r>
    </w:p>
    <w:p>
      <w:pPr>
        <w:spacing w:after="0" w:line="192"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The condensed consolidated financial statements should be read in conjunction with the accounting policies and notes to the consolidated financial statements included in ICON's Transition Report on Form 20-F for the seven months ended December 31, 2005. Operating results for the nine months ended September 30, 2006 are not necessarily indicative of the results that may be expected for the fiscal period ending December 31, 2006.</w:t>
      </w:r>
    </w:p>
    <w:p>
      <w:pPr>
        <w:spacing w:after="0" w:line="188" w:lineRule="exact"/>
        <w:rPr>
          <w:sz w:val="20"/>
          <w:szCs w:val="20"/>
          <w:color w:val="auto"/>
        </w:rPr>
      </w:pPr>
    </w:p>
    <w:p>
      <w:pPr>
        <w:ind w:left="1" w:right="8099" w:hanging="1"/>
        <w:spacing w:after="0" w:line="486" w:lineRule="auto"/>
        <w:tabs>
          <w:tab w:leader="none" w:pos="29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Acquisition of Ovation</w:t>
      </w:r>
    </w:p>
    <w:p>
      <w:pPr>
        <w:spacing w:after="0" w:line="5"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On July 10, 2006, the Company acquired 100% of the common stock of Ovation Healthcare Research 2 Inc. ("Ovation"), based in Illinois, USA, for an initial cash consideration of U.S.$6.6 million, excluding costs of acquisition. Working capital provisions have been built into the acquisition contract requiring the potential payment of additional deferred consideration up to a maximum of U.S.$1.4 million.</w:t>
      </w:r>
    </w:p>
    <w:p>
      <w:pPr>
        <w:spacing w:after="0" w:line="188" w:lineRule="exact"/>
        <w:rPr>
          <w:sz w:val="20"/>
          <w:szCs w:val="20"/>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The acquisition of Ovation has been accounted for as a purchase in accordance with SFAS No. 141, "Business Combinations". The following table summarises the fair values of the assets acquired and the liabilities assumed at the date of acquisition.</w:t>
      </w:r>
    </w:p>
    <w:p>
      <w:pPr>
        <w:spacing w:after="0" w:line="188"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At July 10,</w:t>
            </w:r>
          </w:p>
        </w:tc>
      </w:tr>
      <w:tr>
        <w:trPr>
          <w:trHeight w:val="185"/>
        </w:trPr>
        <w:tc>
          <w:tcPr>
            <w:tcW w:w="356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2006</w:t>
            </w:r>
          </w:p>
        </w:tc>
      </w:tr>
      <w:tr>
        <w:trPr>
          <w:trHeight w:val="185"/>
        </w:trPr>
        <w:tc>
          <w:tcPr>
            <w:tcW w:w="3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Property, Plant and Equipment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384</w:t>
            </w:r>
          </w:p>
        </w:tc>
      </w:tr>
      <w:tr>
        <w:trPr>
          <w:trHeight w:val="185"/>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Goodwill</w:t>
            </w:r>
          </w:p>
        </w:tc>
        <w:tc>
          <w:tcPr>
            <w:tcW w:w="13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8,825</w:t>
            </w:r>
          </w:p>
        </w:tc>
      </w:tr>
      <w:tr>
        <w:trPr>
          <w:trHeight w:val="185"/>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Cash</w:t>
            </w:r>
          </w:p>
        </w:tc>
        <w:tc>
          <w:tcPr>
            <w:tcW w:w="13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341</w:t>
            </w:r>
          </w:p>
        </w:tc>
      </w:tr>
      <w:tr>
        <w:trPr>
          <w:trHeight w:val="185"/>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13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4,381</w:t>
            </w:r>
          </w:p>
        </w:tc>
      </w:tr>
      <w:tr>
        <w:trPr>
          <w:trHeight w:val="185"/>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Current liabilities</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(6,952)</w:t>
            </w:r>
          </w:p>
        </w:tc>
      </w:tr>
      <w:tr>
        <w:trPr>
          <w:trHeight w:val="185"/>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Long term liabilities</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(124)</w:t>
            </w:r>
          </w:p>
        </w:tc>
      </w:tr>
      <w:tr>
        <w:trPr>
          <w:trHeight w:val="185"/>
        </w:trPr>
        <w:tc>
          <w:tcPr>
            <w:tcW w:w="55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Purchase Price</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6,855</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Prior Period Acquisitions</w:t>
      </w:r>
    </w:p>
    <w:p>
      <w:pPr>
        <w:spacing w:after="0" w:line="190" w:lineRule="exact"/>
        <w:rPr>
          <w:sz w:val="20"/>
          <w:szCs w:val="20"/>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On September 9, 2003, the Company acquired 100% of the outstanding shares of Globomax LLC ("GloboMax"), based in Maryland, USA, for an initial cash consideration of $10.9 million, excluding costs of acquisition.</w:t>
      </w:r>
    </w:p>
    <w:p>
      <w:pPr>
        <w:spacing w:after="0" w:line="189"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On May 31, 2006, an amount of $96,131 was paid to the former shareholders of GloboMax. This $96,131 was withheld from an earn-out payment made on the August 31, 2005 due to an outstanding customer debt arising prior to the acquisition of GloboMax. This customer debt has subsequently been recovered and the $96,131 in turn became due to the former shareholders of GloboMax. This payment has been accounted for as goodwill. No further payments are anticipated.</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854"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Courier New" w:cs="Courier New" w:eastAsia="Courier New" w:hAnsi="Courier New"/>
                <w:sz w:val="16"/>
                <w:szCs w:val="16"/>
                <w:color w:val="auto"/>
              </w:rPr>
              <w:t>3. Goodwill</w:t>
            </w: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70"/>
        </w:trPr>
        <w:tc>
          <w:tcPr>
            <w:tcW w:w="480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September 30,</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4800" w:type="dxa"/>
            <w:vAlign w:val="bottom"/>
          </w:tcPr>
          <w:p>
            <w:pPr>
              <w:spacing w:after="0"/>
              <w:rPr>
                <w:sz w:val="16"/>
                <w:szCs w:val="16"/>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4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2006</w:t>
            </w:r>
          </w:p>
        </w:tc>
        <w:tc>
          <w:tcPr>
            <w:tcW w:w="340" w:type="dxa"/>
            <w:vAlign w:val="bottom"/>
          </w:tcPr>
          <w:p>
            <w:pPr>
              <w:spacing w:after="0"/>
              <w:rPr>
                <w:sz w:val="16"/>
                <w:szCs w:val="16"/>
                <w:color w:val="auto"/>
              </w:rPr>
            </w:pPr>
          </w:p>
        </w:tc>
        <w:tc>
          <w:tcPr>
            <w:tcW w:w="9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2005</w:t>
            </w:r>
          </w:p>
        </w:tc>
      </w:tr>
      <w:tr>
        <w:trPr>
          <w:trHeight w:val="185"/>
        </w:trPr>
        <w:tc>
          <w:tcPr>
            <w:tcW w:w="4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6"/>
                <w:szCs w:val="16"/>
                <w:color w:val="auto"/>
              </w:rPr>
            </w:pPr>
          </w:p>
        </w:tc>
        <w:tc>
          <w:tcPr>
            <w:tcW w:w="9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0" w:type="dxa"/>
            <w:vAlign w:val="bottom"/>
            <w:gridSpan w:val="3"/>
          </w:tcPr>
          <w:p>
            <w:pPr>
              <w:jc w:val="right"/>
              <w:ind w:right="500"/>
              <w:spacing w:after="0"/>
              <w:rPr>
                <w:sz w:val="20"/>
                <w:szCs w:val="20"/>
                <w:color w:val="auto"/>
              </w:rPr>
            </w:pPr>
            <w:r>
              <w:rPr>
                <w:rFonts w:ascii="Courier New" w:cs="Courier New" w:eastAsia="Courier New" w:hAnsi="Courier New"/>
                <w:sz w:val="16"/>
                <w:szCs w:val="16"/>
                <w:color w:val="auto"/>
              </w:rPr>
              <w:t>(in thousands)</w:t>
            </w:r>
          </w:p>
        </w:tc>
      </w:tr>
      <w:tr>
        <w:trPr>
          <w:trHeight w:val="370"/>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Opening balance</w:t>
            </w:r>
          </w:p>
        </w:tc>
        <w:tc>
          <w:tcPr>
            <w:tcW w:w="6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65,731</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67,440</w:t>
            </w:r>
          </w:p>
        </w:tc>
      </w:tr>
      <w:tr>
        <w:trPr>
          <w:trHeight w:val="185"/>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Payments made in respect of current period</w:t>
            </w: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4800" w:type="dxa"/>
            <w:vAlign w:val="bottom"/>
          </w:tcPr>
          <w:p>
            <w:pPr>
              <w:ind w:left="580"/>
              <w:spacing w:after="0"/>
              <w:rPr>
                <w:sz w:val="20"/>
                <w:szCs w:val="20"/>
                <w:color w:val="auto"/>
              </w:rPr>
            </w:pPr>
            <w:r>
              <w:rPr>
                <w:rFonts w:ascii="Courier New" w:cs="Courier New" w:eastAsia="Courier New" w:hAnsi="Courier New"/>
                <w:sz w:val="16"/>
                <w:szCs w:val="16"/>
                <w:color w:val="auto"/>
              </w:rPr>
              <w:t>acquisitions</w:t>
            </w:r>
          </w:p>
        </w:tc>
        <w:tc>
          <w:tcPr>
            <w:tcW w:w="6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8,825</w:t>
            </w:r>
          </w:p>
        </w:tc>
        <w:tc>
          <w:tcPr>
            <w:tcW w:w="3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Payments made in respect of prior period</w:t>
            </w: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4800" w:type="dxa"/>
            <w:vAlign w:val="bottom"/>
          </w:tcPr>
          <w:p>
            <w:pPr>
              <w:ind w:left="580"/>
              <w:spacing w:after="0"/>
              <w:rPr>
                <w:sz w:val="20"/>
                <w:szCs w:val="20"/>
                <w:color w:val="auto"/>
              </w:rPr>
            </w:pPr>
            <w:r>
              <w:rPr>
                <w:rFonts w:ascii="Courier New" w:cs="Courier New" w:eastAsia="Courier New" w:hAnsi="Courier New"/>
                <w:sz w:val="16"/>
                <w:szCs w:val="16"/>
                <w:color w:val="auto"/>
              </w:rPr>
              <w:t>acquisitions</w:t>
            </w:r>
          </w:p>
        </w:tc>
        <w:tc>
          <w:tcPr>
            <w:tcW w:w="6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96</w:t>
            </w:r>
          </w:p>
        </w:tc>
        <w:tc>
          <w:tcPr>
            <w:tcW w:w="3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Foreign exchange movement</w:t>
            </w:r>
          </w:p>
        </w:tc>
        <w:tc>
          <w:tcPr>
            <w:tcW w:w="6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2,633</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(1,709)</w:t>
            </w:r>
          </w:p>
        </w:tc>
      </w:tr>
      <w:tr>
        <w:trPr>
          <w:trHeight w:val="185"/>
        </w:trPr>
        <w:tc>
          <w:tcPr>
            <w:tcW w:w="4800" w:type="dxa"/>
            <w:vAlign w:val="bottom"/>
          </w:tcPr>
          <w:p>
            <w:pPr>
              <w:spacing w:after="0"/>
              <w:rPr>
                <w:sz w:val="16"/>
                <w:szCs w:val="16"/>
                <w:color w:val="auto"/>
              </w:rPr>
            </w:pPr>
          </w:p>
        </w:tc>
        <w:tc>
          <w:tcPr>
            <w:tcW w:w="2880" w:type="dxa"/>
            <w:vAlign w:val="bottom"/>
            <w:gridSpan w:val="4"/>
          </w:tcPr>
          <w:p>
            <w:pPr>
              <w:ind w:left="3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Closing balance</w:t>
            </w:r>
          </w:p>
        </w:tc>
        <w:tc>
          <w:tcPr>
            <w:tcW w:w="6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77,285</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65,731</w:t>
            </w:r>
          </w:p>
        </w:tc>
      </w:tr>
      <w:tr>
        <w:trPr>
          <w:trHeight w:val="185"/>
        </w:trPr>
        <w:tc>
          <w:tcPr>
            <w:tcW w:w="4800" w:type="dxa"/>
            <w:vAlign w:val="bottom"/>
          </w:tcPr>
          <w:p>
            <w:pPr>
              <w:spacing w:after="0"/>
              <w:rPr>
                <w:sz w:val="16"/>
                <w:szCs w:val="16"/>
                <w:color w:val="auto"/>
              </w:rPr>
            </w:pPr>
          </w:p>
        </w:tc>
        <w:tc>
          <w:tcPr>
            <w:tcW w:w="2880" w:type="dxa"/>
            <w:vAlign w:val="bottom"/>
            <w:gridSpan w:val="4"/>
          </w:tcPr>
          <w:p>
            <w:pPr>
              <w:ind w:left="300"/>
              <w:spacing w:after="0"/>
              <w:rPr>
                <w:sz w:val="20"/>
                <w:szCs w:val="20"/>
                <w:color w:val="auto"/>
              </w:rPr>
            </w:pPr>
            <w:r>
              <w:rPr>
                <w:rFonts w:ascii="Courier New" w:cs="Courier New" w:eastAsia="Courier New" w:hAnsi="Courier New"/>
                <w:sz w:val="16"/>
                <w:szCs w:val="16"/>
                <w:color w:val="auto"/>
                <w:w w:val="98"/>
              </w:rPr>
              <w:t>---------------------------</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goodwill balance relates entirely to the clinical research segment.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Net income per ordinary share</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The reconciliation of the number of shares, restated to reflect the Bonus Issue, used in the computation of basic and diluted net income per ordinary share is as follows:</w:t>
      </w:r>
    </w:p>
    <w:p>
      <w:pPr>
        <w:sectPr>
          <w:pgSz w:w="11900" w:h="16838" w:orient="portrait"/>
          <w:cols w:equalWidth="0" w:num="1">
            <w:col w:w="10219"/>
          </w:cols>
          <w:pgMar w:left="240" w:top="854" w:right="1440" w:bottom="0" w:gutter="0" w:footer="0" w:header="0"/>
        </w:sectPr>
      </w:pPr>
    </w:p>
    <w:p>
      <w:pPr>
        <w:spacing w:after="0" w:line="18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Three Months Ended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00"/>
        <w:spacing w:after="0"/>
        <w:tabs>
          <w:tab w:leader="none" w:pos="402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5"/>
          <w:szCs w:val="15"/>
          <w:color w:val="auto"/>
        </w:rPr>
        <w:t>August 31,</w:t>
      </w:r>
    </w:p>
    <w:p>
      <w:pPr>
        <w:spacing w:after="0" w:line="5" w:lineRule="exact"/>
        <w:rPr>
          <w:sz w:val="20"/>
          <w:szCs w:val="20"/>
          <w:color w:val="auto"/>
        </w:rPr>
      </w:pPr>
    </w:p>
    <w:p>
      <w:pPr>
        <w:ind w:left="2600"/>
        <w:spacing w:after="0"/>
        <w:tabs>
          <w:tab w:leader="none" w:pos="4020" w:val="left"/>
        </w:tabs>
        <w:rPr>
          <w:sz w:val="20"/>
          <w:szCs w:val="20"/>
          <w:color w:val="auto"/>
        </w:rPr>
      </w:pPr>
      <w:r>
        <w:rPr>
          <w:rFonts w:ascii="Courier New" w:cs="Courier New" w:eastAsia="Courier New" w:hAnsi="Courier New"/>
          <w:sz w:val="15"/>
          <w:szCs w:val="15"/>
          <w:color w:val="auto"/>
        </w:rPr>
        <w:t>-------------</w:t>
        <w:tab/>
        <w:t>----------</w:t>
      </w:r>
    </w:p>
    <w:p>
      <w:pPr>
        <w:spacing w:after="0" w:line="13" w:lineRule="exact"/>
        <w:rPr>
          <w:sz w:val="20"/>
          <w:szCs w:val="20"/>
          <w:color w:val="auto"/>
        </w:rPr>
      </w:pPr>
    </w:p>
    <w:p>
      <w:pPr>
        <w:ind w:left="2980"/>
        <w:spacing w:after="0"/>
        <w:tabs>
          <w:tab w:leader="none" w:pos="4300" w:val="left"/>
        </w:tabs>
        <w:rPr>
          <w:sz w:val="20"/>
          <w:szCs w:val="20"/>
          <w:color w:val="auto"/>
        </w:rPr>
      </w:pPr>
      <w:r>
        <w:rPr>
          <w:rFonts w:ascii="Courier New" w:cs="Courier New" w:eastAsia="Courier New" w:hAnsi="Courier New"/>
          <w:sz w:val="16"/>
          <w:szCs w:val="16"/>
          <w:color w:val="auto"/>
        </w:rPr>
        <w:t>2006</w:t>
      </w:r>
      <w:r>
        <w:rPr>
          <w:sz w:val="20"/>
          <w:szCs w:val="20"/>
          <w:color w:val="auto"/>
        </w:rPr>
        <w:tab/>
      </w:r>
      <w:r>
        <w:rPr>
          <w:rFonts w:ascii="Courier New" w:cs="Courier New" w:eastAsia="Courier New" w:hAnsi="Courier New"/>
          <w:sz w:val="16"/>
          <w:szCs w:val="16"/>
          <w:color w:val="auto"/>
        </w:rPr>
        <w:t>2005</w:t>
      </w:r>
    </w:p>
    <w:p>
      <w:pPr>
        <w:spacing w:after="0" w:line="4" w:lineRule="exact"/>
        <w:rPr>
          <w:sz w:val="20"/>
          <w:szCs w:val="20"/>
          <w:color w:val="auto"/>
        </w:rPr>
      </w:pPr>
    </w:p>
    <w:p>
      <w:pPr>
        <w:ind w:left="2980"/>
        <w:spacing w:after="0"/>
        <w:tabs>
          <w:tab w:leader="none" w:pos="4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Nine Months Ended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5"/>
          <w:szCs w:val="15"/>
          <w:color w:val="auto"/>
        </w:rPr>
        <w:t>August 31,</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w:t>
        <w:tab/>
        <w:t>----------</w:t>
      </w:r>
    </w:p>
    <w:p>
      <w:pPr>
        <w:spacing w:after="0" w:line="13" w:lineRule="exact"/>
        <w:rPr>
          <w:sz w:val="20"/>
          <w:szCs w:val="20"/>
          <w:color w:val="auto"/>
        </w:rPr>
      </w:pPr>
    </w:p>
    <w:p>
      <w:pPr>
        <w:ind w:left="400"/>
        <w:spacing w:after="0"/>
        <w:tabs>
          <w:tab w:leader="none" w:pos="1720" w:val="left"/>
        </w:tabs>
        <w:rPr>
          <w:sz w:val="20"/>
          <w:szCs w:val="20"/>
          <w:color w:val="auto"/>
        </w:rPr>
      </w:pPr>
      <w:r>
        <w:rPr>
          <w:rFonts w:ascii="Courier New" w:cs="Courier New" w:eastAsia="Courier New" w:hAnsi="Courier New"/>
          <w:sz w:val="16"/>
          <w:szCs w:val="16"/>
          <w:color w:val="auto"/>
        </w:rPr>
        <w:t>2006</w:t>
      </w:r>
      <w:r>
        <w:rPr>
          <w:sz w:val="20"/>
          <w:szCs w:val="20"/>
          <w:color w:val="auto"/>
        </w:rPr>
        <w:tab/>
      </w:r>
      <w:r>
        <w:rPr>
          <w:rFonts w:ascii="Courier New" w:cs="Courier New" w:eastAsia="Courier New" w:hAnsi="Courier New"/>
          <w:sz w:val="16"/>
          <w:szCs w:val="16"/>
          <w:color w:val="auto"/>
        </w:rPr>
        <w:t>2005</w:t>
      </w:r>
    </w:p>
    <w:p>
      <w:pPr>
        <w:spacing w:after="0" w:line="4" w:lineRule="exact"/>
        <w:rPr>
          <w:sz w:val="20"/>
          <w:szCs w:val="20"/>
          <w:color w:val="auto"/>
        </w:rPr>
      </w:pPr>
    </w:p>
    <w:p>
      <w:pPr>
        <w:ind w:left="400"/>
        <w:spacing w:after="0"/>
        <w:tabs>
          <w:tab w:leader="none" w:pos="1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2">
            <w:col w:w="5000" w:space="180"/>
            <w:col w:w="5039"/>
          </w:cols>
          <w:pgMar w:left="240" w:top="85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Weighted average number of</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ordinary shares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outstanding for basic net</w:t>
      </w:r>
    </w:p>
    <w:p>
      <w:pPr>
        <w:sectPr>
          <w:pgSz w:w="11900" w:h="16838" w:orient="portrait"/>
          <w:cols w:equalWidth="0" w:num="1">
            <w:col w:w="10219"/>
          </w:cols>
          <w:pgMar w:left="240" w:top="854" w:right="1440" w:bottom="0" w:gutter="0" w:footer="0" w:header="0"/>
          <w:type w:val="continuous"/>
        </w:sectPr>
      </w:pP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income per ordinary share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28,351,525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27,839,212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28,333,823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27,782,555</w:t>
      </w:r>
    </w:p>
    <w:p>
      <w:pPr>
        <w:spacing w:after="0" w:line="5" w:lineRule="exact"/>
        <w:rPr>
          <w:sz w:val="20"/>
          <w:szCs w:val="20"/>
          <w:color w:val="auto"/>
        </w:rPr>
      </w:pPr>
    </w:p>
    <w:p>
      <w:pPr>
        <w:sectPr>
          <w:pgSz w:w="11900" w:h="16838" w:orient="portrait"/>
          <w:cols w:equalWidth="0" w:num="5">
            <w:col w:w="2500" w:space="280"/>
            <w:col w:w="960" w:space="300"/>
            <w:col w:w="960" w:space="380"/>
            <w:col w:w="960" w:space="280"/>
            <w:col w:w="3599"/>
          </w:cols>
          <w:pgMar w:left="240" w:top="854"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Effect of dilutive share</w:t>
      </w:r>
    </w:p>
    <w:p>
      <w:pPr>
        <w:sectPr>
          <w:pgSz w:w="11900" w:h="16838" w:orient="portrait"/>
          <w:cols w:equalWidth="0" w:num="1">
            <w:col w:w="10219"/>
          </w:cols>
          <w:pgMar w:left="240" w:top="854" w:right="1440" w:bottom="0" w:gutter="0" w:footer="0" w:header="0"/>
          <w:type w:val="continuous"/>
        </w:sectPr>
      </w:pP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options outstanding</w:t>
      </w:r>
    </w:p>
    <w:p>
      <w:pPr>
        <w:spacing w:after="0" w:line="20" w:lineRule="exact"/>
        <w:rPr>
          <w:sz w:val="20"/>
          <w:szCs w:val="20"/>
          <w:color w:val="auto"/>
        </w:rPr>
      </w:pPr>
      <w:r>
        <w:rPr>
          <w:sz w:val="20"/>
          <w:szCs w:val="20"/>
          <w:color w:val="auto"/>
        </w:rPr>
        <w:br w:type="column"/>
      </w:r>
    </w:p>
    <w:p>
      <w:pPr>
        <w:ind w:left="480"/>
        <w:spacing w:after="0"/>
        <w:tabs>
          <w:tab w:leader="none" w:pos="1700" w:val="left"/>
          <w:tab w:leader="none" w:pos="3040" w:val="left"/>
          <w:tab w:leader="none" w:pos="4300" w:val="left"/>
        </w:tabs>
        <w:rPr>
          <w:sz w:val="20"/>
          <w:szCs w:val="20"/>
          <w:color w:val="auto"/>
        </w:rPr>
      </w:pPr>
      <w:r>
        <w:rPr>
          <w:rFonts w:ascii="Courier New" w:cs="Courier New" w:eastAsia="Courier New" w:hAnsi="Courier New"/>
          <w:sz w:val="16"/>
          <w:szCs w:val="16"/>
          <w:color w:val="auto"/>
        </w:rPr>
        <w:t>733,555</w:t>
      </w:r>
      <w:r>
        <w:rPr>
          <w:sz w:val="20"/>
          <w:szCs w:val="20"/>
          <w:color w:val="auto"/>
        </w:rPr>
        <w:tab/>
      </w:r>
      <w:r>
        <w:rPr>
          <w:rFonts w:ascii="Courier New" w:cs="Courier New" w:eastAsia="Courier New" w:hAnsi="Courier New"/>
          <w:sz w:val="16"/>
          <w:szCs w:val="16"/>
          <w:color w:val="auto"/>
        </w:rPr>
        <w:t>461,212</w:t>
      </w:r>
      <w:r>
        <w:rPr>
          <w:sz w:val="20"/>
          <w:szCs w:val="20"/>
          <w:color w:val="auto"/>
        </w:rPr>
        <w:tab/>
      </w:r>
      <w:r>
        <w:rPr>
          <w:rFonts w:ascii="Courier New" w:cs="Courier New" w:eastAsia="Courier New" w:hAnsi="Courier New"/>
          <w:sz w:val="16"/>
          <w:szCs w:val="16"/>
          <w:color w:val="auto"/>
        </w:rPr>
        <w:t>376,109</w:t>
      </w:r>
      <w:r>
        <w:rPr>
          <w:sz w:val="20"/>
          <w:szCs w:val="20"/>
          <w:color w:val="auto"/>
        </w:rPr>
        <w:tab/>
      </w:r>
      <w:r>
        <w:rPr>
          <w:rFonts w:ascii="Courier New" w:cs="Courier New" w:eastAsia="Courier New" w:hAnsi="Courier New"/>
          <w:sz w:val="15"/>
          <w:szCs w:val="15"/>
          <w:color w:val="auto"/>
        </w:rPr>
        <w:t>436,259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sectPr>
          <w:pgSz w:w="11900" w:h="16838" w:orient="portrait"/>
          <w:cols w:equalWidth="0" w:num="2">
            <w:col w:w="1920" w:space="680"/>
            <w:col w:w="7619"/>
          </w:cols>
          <w:pgMar w:left="240" w:top="854" w:right="1440" w:bottom="0" w:gutter="0" w:footer="0" w:header="0"/>
          <w:type w:val="continuous"/>
        </w:sectPr>
      </w:pPr>
    </w:p>
    <w:p>
      <w:pPr>
        <w:ind w:left="100" w:hanging="95"/>
        <w:spacing w:after="0" w:line="243" w:lineRule="auto"/>
        <w:rPr>
          <w:sz w:val="20"/>
          <w:szCs w:val="20"/>
          <w:color w:val="auto"/>
        </w:rPr>
      </w:pPr>
      <w:r>
        <w:rPr>
          <w:rFonts w:ascii="Courier New" w:cs="Courier New" w:eastAsia="Courier New" w:hAnsi="Courier New"/>
          <w:sz w:val="16"/>
          <w:szCs w:val="16"/>
          <w:color w:val="auto"/>
        </w:rPr>
        <w:t>Weighted average number of ordinary shares for diluted net income per ordinary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80"/>
        <w:spacing w:after="0"/>
        <w:tabs>
          <w:tab w:leader="none" w:pos="1420" w:val="left"/>
          <w:tab w:leader="none" w:pos="2760" w:val="left"/>
          <w:tab w:leader="none" w:pos="4000" w:val="left"/>
        </w:tabs>
        <w:rPr>
          <w:sz w:val="20"/>
          <w:szCs w:val="20"/>
          <w:color w:val="auto"/>
        </w:rPr>
      </w:pPr>
      <w:r>
        <w:rPr>
          <w:rFonts w:ascii="Courier New" w:cs="Courier New" w:eastAsia="Courier New" w:hAnsi="Courier New"/>
          <w:sz w:val="16"/>
          <w:szCs w:val="16"/>
          <w:color w:val="auto"/>
        </w:rPr>
        <w:t>29,085,080</w:t>
      </w:r>
      <w:r>
        <w:rPr>
          <w:sz w:val="20"/>
          <w:szCs w:val="20"/>
          <w:color w:val="auto"/>
        </w:rPr>
        <w:tab/>
      </w:r>
      <w:r>
        <w:rPr>
          <w:rFonts w:ascii="Courier New" w:cs="Courier New" w:eastAsia="Courier New" w:hAnsi="Courier New"/>
          <w:sz w:val="16"/>
          <w:szCs w:val="16"/>
          <w:color w:val="auto"/>
        </w:rPr>
        <w:t>28,300,424</w:t>
      </w:r>
      <w:r>
        <w:rPr>
          <w:sz w:val="20"/>
          <w:szCs w:val="20"/>
          <w:color w:val="auto"/>
        </w:rPr>
        <w:tab/>
      </w:r>
      <w:r>
        <w:rPr>
          <w:rFonts w:ascii="Courier New" w:cs="Courier New" w:eastAsia="Courier New" w:hAnsi="Courier New"/>
          <w:sz w:val="16"/>
          <w:szCs w:val="16"/>
          <w:color w:val="auto"/>
        </w:rPr>
        <w:t>28,709,932</w:t>
        <w:tab/>
        <w:t>28,218,814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2">
            <w:col w:w="2500" w:space="100"/>
            <w:col w:w="7619"/>
          </w:cols>
          <w:pgMar w:left="240" w:top="85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5. Stock Options</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90" w:lineRule="exact"/>
        <w:rPr>
          <w:sz w:val="20"/>
          <w:szCs w:val="20"/>
          <w:color w:val="auto"/>
        </w:rPr>
      </w:pPr>
    </w:p>
    <w:p>
      <w:pPr>
        <w:jc w:val="both"/>
        <w:ind w:right="2539"/>
        <w:spacing w:after="0" w:line="263" w:lineRule="auto"/>
        <w:rPr>
          <w:sz w:val="20"/>
          <w:szCs w:val="20"/>
          <w:color w:val="auto"/>
        </w:rPr>
      </w:pPr>
      <w:r>
        <w:rPr>
          <w:rFonts w:ascii="Courier New" w:cs="Courier New" w:eastAsia="Courier New" w:hAnsi="Courier New"/>
          <w:sz w:val="15"/>
          <w:szCs w:val="15"/>
          <w:color w:val="auto"/>
        </w:rPr>
        <w:t>An aggregate of 3.0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200,000 ordinary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options can be granted after January 17, 2013.</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December 2004, the Financial Accounting Standards Board ("FASB") issued Statement of Accounting Standards ("SFAS") 123 (revised 2004), Share Based Payment ("SFAS 123R") which replaced SFAS 123 Accounting for Stock-Based Compensation and supersedes Accounting Principles Board ("APB") Opinion No. 25 Accounting for Stock Issued to Employees. SFAS 123R requires, with effect from accounting periods beginning after June 15, 2005, that all share based payments</w:t>
      </w:r>
    </w:p>
    <w:p>
      <w:pPr>
        <w:sectPr>
          <w:pgSz w:w="11900" w:h="16838" w:orient="portrait"/>
          <w:cols w:equalWidth="0" w:num="1">
            <w:col w:w="10219"/>
          </w:cols>
          <w:pgMar w:left="240" w:top="854" w:right="1440" w:bottom="0" w:gutter="0" w:footer="0" w:header="0"/>
          <w:type w:val="continuous"/>
        </w:sectPr>
      </w:pPr>
    </w:p>
    <w:bookmarkStart w:id="10" w:name="page11"/>
    <w:bookmarkEnd w:id="10"/>
    <w:p>
      <w:pPr>
        <w:ind w:right="2539"/>
        <w:spacing w:after="0" w:line="242" w:lineRule="auto"/>
        <w:rPr>
          <w:sz w:val="20"/>
          <w:szCs w:val="20"/>
          <w:color w:val="auto"/>
        </w:rPr>
      </w:pPr>
      <w:r>
        <w:rPr>
          <w:rFonts w:ascii="Courier New" w:cs="Courier New" w:eastAsia="Courier New" w:hAnsi="Courier New"/>
          <w:sz w:val="16"/>
          <w:szCs w:val="16"/>
          <w:color w:val="auto"/>
        </w:rPr>
        <w:t>to employees, including stock options granted, be recognized in the financial statements based on their grant date fair values.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42" w:right="1440" w:bottom="1440" w:gutter="0" w:footer="0" w:header="0"/>
        </w:sectPr>
      </w:pPr>
    </w:p>
    <w:bookmarkStart w:id="11" w:name="page12"/>
    <w:bookmarkEnd w:id="11"/>
    <w:p>
      <w:pPr>
        <w:jc w:val="both"/>
        <w:ind w:right="2539"/>
        <w:spacing w:after="0" w:line="244" w:lineRule="auto"/>
        <w:rPr>
          <w:sz w:val="20"/>
          <w:szCs w:val="20"/>
          <w:color w:val="auto"/>
        </w:rPr>
      </w:pPr>
      <w:r>
        <w:rPr>
          <w:rFonts w:ascii="Courier New" w:cs="Courier New" w:eastAsia="Courier New" w:hAnsi="Courier New"/>
          <w:sz w:val="16"/>
          <w:szCs w:val="16"/>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nine months ended September 30,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 The following table summarizes option activity for the nine months ended September 30, 2006: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Weighted</w:t>
            </w:r>
          </w:p>
        </w:tc>
      </w:tr>
      <w:tr>
        <w:trPr>
          <w:trHeight w:val="185"/>
        </w:trPr>
        <w:tc>
          <w:tcPr>
            <w:tcW w:w="3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rPr>
              <w:t>Options</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Weighted</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Weighted</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Average</w:t>
            </w:r>
          </w:p>
        </w:tc>
      </w:tr>
      <w:tr>
        <w:trPr>
          <w:trHeight w:val="185"/>
        </w:trPr>
        <w:tc>
          <w:tcPr>
            <w:tcW w:w="3220" w:type="dxa"/>
            <w:vAlign w:val="bottom"/>
          </w:tcPr>
          <w:p>
            <w:pPr>
              <w:spacing w:after="0"/>
              <w:rPr>
                <w:sz w:val="16"/>
                <w:szCs w:val="16"/>
                <w:color w:val="auto"/>
              </w:rPr>
            </w:pPr>
          </w:p>
        </w:tc>
        <w:tc>
          <w:tcPr>
            <w:tcW w:w="12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Outstanding</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Average</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Average</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Remaining</w:t>
            </w:r>
          </w:p>
        </w:tc>
      </w:tr>
      <w:tr>
        <w:trPr>
          <w:trHeight w:val="185"/>
        </w:trPr>
        <w:tc>
          <w:tcPr>
            <w:tcW w:w="3220" w:type="dxa"/>
            <w:vAlign w:val="bottom"/>
          </w:tcPr>
          <w:p>
            <w:pPr>
              <w:spacing w:after="0"/>
              <w:rPr>
                <w:sz w:val="16"/>
                <w:szCs w:val="16"/>
                <w:color w:val="auto"/>
              </w:rPr>
            </w:pPr>
          </w:p>
        </w:tc>
        <w:tc>
          <w:tcPr>
            <w:tcW w:w="12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Number of</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Fair</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Contractual</w:t>
            </w:r>
          </w:p>
        </w:tc>
      </w:tr>
      <w:tr>
        <w:trPr>
          <w:trHeight w:val="185"/>
        </w:trPr>
        <w:tc>
          <w:tcPr>
            <w:tcW w:w="322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Shares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Price</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Value</w:t>
            </w:r>
          </w:p>
        </w:tc>
        <w:tc>
          <w:tcPr>
            <w:tcW w:w="11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Life</w:t>
            </w: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Outstanding at December 31, 2005</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2,264,292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$7.30</w:t>
            </w:r>
          </w:p>
        </w:tc>
        <w:tc>
          <w:tcPr>
            <w:tcW w:w="1160" w:type="dxa"/>
            <w:vAlign w:val="bottom"/>
          </w:tcPr>
          <w:p>
            <w:pPr>
              <w:spacing w:after="0"/>
              <w:rPr>
                <w:sz w:val="24"/>
                <w:szCs w:val="24"/>
                <w:color w:val="auto"/>
              </w:rPr>
            </w:pPr>
          </w:p>
        </w:tc>
      </w:tr>
      <w:tr>
        <w:trPr>
          <w:trHeight w:val="185"/>
        </w:trPr>
        <w:tc>
          <w:tcPr>
            <w:tcW w:w="3220" w:type="dxa"/>
            <w:vAlign w:val="bottom"/>
          </w:tcPr>
          <w:p>
            <w:pPr>
              <w:spacing w:after="0"/>
              <w:rPr>
                <w:sz w:val="16"/>
                <w:szCs w:val="16"/>
                <w:color w:val="auto"/>
              </w:rPr>
            </w:pPr>
          </w:p>
        </w:tc>
        <w:tc>
          <w:tcPr>
            <w:tcW w:w="4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745,222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21.95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9.82</w:t>
            </w:r>
          </w:p>
        </w:tc>
        <w:tc>
          <w:tcPr>
            <w:tcW w:w="1160" w:type="dxa"/>
            <w:vAlign w:val="bottom"/>
          </w:tcPr>
          <w:p>
            <w:pPr>
              <w:spacing w:after="0"/>
              <w:rPr>
                <w:sz w:val="16"/>
                <w:szCs w:val="16"/>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(438,934)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13.59</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7.09</w:t>
            </w:r>
          </w:p>
        </w:tc>
        <w:tc>
          <w:tcPr>
            <w:tcW w:w="1160" w:type="dxa"/>
            <w:vAlign w:val="bottom"/>
          </w:tcPr>
          <w:p>
            <w:pPr>
              <w:spacing w:after="0"/>
              <w:rPr>
                <w:sz w:val="16"/>
                <w:szCs w:val="16"/>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(228,744)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7.67</w:t>
            </w:r>
          </w:p>
        </w:tc>
        <w:tc>
          <w:tcPr>
            <w:tcW w:w="1160" w:type="dxa"/>
            <w:vAlign w:val="bottom"/>
          </w:tcPr>
          <w:p>
            <w:pPr>
              <w:spacing w:after="0"/>
              <w:rPr>
                <w:sz w:val="16"/>
                <w:szCs w:val="16"/>
                <w:color w:val="auto"/>
              </w:rPr>
            </w:pPr>
          </w:p>
        </w:tc>
      </w:tr>
      <w:tr>
        <w:trPr>
          <w:trHeight w:val="185"/>
        </w:trPr>
        <w:tc>
          <w:tcPr>
            <w:tcW w:w="3220" w:type="dxa"/>
            <w:vAlign w:val="bottom"/>
          </w:tcPr>
          <w:p>
            <w:pPr>
              <w:spacing w:after="0"/>
              <w:rPr>
                <w:sz w:val="16"/>
                <w:szCs w:val="16"/>
                <w:color w:val="auto"/>
              </w:rPr>
            </w:pPr>
          </w:p>
        </w:tc>
        <w:tc>
          <w:tcPr>
            <w:tcW w:w="4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Outstanding at September 30, 2006</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2,341,836</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$17.97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5.88</w:t>
            </w:r>
          </w:p>
        </w:tc>
      </w:tr>
      <w:tr>
        <w:trPr>
          <w:trHeight w:val="185"/>
        </w:trPr>
        <w:tc>
          <w:tcPr>
            <w:tcW w:w="3220" w:type="dxa"/>
            <w:vAlign w:val="bottom"/>
          </w:tcPr>
          <w:p>
            <w:pPr>
              <w:spacing w:after="0"/>
              <w:rPr>
                <w:sz w:val="16"/>
                <w:szCs w:val="16"/>
                <w:color w:val="auto"/>
              </w:rPr>
            </w:pPr>
          </w:p>
        </w:tc>
        <w:tc>
          <w:tcPr>
            <w:tcW w:w="4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Exercisable at September 30, 2006</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591,458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$16.10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4.81</w:t>
            </w:r>
          </w:p>
        </w:tc>
      </w:tr>
      <w:tr>
        <w:trPr>
          <w:trHeight w:val="185"/>
        </w:trPr>
        <w:tc>
          <w:tcPr>
            <w:tcW w:w="3220" w:type="dxa"/>
            <w:vAlign w:val="bottom"/>
          </w:tcPr>
          <w:p>
            <w:pPr>
              <w:spacing w:after="0"/>
              <w:rPr>
                <w:sz w:val="16"/>
                <w:szCs w:val="16"/>
                <w:color w:val="auto"/>
              </w:rPr>
            </w:pPr>
          </w:p>
        </w:tc>
        <w:tc>
          <w:tcPr>
            <w:tcW w:w="4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2006 is eight years.</w:t>
      </w:r>
    </w:p>
    <w:p>
      <w:pPr>
        <w:spacing w:after="0" w:line="187"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weighted average fair value of stock options granted during the nine months ended September 30, 2006, calculated using the Black-Scholes option pricing model, was $9.82 based on the following assumptions; dividend yield - 0%, risk free interest rate - 4.6%, expected volatility - 45% and weighted average expected life - 4.81 years.</w:t>
      </w:r>
    </w:p>
    <w:p>
      <w:pPr>
        <w:spacing w:after="0" w:line="187"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January 17, 2006, 30,000 share options, with an exercise price of $20.84, were granted to a key employee of the Company. These options will vest between 2009 and 2014, subject to the Company's diluted earnings achieving $2.10 per share. If the Company does not achieve diluted earnings of $2.10 per share before January 16, 2014, the option grant expires.</w:t>
      </w:r>
    </w:p>
    <w:p>
      <w:pPr>
        <w:spacing w:after="0" w:line="187"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gilts zero-coupon yield curve in effect at time of grant for periods corresponding with the expected life of the option.</w:t>
      </w:r>
    </w:p>
    <w:p>
      <w:pPr>
        <w:spacing w:after="0" w:line="188"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Income from operations for the nine months ended September 30, 2006, is stated after charging $3.0 million in respect of non-cash stock compensation expense. Basic and diluted earnings per share for the nine months ended September 30, 2006, had SFAS 123R not been introduced would have been $1.06 and $1.03 respectively. Non-cash stock compensation expense for the nine months ended September 30, 2006, has been allocated to direct costs and selling, general and administrative expenses as follows: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56" w:right="1440" w:bottom="1440" w:gutter="0" w:footer="0" w:header="0"/>
        </w:sectPr>
      </w:pPr>
    </w:p>
    <w:bookmarkStart w:id="12" w:name="page13"/>
    <w:bookmarkEnd w:id="12"/>
    <w:p>
      <w:pPr>
        <w:ind w:left="2980"/>
        <w:spacing w:after="0"/>
        <w:rPr>
          <w:sz w:val="20"/>
          <w:szCs w:val="20"/>
          <w:color w:val="auto"/>
        </w:rPr>
      </w:pPr>
      <w:r>
        <w:rPr>
          <w:rFonts w:ascii="Courier New" w:cs="Courier New" w:eastAsia="Courier New" w:hAnsi="Courier New"/>
          <w:sz w:val="16"/>
          <w:szCs w:val="16"/>
          <w:color w:val="auto"/>
        </w:rPr>
        <w:t>Three Months Ended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80"/>
        <w:spacing w:after="0"/>
        <w:tabs>
          <w:tab w:leader="none" w:pos="412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5"/>
          <w:szCs w:val="15"/>
          <w:color w:val="auto"/>
        </w:rPr>
        <w:t>August 31,</w:t>
      </w:r>
    </w:p>
    <w:p>
      <w:pPr>
        <w:spacing w:after="0" w:line="5" w:lineRule="exact"/>
        <w:rPr>
          <w:sz w:val="20"/>
          <w:szCs w:val="20"/>
          <w:color w:val="auto"/>
        </w:rPr>
      </w:pPr>
    </w:p>
    <w:p>
      <w:pPr>
        <w:ind w:left="2680"/>
        <w:spacing w:after="0"/>
        <w:tabs>
          <w:tab w:leader="none" w:pos="4120" w:val="left"/>
        </w:tabs>
        <w:rPr>
          <w:sz w:val="20"/>
          <w:szCs w:val="20"/>
          <w:color w:val="auto"/>
        </w:rPr>
      </w:pPr>
      <w:r>
        <w:rPr>
          <w:rFonts w:ascii="Courier New" w:cs="Courier New" w:eastAsia="Courier New" w:hAnsi="Courier New"/>
          <w:sz w:val="15"/>
          <w:szCs w:val="15"/>
          <w:color w:val="auto"/>
        </w:rPr>
        <w:t>-------------</w:t>
        <w:tab/>
        <w:t>----------</w:t>
      </w:r>
    </w:p>
    <w:p>
      <w:pPr>
        <w:spacing w:after="0" w:line="13" w:lineRule="exact"/>
        <w:rPr>
          <w:sz w:val="20"/>
          <w:szCs w:val="20"/>
          <w:color w:val="auto"/>
        </w:rPr>
      </w:pPr>
    </w:p>
    <w:p>
      <w:pPr>
        <w:ind w:left="3080"/>
        <w:spacing w:after="0"/>
        <w:tabs>
          <w:tab w:leader="none" w:pos="4400" w:val="left"/>
        </w:tabs>
        <w:rPr>
          <w:sz w:val="20"/>
          <w:szCs w:val="20"/>
          <w:color w:val="auto"/>
        </w:rPr>
      </w:pPr>
      <w:r>
        <w:rPr>
          <w:rFonts w:ascii="Courier New" w:cs="Courier New" w:eastAsia="Courier New" w:hAnsi="Courier New"/>
          <w:sz w:val="16"/>
          <w:szCs w:val="16"/>
          <w:color w:val="auto"/>
        </w:rPr>
        <w:t>2006</w:t>
      </w:r>
      <w:r>
        <w:rPr>
          <w:sz w:val="20"/>
          <w:szCs w:val="20"/>
          <w:color w:val="auto"/>
        </w:rPr>
        <w:tab/>
      </w:r>
      <w:r>
        <w:rPr>
          <w:rFonts w:ascii="Courier New" w:cs="Courier New" w:eastAsia="Courier New" w:hAnsi="Courier New"/>
          <w:sz w:val="16"/>
          <w:szCs w:val="16"/>
          <w:color w:val="auto"/>
        </w:rPr>
        <w:t>2005</w:t>
      </w:r>
    </w:p>
    <w:p>
      <w:pPr>
        <w:spacing w:after="0" w:line="4" w:lineRule="exact"/>
        <w:rPr>
          <w:sz w:val="20"/>
          <w:szCs w:val="20"/>
          <w:color w:val="auto"/>
        </w:rPr>
      </w:pPr>
    </w:p>
    <w:p>
      <w:pPr>
        <w:ind w:left="3080"/>
        <w:spacing w:after="0"/>
        <w:tabs>
          <w:tab w:leader="none" w:pos="4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(in thousands)</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6"/>
          <w:szCs w:val="16"/>
          <w:color w:val="auto"/>
        </w:rPr>
        <w:t>Nine Months Ended</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5"/>
          <w:szCs w:val="15"/>
          <w:color w:val="auto"/>
        </w:rPr>
        <w:t>August 31,</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380"/>
        <w:spacing w:after="0"/>
        <w:tabs>
          <w:tab w:leader="none" w:pos="1720" w:val="left"/>
        </w:tabs>
        <w:rPr>
          <w:sz w:val="20"/>
          <w:szCs w:val="20"/>
          <w:color w:val="auto"/>
        </w:rPr>
      </w:pPr>
      <w:r>
        <w:rPr>
          <w:rFonts w:ascii="Courier New" w:cs="Courier New" w:eastAsia="Courier New" w:hAnsi="Courier New"/>
          <w:sz w:val="16"/>
          <w:szCs w:val="16"/>
          <w:color w:val="auto"/>
        </w:rPr>
        <w:t>2006</w:t>
      </w:r>
      <w:r>
        <w:rPr>
          <w:sz w:val="20"/>
          <w:szCs w:val="20"/>
          <w:color w:val="auto"/>
        </w:rPr>
        <w:tab/>
      </w:r>
      <w:r>
        <w:rPr>
          <w:rFonts w:ascii="Courier New" w:cs="Courier New" w:eastAsia="Courier New" w:hAnsi="Courier New"/>
          <w:sz w:val="16"/>
          <w:szCs w:val="16"/>
          <w:color w:val="auto"/>
        </w:rPr>
        <w:t>2005</w:t>
      </w:r>
    </w:p>
    <w:p>
      <w:pPr>
        <w:spacing w:after="0" w:line="4" w:lineRule="exact"/>
        <w:rPr>
          <w:sz w:val="20"/>
          <w:szCs w:val="20"/>
          <w:color w:val="auto"/>
        </w:rPr>
      </w:pPr>
    </w:p>
    <w:p>
      <w:pPr>
        <w:ind w:left="380"/>
        <w:spacing w:after="0"/>
        <w:tabs>
          <w:tab w:leader="none" w:pos="1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p>
      <w:pPr>
        <w:sectPr>
          <w:pgSz w:w="11900" w:h="16838" w:orient="portrait"/>
          <w:cols w:equalWidth="0" w:num="2">
            <w:col w:w="5100" w:space="180"/>
            <w:col w:w="4939"/>
          </w:cols>
          <w:pgMar w:left="240" w:top="854"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Direct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$ 1,649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7" w:lineRule="exact"/>
        <w:rPr>
          <w:sz w:val="20"/>
          <w:szCs w:val="20"/>
          <w:color w:val="auto"/>
        </w:rPr>
      </w:pPr>
    </w:p>
    <w:p>
      <w:pPr>
        <w:sectPr>
          <w:pgSz w:w="11900" w:h="16838" w:orient="portrait"/>
          <w:cols w:equalWidth="0" w:num="6">
            <w:col w:w="2160" w:space="720"/>
            <w:col w:w="100" w:space="280"/>
            <w:col w:w="920" w:space="720"/>
            <w:col w:w="100" w:space="480"/>
            <w:col w:w="1300" w:space="720"/>
            <w:col w:w="2719"/>
          </w:cols>
          <w:pgMar w:left="240" w:top="8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Selling, general and</w:t>
      </w:r>
    </w:p>
    <w:p>
      <w:pPr>
        <w:sectPr>
          <w:pgSz w:w="11900" w:h="16838" w:orient="portrait"/>
          <w:cols w:equalWidth="0" w:num="1">
            <w:col w:w="10219"/>
          </w:cols>
          <w:pgMar w:left="240" w:top="854" w:right="1440" w:bottom="1440" w:gutter="0" w:footer="0" w:header="0"/>
          <w:type w:val="continuous"/>
        </w:sectPr>
      </w:pP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administrative</w:t>
      </w:r>
    </w:p>
    <w:p>
      <w:pPr>
        <w:spacing w:after="0" w:line="20" w:lineRule="exact"/>
        <w:rPr>
          <w:sz w:val="20"/>
          <w:szCs w:val="20"/>
          <w:color w:val="auto"/>
        </w:rPr>
      </w:pPr>
      <w:r>
        <w:rPr>
          <w:sz w:val="20"/>
          <w:szCs w:val="20"/>
          <w:color w:val="auto"/>
        </w:rPr>
        <w:br w:type="column"/>
      </w:r>
    </w:p>
    <w:p>
      <w:pPr>
        <w:ind w:left="580"/>
        <w:spacing w:after="0"/>
        <w:tabs>
          <w:tab w:leader="none" w:pos="2200" w:val="left"/>
          <w:tab w:leader="none" w:pos="2960" w:val="left"/>
          <w:tab w:leader="none" w:pos="4800" w:val="left"/>
        </w:tabs>
        <w:rPr>
          <w:sz w:val="20"/>
          <w:szCs w:val="20"/>
          <w:color w:val="auto"/>
        </w:rPr>
      </w:pPr>
      <w:r>
        <w:rPr>
          <w:rFonts w:ascii="Courier New" w:cs="Courier New" w:eastAsia="Courier New" w:hAnsi="Courier New"/>
          <w:sz w:val="16"/>
          <w:szCs w:val="16"/>
          <w:color w:val="auto"/>
        </w:rPr>
        <w:t>460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1,344</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1960" w:space="720"/>
            <w:col w:w="7539"/>
          </w:cols>
          <w:pgMar w:left="240" w:top="854" w:right="1440" w:bottom="1440" w:gutter="0" w:footer="0" w:header="0"/>
          <w:type w:val="continuous"/>
        </w:sectPr>
      </w:pPr>
    </w:p>
    <w:p>
      <w:pPr>
        <w:ind w:left="2880"/>
        <w:spacing w:after="0"/>
        <w:tabs>
          <w:tab w:leader="none" w:pos="4880" w:val="left"/>
          <w:tab w:leader="none" w:pos="5460" w:val="left"/>
          <w:tab w:leader="none" w:pos="7480" w:val="left"/>
        </w:tabs>
        <w:rPr>
          <w:sz w:val="20"/>
          <w:szCs w:val="20"/>
          <w:color w:val="auto"/>
        </w:rPr>
      </w:pPr>
      <w:r>
        <w:rPr>
          <w:rFonts w:ascii="Courier New" w:cs="Courier New" w:eastAsia="Courier New" w:hAnsi="Courier New"/>
          <w:sz w:val="16"/>
          <w:szCs w:val="16"/>
          <w:color w:val="auto"/>
        </w:rPr>
        <w:t>$ 1,025</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$ 2,993</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4"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vested shares outstanding as at September 30, 2006,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15"/>
                <w:szCs w:val="15"/>
                <w:color w:val="auto"/>
              </w:rPr>
            </w:pP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Options</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Weighted</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Weighted</w:t>
            </w:r>
          </w:p>
        </w:tc>
      </w:tr>
      <w:tr>
        <w:trPr>
          <w:trHeight w:val="185"/>
        </w:trPr>
        <w:tc>
          <w:tcPr>
            <w:tcW w:w="44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Outstanding</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Average</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Average</w:t>
            </w:r>
          </w:p>
        </w:tc>
      </w:tr>
      <w:tr>
        <w:trPr>
          <w:trHeight w:val="185"/>
        </w:trPr>
        <w:tc>
          <w:tcPr>
            <w:tcW w:w="446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Number of</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w:t>
            </w:r>
          </w:p>
        </w:tc>
        <w:tc>
          <w:tcPr>
            <w:tcW w:w="960" w:type="dxa"/>
            <w:vAlign w:val="bottom"/>
          </w:tcPr>
          <w:p>
            <w:pPr>
              <w:ind w:left="300"/>
              <w:spacing w:after="0"/>
              <w:rPr>
                <w:sz w:val="20"/>
                <w:szCs w:val="20"/>
                <w:color w:val="auto"/>
              </w:rPr>
            </w:pPr>
            <w:r>
              <w:rPr>
                <w:rFonts w:ascii="Courier New" w:cs="Courier New" w:eastAsia="Courier New" w:hAnsi="Courier New"/>
                <w:sz w:val="16"/>
                <w:szCs w:val="16"/>
                <w:color w:val="auto"/>
              </w:rPr>
              <w:t>Fair</w:t>
            </w:r>
          </w:p>
        </w:tc>
      </w:tr>
      <w:tr>
        <w:trPr>
          <w:trHeight w:val="185"/>
        </w:trPr>
        <w:tc>
          <w:tcPr>
            <w:tcW w:w="446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Shares</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Price</w:t>
            </w:r>
          </w:p>
        </w:tc>
        <w:tc>
          <w:tcPr>
            <w:tcW w:w="960" w:type="dxa"/>
            <w:vAlign w:val="bottom"/>
          </w:tcPr>
          <w:p>
            <w:pPr>
              <w:ind w:left="300"/>
              <w:spacing w:after="0"/>
              <w:rPr>
                <w:sz w:val="20"/>
                <w:szCs w:val="20"/>
                <w:color w:val="auto"/>
              </w:rPr>
            </w:pPr>
            <w:r>
              <w:rPr>
                <w:rFonts w:ascii="Courier New" w:cs="Courier New" w:eastAsia="Courier New" w:hAnsi="Courier New"/>
                <w:sz w:val="16"/>
                <w:szCs w:val="16"/>
                <w:color w:val="auto"/>
              </w:rPr>
              <w:t>Value</w:t>
            </w:r>
          </w:p>
        </w:tc>
      </w:tr>
      <w:tr>
        <w:trPr>
          <w:trHeight w:val="370"/>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Non vested outstanding at December 31, 2005</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1,606,778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$16.60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$7.61</w:t>
            </w:r>
          </w:p>
        </w:tc>
      </w:tr>
      <w:tr>
        <w:trPr>
          <w:trHeight w:val="185"/>
        </w:trPr>
        <w:tc>
          <w:tcPr>
            <w:tcW w:w="4460" w:type="dxa"/>
            <w:vAlign w:val="bottom"/>
          </w:tcPr>
          <w:p>
            <w:pPr>
              <w:spacing w:after="0"/>
              <w:rPr>
                <w:sz w:val="16"/>
                <w:szCs w:val="16"/>
                <w:color w:val="auto"/>
              </w:rPr>
            </w:pPr>
          </w:p>
        </w:tc>
        <w:tc>
          <w:tcPr>
            <w:tcW w:w="3220" w:type="dxa"/>
            <w:vAlign w:val="bottom"/>
            <w:gridSpan w:val="3"/>
          </w:tcPr>
          <w:p>
            <w:pPr>
              <w:ind w:left="16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Granted</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745,222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21.95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9.82</w:t>
            </w:r>
          </w:p>
        </w:tc>
      </w:tr>
      <w:tr>
        <w:trPr>
          <w:trHeight w:val="185"/>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Vested</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(372,877)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17.94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8.43</w:t>
            </w:r>
          </w:p>
        </w:tc>
      </w:tr>
      <w:tr>
        <w:trPr>
          <w:trHeight w:val="185"/>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Forfeited</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(228,744)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7.67</w:t>
            </w:r>
          </w:p>
        </w:tc>
      </w:tr>
      <w:tr>
        <w:trPr>
          <w:trHeight w:val="185"/>
        </w:trPr>
        <w:tc>
          <w:tcPr>
            <w:tcW w:w="4460" w:type="dxa"/>
            <w:vAlign w:val="bottom"/>
          </w:tcPr>
          <w:p>
            <w:pPr>
              <w:spacing w:after="0"/>
              <w:rPr>
                <w:sz w:val="16"/>
                <w:szCs w:val="16"/>
                <w:color w:val="auto"/>
              </w:rPr>
            </w:pPr>
          </w:p>
        </w:tc>
        <w:tc>
          <w:tcPr>
            <w:tcW w:w="3220" w:type="dxa"/>
            <w:vAlign w:val="bottom"/>
            <w:gridSpan w:val="3"/>
          </w:tcPr>
          <w:p>
            <w:pPr>
              <w:ind w:left="16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60" w:type="dxa"/>
            <w:vAlign w:val="bottom"/>
          </w:tcPr>
          <w:p>
            <w:pPr>
              <w:spacing w:after="0"/>
              <w:rPr>
                <w:sz w:val="20"/>
                <w:szCs w:val="20"/>
                <w:color w:val="auto"/>
              </w:rPr>
            </w:pPr>
            <w:r>
              <w:rPr>
                <w:rFonts w:ascii="Courier New" w:cs="Courier New" w:eastAsia="Courier New" w:hAnsi="Courier New"/>
                <w:sz w:val="16"/>
                <w:szCs w:val="16"/>
                <w:color w:val="auto"/>
              </w:rPr>
              <w:t>Non vested outstanding at September 30, 2006</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1,750,379</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$18.60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$8.36</w:t>
            </w:r>
          </w:p>
        </w:tc>
      </w:tr>
      <w:tr>
        <w:trPr>
          <w:trHeight w:val="185"/>
        </w:trPr>
        <w:tc>
          <w:tcPr>
            <w:tcW w:w="4460" w:type="dxa"/>
            <w:vAlign w:val="bottom"/>
          </w:tcPr>
          <w:p>
            <w:pPr>
              <w:spacing w:after="0"/>
              <w:rPr>
                <w:sz w:val="16"/>
                <w:szCs w:val="16"/>
                <w:color w:val="auto"/>
              </w:rPr>
            </w:pPr>
          </w:p>
        </w:tc>
        <w:tc>
          <w:tcPr>
            <w:tcW w:w="3220" w:type="dxa"/>
            <w:vAlign w:val="bottom"/>
            <w:gridSpan w:val="3"/>
          </w:tcPr>
          <w:p>
            <w:pPr>
              <w:ind w:left="160"/>
              <w:spacing w:after="0"/>
              <w:rPr>
                <w:sz w:val="20"/>
                <w:szCs w:val="20"/>
                <w:color w:val="auto"/>
              </w:rPr>
            </w:pPr>
            <w:r>
              <w:rPr>
                <w:rFonts w:ascii="Courier New" w:cs="Courier New" w:eastAsia="Courier New" w:hAnsi="Courier New"/>
                <w:sz w:val="16"/>
                <w:szCs w:val="16"/>
                <w:color w:val="auto"/>
                <w:w w:val="98"/>
              </w:rPr>
              <w:t>================================</w:t>
            </w:r>
          </w:p>
        </w:tc>
      </w:tr>
    </w:tbl>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As at September 30, 2006, total unrecognized compensation cost related to unvested options, which the Company expects to recognize over a weighted average period of 4.3 years, amounted to $10.1 million. The Company has granted options with fair values ranging from $5.78 to $9.82 per option or a weighted average fair value of $7.94 per option. The Company issues new ordinary shares for all options exercised. The total amount of fully vested share options which remained outstanding at September 30, 2006 was 68,396. The fully vested options have an average remaining contractual term of 1.76 years and average exercise price of $10.27. The total intrinsic value of options exercised during the period was $5.94 million (3 months ended September 30, 2006 was $2.34 million).</w:t>
      </w:r>
    </w:p>
    <w:p>
      <w:pPr>
        <w:spacing w:after="0" w:line="190" w:lineRule="exact"/>
        <w:rPr>
          <w:sz w:val="20"/>
          <w:szCs w:val="20"/>
          <w:color w:val="auto"/>
        </w:rPr>
      </w:pPr>
    </w:p>
    <w:p>
      <w:pPr>
        <w:jc w:val="both"/>
        <w:ind w:right="2539"/>
        <w:spacing w:after="0" w:line="263" w:lineRule="auto"/>
        <w:rPr>
          <w:sz w:val="20"/>
          <w:szCs w:val="20"/>
          <w:color w:val="auto"/>
        </w:rPr>
      </w:pPr>
      <w:r>
        <w:rPr>
          <w:rFonts w:ascii="Courier New" w:cs="Courier New" w:eastAsia="Courier New" w:hAnsi="Courier New"/>
          <w:sz w:val="15"/>
          <w:szCs w:val="15"/>
          <w:color w:val="auto"/>
        </w:rPr>
        <w:t>Prior to the adoption of SFAS 123R, the Company accounted for its share options in accordance with the provisions of SFAS No. 123 which allowed entities to continue to apply the provisions of APB 25 and provide pro forma net income and pro forma earnings per share disclosures for employee stock option grants as if the fair-value-based method defined in SFAS No. 123 had been applied. The impact on net profit and earnings per share, had SFAS 123R been applied are as follows:</w:t>
      </w:r>
    </w:p>
    <w:p>
      <w:pPr>
        <w:spacing w:after="0" w:line="176" w:lineRule="exact"/>
        <w:rPr>
          <w:sz w:val="20"/>
          <w:szCs w:val="20"/>
          <w:color w:val="auto"/>
        </w:rPr>
      </w:pPr>
    </w:p>
    <w:p>
      <w:pPr>
        <w:ind w:left="6060"/>
        <w:spacing w:after="0"/>
        <w:rPr>
          <w:sz w:val="20"/>
          <w:szCs w:val="20"/>
          <w:color w:val="auto"/>
        </w:rPr>
      </w:pPr>
      <w:r>
        <w:rPr>
          <w:rFonts w:ascii="Courier New" w:cs="Courier New" w:eastAsia="Courier New" w:hAnsi="Courier New"/>
          <w:sz w:val="15"/>
          <w:szCs w:val="15"/>
          <w:color w:val="auto"/>
        </w:rPr>
        <w:t>Nine Months Ended</w:t>
      </w:r>
    </w:p>
    <w:p>
      <w:pPr>
        <w:spacing w:after="0" w:line="15" w:lineRule="exact"/>
        <w:rPr>
          <w:sz w:val="20"/>
          <w:szCs w:val="20"/>
          <w:color w:val="auto"/>
        </w:rPr>
      </w:pPr>
    </w:p>
    <w:p>
      <w:pPr>
        <w:ind w:left="6240"/>
        <w:spacing w:after="0"/>
        <w:rPr>
          <w:sz w:val="20"/>
          <w:szCs w:val="20"/>
          <w:color w:val="auto"/>
        </w:rPr>
      </w:pPr>
      <w:r>
        <w:rPr>
          <w:rFonts w:ascii="Courier New" w:cs="Courier New" w:eastAsia="Courier New" w:hAnsi="Courier New"/>
          <w:sz w:val="15"/>
          <w:szCs w:val="15"/>
          <w:color w:val="auto"/>
        </w:rPr>
        <w:t>August 31, 2005</w:t>
      </w:r>
    </w:p>
    <w:p>
      <w:pPr>
        <w:spacing w:after="0" w:line="13" w:lineRule="exact"/>
        <w:rPr>
          <w:sz w:val="20"/>
          <w:szCs w:val="20"/>
          <w:color w:val="auto"/>
        </w:rPr>
      </w:pPr>
    </w:p>
    <w:p>
      <w:pPr>
        <w:ind w:left="6240"/>
        <w:spacing w:after="0"/>
        <w:rPr>
          <w:sz w:val="20"/>
          <w:szCs w:val="20"/>
          <w:color w:val="auto"/>
        </w:rPr>
      </w:pPr>
      <w:r>
        <w:rPr>
          <w:rFonts w:ascii="Courier New" w:cs="Courier New" w:eastAsia="Courier New" w:hAnsi="Courier New"/>
          <w:sz w:val="16"/>
          <w:szCs w:val="16"/>
          <w:color w:val="auto"/>
        </w:rPr>
        <w:t>(in thousands)</w:t>
      </w:r>
    </w:p>
    <w:p>
      <w:pPr>
        <w:sectPr>
          <w:pgSz w:w="11900" w:h="16838" w:orient="portrait"/>
          <w:cols w:equalWidth="0" w:num="1">
            <w:col w:w="10219"/>
          </w:cols>
          <w:pgMar w:left="240" w:top="854"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profit as reported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$6,804</w:t>
      </w:r>
    </w:p>
    <w:p>
      <w:pPr>
        <w:spacing w:after="0" w:line="188" w:lineRule="exact"/>
        <w:rPr>
          <w:sz w:val="20"/>
          <w:szCs w:val="20"/>
          <w:color w:val="auto"/>
        </w:rPr>
      </w:pPr>
    </w:p>
    <w:p>
      <w:pPr>
        <w:sectPr>
          <w:pgSz w:w="11900" w:h="16838" w:orient="portrait"/>
          <w:cols w:equalWidth="0" w:num="2">
            <w:col w:w="6000" w:space="720"/>
            <w:col w:w="3499"/>
          </w:cols>
          <w:pgMar w:left="240" w:top="85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Deduct: Total non-cash stock compensation expense determined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under fair value based method for all awards, net of related</w:t>
      </w:r>
    </w:p>
    <w:p>
      <w:pPr>
        <w:spacing w:after="0" w:line="4" w:lineRule="exact"/>
        <w:rPr>
          <w:sz w:val="20"/>
          <w:szCs w:val="20"/>
          <w:color w:val="auto"/>
        </w:rPr>
      </w:pPr>
    </w:p>
    <w:p>
      <w:pPr>
        <w:ind w:left="100"/>
        <w:spacing w:after="0"/>
        <w:tabs>
          <w:tab w:leader="none" w:pos="6600" w:val="left"/>
        </w:tabs>
        <w:rPr>
          <w:sz w:val="20"/>
          <w:szCs w:val="20"/>
          <w:color w:val="auto"/>
        </w:rPr>
      </w:pPr>
      <w:r>
        <w:rPr>
          <w:rFonts w:ascii="Courier New" w:cs="Courier New" w:eastAsia="Courier New" w:hAnsi="Courier New"/>
          <w:sz w:val="16"/>
          <w:szCs w:val="16"/>
          <w:color w:val="auto"/>
        </w:rPr>
        <w:t>tax effects</w:t>
      </w:r>
      <w:r>
        <w:rPr>
          <w:sz w:val="20"/>
          <w:szCs w:val="20"/>
          <w:color w:val="auto"/>
        </w:rPr>
        <w:tab/>
      </w:r>
      <w:r>
        <w:rPr>
          <w:rFonts w:ascii="Courier New" w:cs="Courier New" w:eastAsia="Courier New" w:hAnsi="Courier New"/>
          <w:sz w:val="16"/>
          <w:szCs w:val="16"/>
          <w:color w:val="auto"/>
        </w:rPr>
        <w:t>($2,090)</w:t>
      </w:r>
    </w:p>
    <w:p>
      <w:pPr>
        <w:sectPr>
          <w:pgSz w:w="11900" w:h="16838" w:orient="portrait"/>
          <w:cols w:equalWidth="0" w:num="1">
            <w:col w:w="10219"/>
          </w:cols>
          <w:pgMar w:left="240" w:top="854"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Pro forma net profit</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$4,714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gridSpan w:val="3"/>
          </w:tcPr>
          <w:p>
            <w:pPr>
              <w:spacing w:after="0"/>
              <w:rPr>
                <w:sz w:val="20"/>
                <w:szCs w:val="20"/>
                <w:color w:val="auto"/>
              </w:rPr>
            </w:pPr>
            <w:r>
              <w:rPr>
                <w:rFonts w:ascii="Courier New" w:cs="Courier New" w:eastAsia="Courier New" w:hAnsi="Courier New"/>
                <w:sz w:val="16"/>
                <w:szCs w:val="16"/>
                <w:color w:val="auto"/>
              </w:rPr>
              <w:t>Earnings per</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share (in $):</w:t>
            </w:r>
          </w:p>
        </w:tc>
        <w:tc>
          <w:tcPr>
            <w:tcW w:w="2600" w:type="dxa"/>
            <w:vAlign w:val="bottom"/>
          </w:tcPr>
          <w:p>
            <w:pPr>
              <w:spacing w:after="0"/>
              <w:rPr>
                <w:sz w:val="15"/>
                <w:szCs w:val="15"/>
                <w:color w:val="auto"/>
              </w:rPr>
            </w:pPr>
          </w:p>
        </w:tc>
      </w:tr>
      <w:tr>
        <w:trPr>
          <w:trHeight w:val="185"/>
        </w:trPr>
        <w:tc>
          <w:tcPr>
            <w:tcW w:w="4700" w:type="dxa"/>
            <w:vAlign w:val="bottom"/>
            <w:gridSpan w:val="4"/>
          </w:tcPr>
          <w:p>
            <w:pPr>
              <w:spacing w:after="0"/>
              <w:rPr>
                <w:sz w:val="20"/>
                <w:szCs w:val="20"/>
                <w:color w:val="auto"/>
              </w:rPr>
            </w:pPr>
            <w:r>
              <w:rPr>
                <w:rFonts w:ascii="Courier New" w:cs="Courier New" w:eastAsia="Courier New" w:hAnsi="Courier New"/>
                <w:sz w:val="16"/>
                <w:szCs w:val="16"/>
                <w:color w:val="auto"/>
              </w:rPr>
              <w:t>Basic - as reported</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r>
      <w:tr>
        <w:trPr>
          <w:trHeight w:val="185"/>
        </w:trPr>
        <w:tc>
          <w:tcPr>
            <w:tcW w:w="4700" w:type="dxa"/>
            <w:vAlign w:val="bottom"/>
            <w:gridSpan w:val="4"/>
          </w:tcPr>
          <w:p>
            <w:pPr>
              <w:spacing w:after="0"/>
              <w:rPr>
                <w:sz w:val="20"/>
                <w:szCs w:val="20"/>
                <w:color w:val="auto"/>
              </w:rPr>
            </w:pPr>
            <w:r>
              <w:rPr>
                <w:rFonts w:ascii="Courier New" w:cs="Courier New" w:eastAsia="Courier New" w:hAnsi="Courier New"/>
                <w:sz w:val="16"/>
                <w:szCs w:val="16"/>
                <w:color w:val="auto"/>
              </w:rPr>
              <w:t>Basic - pro forma</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reported</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proforma</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r>
    </w:tbl>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54" w:right="1440" w:bottom="1440" w:gutter="0" w:footer="0" w:header="0"/>
          <w:type w:val="continuous"/>
        </w:sectPr>
      </w:pPr>
    </w:p>
    <w:bookmarkStart w:id="13" w:name="page14"/>
    <w:bookmarkEnd w:id="13"/>
    <w:p>
      <w:pPr>
        <w:jc w:val="both"/>
        <w:ind w:left="1" w:right="2539"/>
        <w:spacing w:after="0" w:line="244" w:lineRule="auto"/>
        <w:rPr>
          <w:sz w:val="20"/>
          <w:szCs w:val="20"/>
          <w:color w:val="auto"/>
        </w:rPr>
      </w:pPr>
      <w:r>
        <w:rPr>
          <w:rFonts w:ascii="Courier New" w:cs="Courier New" w:eastAsia="Courier New" w:hAnsi="Courier New"/>
          <w:sz w:val="16"/>
          <w:szCs w:val="16"/>
          <w:color w:val="auto"/>
        </w:rPr>
        <w:t>The weighted average fair value of stock options granted during the nine months ended August 31, 2005, calculated using the Black-Scholes option pricing model, was $7.54 based on the following assumptions; dividend yield - 0%, risk free interest rate - 3.9/4.1%, expected volatility - 45% and weighted average expected life - 4.81 years.</w:t>
      </w:r>
    </w:p>
    <w:p>
      <w:pPr>
        <w:spacing w:after="0" w:line="187"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exercise and termination patterns. The risk-free rate is based on the U.S. gilts zero-coupon yield curve in effect at time of grant for periods corresponding with the expected life of the option.</w:t>
      </w:r>
    </w:p>
    <w:p>
      <w:pPr>
        <w:spacing w:after="0" w:line="188"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On February 7, 2005, 240,000 share options, with an exercise price of $17.20, were granted to certain key employees of the Company. These options will vest between 2008 and 2013 subject to the Company's diluted earnings achieving $2.00 per share. If the Company does not achieve diluted earnings of $2.00 per share before February 6, 2013, the option grant expires.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6. Business Segment Information</w:t>
      </w:r>
    </w:p>
    <w:p>
      <w:pPr>
        <w:spacing w:after="0" w:line="190"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The Company's areas of operation outside of Ireland principally include the United Kingdom, United States, Germany, Australia, Argentina, Chile, France, Italy, Japan, Israel, Singapore, Canada, Sweden, The Netherlands, Latvia, Russia, Lithuania, Poland, Taiwan, Hong Kong, South Africa, Spain, Hungary, India, Mexico, Brazil, South Korea, China and Thailand. Segment information for the three and nine month periods ended September 30, 2006 and August 31, 2005 are as follows:</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 The distribution of net revenue by geographical area was as follows:</w:t>
      </w:r>
    </w:p>
    <w:p>
      <w:pPr>
        <w:spacing w:after="0" w:line="188" w:lineRule="exact"/>
        <w:rPr>
          <w:sz w:val="20"/>
          <w:szCs w:val="20"/>
          <w:color w:val="auto"/>
        </w:rPr>
      </w:pPr>
    </w:p>
    <w:tbl>
      <w:tblPr>
        <w:tblLayout w:type="fixed"/>
        <w:tblInd w:w="2681" w:type="dxa"/>
        <w:tblCellMar>
          <w:top w:w="0" w:type="dxa"/>
          <w:left w:w="0" w:type="dxa"/>
          <w:bottom w:w="0" w:type="dxa"/>
          <w:right w:w="0" w:type="dxa"/>
        </w:tblCellMar>
      </w:tblPr>
      <w:tr>
        <w:trPr>
          <w:trHeight w:val="181"/>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Three Months Ended</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September 30,</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August 31,</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September 30,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August 31,</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2006</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2005</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2006</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w:t>
            </w:r>
          </w:p>
        </w:tc>
      </w:tr>
    </w:tbl>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2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(in thousands)</w:t>
            </w:r>
          </w:p>
        </w:tc>
        <w:tc>
          <w:tcPr>
            <w:tcW w:w="440" w:type="dxa"/>
            <w:vAlign w:val="bottom"/>
          </w:tcPr>
          <w:p>
            <w:pPr>
              <w:spacing w:after="0"/>
              <w:rPr>
                <w:sz w:val="15"/>
                <w:szCs w:val="15"/>
                <w:color w:val="auto"/>
              </w:rPr>
            </w:pPr>
          </w:p>
        </w:tc>
        <w:tc>
          <w:tcPr>
            <w:tcW w:w="2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Ireland*</w:t>
            </w:r>
          </w:p>
        </w:tc>
        <w:tc>
          <w:tcPr>
            <w:tcW w:w="7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11,889</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10,753</w:t>
            </w:r>
          </w:p>
        </w:tc>
        <w:tc>
          <w:tcPr>
            <w:tcW w:w="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31,199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28,494</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7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28,322</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21,510</w:t>
            </w:r>
          </w:p>
        </w:tc>
        <w:tc>
          <w:tcPr>
            <w:tcW w:w="44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74,447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68,190</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7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72,471</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47,625</w:t>
            </w:r>
          </w:p>
        </w:tc>
        <w:tc>
          <w:tcPr>
            <w:tcW w:w="44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198,331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142,665</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Rest of the World</w:t>
            </w:r>
          </w:p>
        </w:tc>
        <w:tc>
          <w:tcPr>
            <w:tcW w:w="7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8,032</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6,033</w:t>
            </w:r>
          </w:p>
        </w:tc>
        <w:tc>
          <w:tcPr>
            <w:tcW w:w="44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22,668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15,396</w:t>
            </w:r>
          </w:p>
        </w:tc>
      </w:tr>
    </w:tbl>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2661" w:val="left"/>
          <w:tab w:leader="none" w:pos="3141" w:val="left"/>
          <w:tab w:leader="none" w:pos="4121" w:val="left"/>
          <w:tab w:leader="none" w:pos="4401" w:val="left"/>
          <w:tab w:leader="none" w:pos="5261" w:val="left"/>
          <w:tab w:leader="none" w:pos="5741" w:val="left"/>
          <w:tab w:leader="none" w:pos="67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120,714</w:t>
      </w:r>
      <w:r>
        <w:rPr>
          <w:sz w:val="20"/>
          <w:szCs w:val="20"/>
          <w:color w:val="auto"/>
        </w:rPr>
        <w:tab/>
      </w:r>
      <w:r>
        <w:rPr>
          <w:rFonts w:ascii="Courier New" w:cs="Courier New" w:eastAsia="Courier New" w:hAnsi="Courier New"/>
          <w:sz w:val="16"/>
          <w:szCs w:val="16"/>
          <w:color w:val="auto"/>
        </w:rPr>
        <w:t>$</w:t>
        <w:tab/>
        <w:t>85,921</w:t>
        <w:tab/>
        <w:t>$</w:t>
      </w:r>
      <w:r>
        <w:rPr>
          <w:sz w:val="20"/>
          <w:szCs w:val="20"/>
          <w:color w:val="auto"/>
        </w:rPr>
        <w:tab/>
      </w:r>
      <w:r>
        <w:rPr>
          <w:rFonts w:ascii="Courier New" w:cs="Courier New" w:eastAsia="Courier New" w:hAnsi="Courier New"/>
          <w:sz w:val="16"/>
          <w:szCs w:val="16"/>
          <w:color w:val="auto"/>
        </w:rPr>
        <w:t>326,645</w:t>
      </w:r>
      <w:r>
        <w:rPr>
          <w:sz w:val="20"/>
          <w:szCs w:val="20"/>
          <w:color w:val="auto"/>
        </w:rPr>
        <w:tab/>
      </w:r>
      <w:r>
        <w:rPr>
          <w:rFonts w:ascii="Courier New" w:cs="Courier New" w:eastAsia="Courier New" w:hAnsi="Courier New"/>
          <w:sz w:val="15"/>
          <w:szCs w:val="15"/>
          <w:color w:val="auto"/>
        </w:rPr>
        <w:t>$ 254,745</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1" w:hanging="189"/>
        <w:spacing w:after="0"/>
        <w:tabs>
          <w:tab w:leader="none" w:pos="38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sales shown for Ireland are export sales.</w:t>
      </w:r>
    </w:p>
    <w:p>
      <w:pPr>
        <w:spacing w:after="0" w:line="373"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net revenue by business segment was as follows:</w:t>
      </w:r>
    </w:p>
    <w:p>
      <w:pPr>
        <w:spacing w:after="0" w:line="188" w:lineRule="exact"/>
        <w:rPr>
          <w:sz w:val="20"/>
          <w:szCs w:val="20"/>
          <w:color w:val="auto"/>
        </w:rPr>
      </w:pPr>
    </w:p>
    <w:tbl>
      <w:tblPr>
        <w:tblLayout w:type="fixed"/>
        <w:tblInd w:w="2681" w:type="dxa"/>
        <w:tblCellMar>
          <w:top w:w="0" w:type="dxa"/>
          <w:left w:w="0" w:type="dxa"/>
          <w:bottom w:w="0" w:type="dxa"/>
          <w:right w:w="0" w:type="dxa"/>
        </w:tblCellMar>
      </w:tblPr>
      <w:tr>
        <w:trPr>
          <w:trHeight w:val="181"/>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Three Months Ended</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September 30,</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August 31,</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September 30,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August 31,</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2006</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2005</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2006</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w:t>
            </w:r>
          </w:p>
        </w:tc>
      </w:tr>
    </w:tbl>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(in thousands)</w:t>
            </w:r>
          </w:p>
        </w:tc>
        <w:tc>
          <w:tcPr>
            <w:tcW w:w="440" w:type="dxa"/>
            <w:vAlign w:val="bottom"/>
          </w:tcPr>
          <w:p>
            <w:pPr>
              <w:spacing w:after="0"/>
              <w:rPr>
                <w:sz w:val="15"/>
                <w:szCs w:val="15"/>
                <w:color w:val="auto"/>
              </w:rPr>
            </w:pPr>
          </w:p>
        </w:tc>
        <w:tc>
          <w:tcPr>
            <w:tcW w:w="2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2100" w:type="dxa"/>
            <w:vAlign w:val="bottom"/>
          </w:tcPr>
          <w:p>
            <w:pPr>
              <w:spacing w:after="0"/>
              <w:rPr>
                <w:sz w:val="20"/>
                <w:szCs w:val="20"/>
                <w:color w:val="auto"/>
              </w:rPr>
            </w:pPr>
            <w:r>
              <w:rPr>
                <w:rFonts w:ascii="Courier New" w:cs="Courier New" w:eastAsia="Courier New" w:hAnsi="Courier New"/>
                <w:sz w:val="16"/>
                <w:szCs w:val="16"/>
                <w:color w:val="auto"/>
              </w:rPr>
              <w:t>Central laboratory</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12,888</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7,235</w:t>
            </w:r>
          </w:p>
        </w:tc>
        <w:tc>
          <w:tcPr>
            <w:tcW w:w="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33,693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19,729</w:t>
            </w:r>
          </w:p>
        </w:tc>
      </w:tr>
      <w:tr>
        <w:trPr>
          <w:trHeight w:val="185"/>
        </w:trPr>
        <w:tc>
          <w:tcPr>
            <w:tcW w:w="2100" w:type="dxa"/>
            <w:vAlign w:val="bottom"/>
          </w:tcPr>
          <w:p>
            <w:pPr>
              <w:spacing w:after="0"/>
              <w:rPr>
                <w:sz w:val="20"/>
                <w:szCs w:val="20"/>
                <w:color w:val="auto"/>
              </w:rPr>
            </w:pPr>
            <w:r>
              <w:rPr>
                <w:rFonts w:ascii="Courier New" w:cs="Courier New" w:eastAsia="Courier New" w:hAnsi="Courier New"/>
                <w:sz w:val="16"/>
                <w:szCs w:val="16"/>
                <w:color w:val="auto"/>
              </w:rPr>
              <w:t>Clinical research</w:t>
            </w:r>
          </w:p>
        </w:tc>
        <w:tc>
          <w:tcPr>
            <w:tcW w:w="68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107,826</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78,686</w:t>
            </w:r>
          </w:p>
        </w:tc>
        <w:tc>
          <w:tcPr>
            <w:tcW w:w="44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292,952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235,016</w:t>
            </w:r>
          </w:p>
        </w:tc>
      </w:tr>
    </w:tbl>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2661" w:val="left"/>
          <w:tab w:leader="none" w:pos="3141" w:val="left"/>
          <w:tab w:leader="none" w:pos="4121" w:val="left"/>
          <w:tab w:leader="none" w:pos="4401" w:val="left"/>
          <w:tab w:leader="none" w:pos="5261" w:val="left"/>
          <w:tab w:leader="none" w:pos="5741" w:val="left"/>
          <w:tab w:leader="none" w:pos="67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120,714</w:t>
      </w:r>
      <w:r>
        <w:rPr>
          <w:sz w:val="20"/>
          <w:szCs w:val="20"/>
          <w:color w:val="auto"/>
        </w:rPr>
        <w:tab/>
      </w:r>
      <w:r>
        <w:rPr>
          <w:rFonts w:ascii="Courier New" w:cs="Courier New" w:eastAsia="Courier New" w:hAnsi="Courier New"/>
          <w:sz w:val="16"/>
          <w:szCs w:val="16"/>
          <w:color w:val="auto"/>
        </w:rPr>
        <w:t>$</w:t>
        <w:tab/>
        <w:t>85,921</w:t>
        <w:tab/>
        <w:t>$</w:t>
      </w:r>
      <w:r>
        <w:rPr>
          <w:sz w:val="20"/>
          <w:szCs w:val="20"/>
          <w:color w:val="auto"/>
        </w:rPr>
        <w:tab/>
      </w:r>
      <w:r>
        <w:rPr>
          <w:rFonts w:ascii="Courier New" w:cs="Courier New" w:eastAsia="Courier New" w:hAnsi="Courier New"/>
          <w:sz w:val="16"/>
          <w:szCs w:val="16"/>
          <w:color w:val="auto"/>
        </w:rPr>
        <w:t>326,645</w:t>
      </w:r>
      <w:r>
        <w:rPr>
          <w:sz w:val="20"/>
          <w:szCs w:val="20"/>
          <w:color w:val="auto"/>
        </w:rPr>
        <w:tab/>
      </w:r>
      <w:r>
        <w:rPr>
          <w:rFonts w:ascii="Courier New" w:cs="Courier New" w:eastAsia="Courier New" w:hAnsi="Courier New"/>
          <w:sz w:val="15"/>
          <w:szCs w:val="15"/>
          <w:color w:val="auto"/>
        </w:rPr>
        <w:t>$ 254,745</w:t>
      </w:r>
    </w:p>
    <w:p>
      <w:pPr>
        <w:spacing w:after="0" w:line="5" w:lineRule="exact"/>
        <w:rPr>
          <w:sz w:val="20"/>
          <w:szCs w:val="20"/>
          <w:color w:val="auto"/>
        </w:rPr>
      </w:pPr>
    </w:p>
    <w:p>
      <w:pPr>
        <w:jc w:val="center"/>
        <w:ind w:right="2338"/>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856" w:right="1440" w:bottom="1440" w:gutter="0" w:footer="0" w:header="0"/>
        </w:sectPr>
      </w:pPr>
    </w:p>
    <w:bookmarkStart w:id="14" w:name="page15"/>
    <w:bookmarkEnd w:id="14"/>
    <w:p>
      <w:pPr>
        <w:ind w:left="1" w:right="3199" w:hanging="1"/>
        <w:spacing w:after="0" w:line="242" w:lineRule="auto"/>
        <w:tabs>
          <w:tab w:leader="none" w:pos="29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income from operations by geographical area was as follows:</w:t>
      </w:r>
    </w:p>
    <w:p>
      <w:pPr>
        <w:spacing w:after="0" w:line="187" w:lineRule="exact"/>
        <w:rPr>
          <w:sz w:val="20"/>
          <w:szCs w:val="20"/>
          <w:color w:val="auto"/>
        </w:rPr>
      </w:pPr>
    </w:p>
    <w:tbl>
      <w:tblPr>
        <w:tblLayout w:type="fixed"/>
        <w:tblInd w:w="2681" w:type="dxa"/>
        <w:tblCellMar>
          <w:top w:w="0" w:type="dxa"/>
          <w:left w:w="0" w:type="dxa"/>
          <w:bottom w:w="0" w:type="dxa"/>
          <w:right w:w="0" w:type="dxa"/>
        </w:tblCellMar>
      </w:tblPr>
      <w:tr>
        <w:trPr>
          <w:trHeight w:val="181"/>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Three Months Ended</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September 30,</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August 31,</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September 30,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August 31,</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2006</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2005</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2006</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w:t>
            </w:r>
          </w:p>
        </w:tc>
      </w:tr>
    </w:tbl>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20" w:type="dxa"/>
            <w:vAlign w:val="bottom"/>
            <w:gridSpan w:val="3"/>
          </w:tcPr>
          <w:p>
            <w:pPr>
              <w:jc w:val="right"/>
              <w:ind w:right="440"/>
              <w:spacing w:after="0"/>
              <w:rPr>
                <w:sz w:val="20"/>
                <w:szCs w:val="20"/>
                <w:color w:val="auto"/>
              </w:rPr>
            </w:pPr>
            <w:r>
              <w:rPr>
                <w:rFonts w:ascii="Courier New" w:cs="Courier New" w:eastAsia="Courier New" w:hAnsi="Courier New"/>
                <w:sz w:val="16"/>
                <w:szCs w:val="16"/>
                <w:color w:val="auto"/>
              </w:rPr>
              <w:t>(in thousands)</w:t>
            </w:r>
          </w:p>
        </w:tc>
        <w:tc>
          <w:tcPr>
            <w:tcW w:w="480" w:type="dxa"/>
            <w:vAlign w:val="bottom"/>
          </w:tcPr>
          <w:p>
            <w:pPr>
              <w:spacing w:after="0"/>
              <w:rPr>
                <w:sz w:val="15"/>
                <w:szCs w:val="15"/>
                <w:color w:val="auto"/>
              </w:rPr>
            </w:pPr>
          </w:p>
        </w:tc>
        <w:tc>
          <w:tcPr>
            <w:tcW w:w="206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Ireland</w:t>
            </w:r>
          </w:p>
        </w:tc>
        <w:tc>
          <w:tcPr>
            <w:tcW w:w="7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2,331</w:t>
            </w:r>
          </w:p>
        </w:tc>
        <w:tc>
          <w:tcPr>
            <w:tcW w:w="4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462</w:t>
            </w: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6,263</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265</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7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3,676</w:t>
            </w:r>
          </w:p>
        </w:tc>
        <w:tc>
          <w:tcPr>
            <w:tcW w:w="40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4,623</w:t>
            </w:r>
          </w:p>
        </w:tc>
        <w:tc>
          <w:tcPr>
            <w:tcW w:w="4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10,047</w:t>
            </w:r>
          </w:p>
        </w:tc>
        <w:tc>
          <w:tcPr>
            <w:tcW w:w="3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15,347</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7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5,612</w:t>
            </w:r>
          </w:p>
        </w:tc>
        <w:tc>
          <w:tcPr>
            <w:tcW w:w="40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1,640</w:t>
            </w:r>
          </w:p>
        </w:tc>
        <w:tc>
          <w:tcPr>
            <w:tcW w:w="4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14,517</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(7,104)</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Rest of the World</w:t>
            </w:r>
          </w:p>
        </w:tc>
        <w:tc>
          <w:tcPr>
            <w:tcW w:w="7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992</w:t>
            </w:r>
          </w:p>
        </w:tc>
        <w:tc>
          <w:tcPr>
            <w:tcW w:w="40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1,643</w:t>
            </w:r>
          </w:p>
        </w:tc>
        <w:tc>
          <w:tcPr>
            <w:tcW w:w="4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3,186</w:t>
            </w:r>
          </w:p>
        </w:tc>
        <w:tc>
          <w:tcPr>
            <w:tcW w:w="3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1,974</w:t>
            </w:r>
          </w:p>
        </w:tc>
      </w:tr>
    </w:tbl>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2661" w:val="left"/>
          <w:tab w:leader="none" w:pos="3241" w:val="left"/>
          <w:tab w:leader="none" w:pos="4121" w:val="left"/>
          <w:tab w:leader="none" w:pos="4501" w:val="left"/>
          <w:tab w:leader="none" w:pos="5261" w:val="left"/>
          <w:tab w:leader="none" w:pos="5841" w:val="left"/>
          <w:tab w:leader="none" w:pos="6701" w:val="left"/>
          <w:tab w:leader="none" w:pos="70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12,611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8,368</w:t>
        <w:tab/>
        <w:t>$</w:t>
      </w:r>
      <w:r>
        <w:rPr>
          <w:sz w:val="20"/>
          <w:szCs w:val="20"/>
          <w:color w:val="auto"/>
        </w:rPr>
        <w:tab/>
      </w:r>
      <w:r>
        <w:rPr>
          <w:rFonts w:ascii="Courier New" w:cs="Courier New" w:eastAsia="Courier New" w:hAnsi="Courier New"/>
          <w:sz w:val="16"/>
          <w:szCs w:val="16"/>
          <w:color w:val="auto"/>
        </w:rPr>
        <w:t>34,013</w:t>
        <w:tab/>
        <w:t>$</w:t>
      </w:r>
      <w:r>
        <w:rPr>
          <w:sz w:val="20"/>
          <w:szCs w:val="20"/>
          <w:color w:val="auto"/>
        </w:rPr>
        <w:tab/>
      </w:r>
      <w:r>
        <w:rPr>
          <w:rFonts w:ascii="Courier New" w:cs="Courier New" w:eastAsia="Courier New" w:hAnsi="Courier New"/>
          <w:sz w:val="15"/>
          <w:szCs w:val="15"/>
          <w:color w:val="auto"/>
        </w:rPr>
        <w:t>10,482</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384" w:lineRule="exact"/>
        <w:rPr>
          <w:sz w:val="20"/>
          <w:szCs w:val="20"/>
          <w:color w:val="auto"/>
        </w:rPr>
      </w:pPr>
    </w:p>
    <w:p>
      <w:pPr>
        <w:ind w:left="1" w:right="3299" w:hanging="1"/>
        <w:spacing w:after="0" w:line="242" w:lineRule="auto"/>
        <w:tabs>
          <w:tab w:leader="none" w:pos="29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income from operations by business segment was as follows:</w:t>
      </w:r>
    </w:p>
    <w:p>
      <w:pPr>
        <w:spacing w:after="0" w:line="2" w:lineRule="exact"/>
        <w:rPr>
          <w:sz w:val="20"/>
          <w:szCs w:val="20"/>
          <w:color w:val="auto"/>
        </w:rPr>
      </w:pPr>
    </w:p>
    <w:tbl>
      <w:tblPr>
        <w:tblLayout w:type="fixed"/>
        <w:tblInd w:w="2681" w:type="dxa"/>
        <w:tblCellMar>
          <w:top w:w="0" w:type="dxa"/>
          <w:left w:w="0" w:type="dxa"/>
          <w:bottom w:w="0" w:type="dxa"/>
          <w:right w:w="0" w:type="dxa"/>
        </w:tblCellMar>
      </w:tblPr>
      <w:tr>
        <w:trPr>
          <w:trHeight w:val="181"/>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Three Months Ended</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September 30,</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August 31,</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September 30,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August 31,</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2006</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2005</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2006</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w:t>
            </w:r>
          </w:p>
        </w:tc>
      </w:tr>
    </w:tbl>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60" w:type="dxa"/>
            <w:vAlign w:val="bottom"/>
            <w:gridSpan w:val="2"/>
          </w:tcPr>
          <w:p>
            <w:pPr>
              <w:jc w:val="right"/>
              <w:ind w:right="480"/>
              <w:spacing w:after="0"/>
              <w:rPr>
                <w:sz w:val="20"/>
                <w:szCs w:val="20"/>
                <w:color w:val="auto"/>
              </w:rPr>
            </w:pPr>
            <w:r>
              <w:rPr>
                <w:rFonts w:ascii="Courier New" w:cs="Courier New" w:eastAsia="Courier New" w:hAnsi="Courier New"/>
                <w:sz w:val="16"/>
                <w:szCs w:val="16"/>
                <w:color w:val="auto"/>
              </w:rPr>
              <w:t>(in thousands)</w:t>
            </w:r>
          </w:p>
        </w:tc>
        <w:tc>
          <w:tcPr>
            <w:tcW w:w="440" w:type="dxa"/>
            <w:vAlign w:val="bottom"/>
          </w:tcPr>
          <w:p>
            <w:pPr>
              <w:spacing w:after="0"/>
              <w:rPr>
                <w:sz w:val="15"/>
                <w:szCs w:val="15"/>
                <w:color w:val="auto"/>
              </w:rPr>
            </w:pPr>
          </w:p>
        </w:tc>
        <w:tc>
          <w:tcPr>
            <w:tcW w:w="206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2100" w:type="dxa"/>
            <w:vAlign w:val="bottom"/>
          </w:tcPr>
          <w:p>
            <w:pPr>
              <w:spacing w:after="0"/>
              <w:rPr>
                <w:sz w:val="20"/>
                <w:szCs w:val="20"/>
                <w:color w:val="auto"/>
              </w:rPr>
            </w:pPr>
            <w:r>
              <w:rPr>
                <w:rFonts w:ascii="Courier New" w:cs="Courier New" w:eastAsia="Courier New" w:hAnsi="Courier New"/>
                <w:sz w:val="16"/>
                <w:szCs w:val="16"/>
                <w:color w:val="auto"/>
              </w:rPr>
              <w:t>Central laboratory</w:t>
            </w: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639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(1,615)</w:t>
            </w:r>
          </w:p>
        </w:tc>
        <w:tc>
          <w:tcPr>
            <w:tcW w:w="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(14,145)</w:t>
            </w:r>
          </w:p>
        </w:tc>
      </w:tr>
      <w:tr>
        <w:trPr>
          <w:trHeight w:val="185"/>
        </w:trPr>
        <w:tc>
          <w:tcPr>
            <w:tcW w:w="2100" w:type="dxa"/>
            <w:vAlign w:val="bottom"/>
          </w:tcPr>
          <w:p>
            <w:pPr>
              <w:spacing w:after="0"/>
              <w:rPr>
                <w:sz w:val="20"/>
                <w:szCs w:val="20"/>
                <w:color w:val="auto"/>
              </w:rPr>
            </w:pPr>
            <w:r>
              <w:rPr>
                <w:rFonts w:ascii="Courier New" w:cs="Courier New" w:eastAsia="Courier New" w:hAnsi="Courier New"/>
                <w:sz w:val="16"/>
                <w:szCs w:val="16"/>
                <w:color w:val="auto"/>
              </w:rPr>
              <w:t>Clinical research</w:t>
            </w:r>
          </w:p>
        </w:tc>
        <w:tc>
          <w:tcPr>
            <w:tcW w:w="72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11,972</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9,983</w:t>
            </w:r>
          </w:p>
        </w:tc>
        <w:tc>
          <w:tcPr>
            <w:tcW w:w="44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33,708</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24,627</w:t>
            </w:r>
          </w:p>
        </w:tc>
      </w:tr>
    </w:tbl>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2661" w:val="left"/>
          <w:tab w:leader="none" w:pos="3241" w:val="left"/>
          <w:tab w:leader="none" w:pos="4121" w:val="left"/>
          <w:tab w:leader="none" w:pos="4501" w:val="left"/>
          <w:tab w:leader="none" w:pos="5261" w:val="left"/>
          <w:tab w:leader="none" w:pos="5841" w:val="left"/>
          <w:tab w:leader="none" w:pos="6701" w:val="left"/>
          <w:tab w:leader="none" w:pos="70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12,611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8,368</w:t>
        <w:tab/>
        <w:t>$</w:t>
      </w:r>
      <w:r>
        <w:rPr>
          <w:sz w:val="20"/>
          <w:szCs w:val="20"/>
          <w:color w:val="auto"/>
        </w:rPr>
        <w:tab/>
      </w:r>
      <w:r>
        <w:rPr>
          <w:rFonts w:ascii="Courier New" w:cs="Courier New" w:eastAsia="Courier New" w:hAnsi="Courier New"/>
          <w:sz w:val="16"/>
          <w:szCs w:val="16"/>
          <w:color w:val="auto"/>
        </w:rPr>
        <w:t>34,013</w:t>
        <w:tab/>
        <w:t>$</w:t>
      </w:r>
      <w:r>
        <w:rPr>
          <w:sz w:val="20"/>
          <w:szCs w:val="20"/>
          <w:color w:val="auto"/>
        </w:rPr>
        <w:tab/>
      </w:r>
      <w:r>
        <w:rPr>
          <w:rFonts w:ascii="Courier New" w:cs="Courier New" w:eastAsia="Courier New" w:hAnsi="Courier New"/>
          <w:sz w:val="15"/>
          <w:szCs w:val="15"/>
          <w:color w:val="auto"/>
        </w:rPr>
        <w:t>10,482</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384" w:lineRule="exact"/>
        <w:rPr>
          <w:sz w:val="20"/>
          <w:szCs w:val="20"/>
          <w:color w:val="auto"/>
        </w:rPr>
      </w:pPr>
    </w:p>
    <w:p>
      <w:pPr>
        <w:ind w:left="1" w:right="2639" w:hanging="1"/>
        <w:spacing w:after="0" w:line="242" w:lineRule="auto"/>
        <w:tabs>
          <w:tab w:leader="none" w:pos="29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property, plant and equipment, net, by geographical area was as follows:</w:t>
      </w:r>
    </w:p>
    <w:p>
      <w:pPr>
        <w:spacing w:after="0" w:line="187"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29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September 30,</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December 31,</w:t>
            </w:r>
          </w:p>
        </w:tc>
      </w:tr>
      <w:tr>
        <w:trPr>
          <w:trHeight w:val="185"/>
        </w:trPr>
        <w:tc>
          <w:tcPr>
            <w:tcW w:w="3260" w:type="dxa"/>
            <w:vAlign w:val="bottom"/>
          </w:tcPr>
          <w:p>
            <w:pPr>
              <w:spacing w:after="0"/>
              <w:rPr>
                <w:sz w:val="16"/>
                <w:szCs w:val="16"/>
                <w:color w:val="auto"/>
              </w:rPr>
            </w:pPr>
          </w:p>
        </w:tc>
        <w:tc>
          <w:tcPr>
            <w:tcW w:w="2980" w:type="dxa"/>
            <w:vAlign w:val="bottom"/>
            <w:gridSpan w:val="2"/>
          </w:tcPr>
          <w:p>
            <w:pPr>
              <w:ind w:left="164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center"/>
              <w:ind w:lef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2006</w:t>
            </w:r>
          </w:p>
        </w:tc>
        <w:tc>
          <w:tcPr>
            <w:tcW w:w="34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0" w:type="dxa"/>
            <w:vAlign w:val="bottom"/>
            <w:gridSpan w:val="3"/>
          </w:tcPr>
          <w:p>
            <w:pPr>
              <w:jc w:val="right"/>
              <w:ind w:right="5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Ireland</w:t>
            </w:r>
          </w:p>
        </w:tc>
        <w:tc>
          <w:tcPr>
            <w:tcW w:w="2020" w:type="dxa"/>
            <w:vAlign w:val="bottom"/>
          </w:tcPr>
          <w:p>
            <w:pPr>
              <w:ind w:left="16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26,774</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22,538</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202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8,728</w:t>
            </w:r>
          </w:p>
        </w:tc>
        <w:tc>
          <w:tcPr>
            <w:tcW w:w="3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6,669</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202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19,814</w:t>
            </w:r>
          </w:p>
        </w:tc>
        <w:tc>
          <w:tcPr>
            <w:tcW w:w="3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16,720</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Rest of the World</w:t>
            </w:r>
          </w:p>
        </w:tc>
        <w:tc>
          <w:tcPr>
            <w:tcW w:w="202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3,081</w:t>
            </w:r>
          </w:p>
        </w:tc>
        <w:tc>
          <w:tcPr>
            <w:tcW w:w="3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1,725</w:t>
            </w:r>
          </w:p>
        </w:tc>
      </w:tr>
    </w:tbl>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5081" w:val="left"/>
          <w:tab w:leader="none" w:pos="5641" w:val="left"/>
          <w:tab w:leader="none" w:pos="6521" w:val="left"/>
          <w:tab w:leader="none" w:pos="70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58,397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47,652</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384" w:lineRule="exact"/>
        <w:rPr>
          <w:sz w:val="20"/>
          <w:szCs w:val="20"/>
          <w:color w:val="auto"/>
        </w:rPr>
      </w:pPr>
    </w:p>
    <w:p>
      <w:pPr>
        <w:ind w:left="1" w:right="2719" w:hanging="1"/>
        <w:spacing w:after="0" w:line="242" w:lineRule="auto"/>
        <w:tabs>
          <w:tab w:leader="none" w:pos="29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property, plant and equipment, net, by business segment was as follows:</w:t>
      </w:r>
    </w:p>
    <w:p>
      <w:pPr>
        <w:spacing w:after="0" w:line="2" w:lineRule="exact"/>
        <w:rPr>
          <w:sz w:val="20"/>
          <w:szCs w:val="20"/>
          <w:color w:val="auto"/>
        </w:rPr>
      </w:pPr>
    </w:p>
    <w:p>
      <w:pPr>
        <w:ind w:left="5101"/>
        <w:spacing w:after="0"/>
        <w:tabs>
          <w:tab w:leader="none" w:pos="6521"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101"/>
        <w:spacing w:after="0"/>
        <w:tabs>
          <w:tab w:leader="none" w:pos="6521" w:val="left"/>
        </w:tabs>
        <w:rPr>
          <w:sz w:val="20"/>
          <w:szCs w:val="20"/>
          <w:color w:val="auto"/>
        </w:rPr>
      </w:pPr>
      <w:r>
        <w:rPr>
          <w:rFonts w:ascii="Courier New" w:cs="Courier New" w:eastAsia="Courier New" w:hAnsi="Courier New"/>
          <w:sz w:val="15"/>
          <w:szCs w:val="15"/>
          <w:color w:val="auto"/>
        </w:rPr>
        <w:t>-------------</w:t>
        <w:tab/>
        <w:t>------------</w:t>
      </w:r>
    </w:p>
    <w:p>
      <w:pPr>
        <w:spacing w:after="0" w:line="13" w:lineRule="exact"/>
        <w:rPr>
          <w:sz w:val="20"/>
          <w:szCs w:val="20"/>
          <w:color w:val="auto"/>
        </w:rPr>
      </w:pPr>
    </w:p>
    <w:p>
      <w:pPr>
        <w:ind w:left="5481"/>
        <w:spacing w:after="0"/>
        <w:tabs>
          <w:tab w:leader="none" w:pos="6901" w:val="left"/>
        </w:tabs>
        <w:rPr>
          <w:sz w:val="20"/>
          <w:szCs w:val="20"/>
          <w:color w:val="auto"/>
        </w:rPr>
      </w:pPr>
      <w:r>
        <w:rPr>
          <w:rFonts w:ascii="Courier New" w:cs="Courier New" w:eastAsia="Courier New" w:hAnsi="Courier New"/>
          <w:sz w:val="16"/>
          <w:szCs w:val="16"/>
          <w:color w:val="auto"/>
        </w:rPr>
        <w:t>2006</w:t>
      </w:r>
      <w:r>
        <w:rPr>
          <w:sz w:val="20"/>
          <w:szCs w:val="20"/>
          <w:color w:val="auto"/>
        </w:rPr>
        <w:tab/>
      </w:r>
      <w:r>
        <w:rPr>
          <w:rFonts w:ascii="Courier New" w:cs="Courier New" w:eastAsia="Courier New" w:hAnsi="Courier New"/>
          <w:sz w:val="16"/>
          <w:szCs w:val="16"/>
          <w:color w:val="auto"/>
        </w:rPr>
        <w:t>2005</w:t>
      </w:r>
    </w:p>
    <w:p>
      <w:pPr>
        <w:spacing w:after="0" w:line="4" w:lineRule="exact"/>
        <w:rPr>
          <w:sz w:val="20"/>
          <w:szCs w:val="20"/>
          <w:color w:val="auto"/>
        </w:rPr>
      </w:pPr>
    </w:p>
    <w:p>
      <w:pPr>
        <w:ind w:left="5481"/>
        <w:spacing w:after="0"/>
        <w:tabs>
          <w:tab w:leader="none" w:pos="690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5761"/>
        <w:spacing w:after="0"/>
        <w:rPr>
          <w:sz w:val="20"/>
          <w:szCs w:val="20"/>
          <w:color w:val="auto"/>
        </w:rPr>
      </w:pPr>
      <w:r>
        <w:rPr>
          <w:rFonts w:ascii="Courier New" w:cs="Courier New" w:eastAsia="Courier New" w:hAnsi="Courier New"/>
          <w:sz w:val="16"/>
          <w:szCs w:val="16"/>
          <w:color w:val="auto"/>
        </w:rPr>
        <w:t>(in thousands)</w:t>
      </w:r>
    </w:p>
    <w:p>
      <w:pPr>
        <w:spacing w:after="0" w:line="4" w:lineRule="exact"/>
        <w:rPr>
          <w:sz w:val="20"/>
          <w:szCs w:val="20"/>
          <w:color w:val="auto"/>
        </w:rPr>
      </w:pPr>
    </w:p>
    <w:p>
      <w:pPr>
        <w:ind w:left="201"/>
        <w:spacing w:after="0"/>
        <w:tabs>
          <w:tab w:leader="none" w:pos="5081" w:val="left"/>
          <w:tab w:leader="none" w:pos="5741" w:val="left"/>
          <w:tab w:leader="none" w:pos="6521" w:val="left"/>
          <w:tab w:leader="none" w:pos="7081" w:val="left"/>
        </w:tabs>
        <w:rPr>
          <w:sz w:val="20"/>
          <w:szCs w:val="20"/>
          <w:color w:val="auto"/>
        </w:rPr>
      </w:pPr>
      <w:r>
        <w:rPr>
          <w:rFonts w:ascii="Courier New" w:cs="Courier New" w:eastAsia="Courier New" w:hAnsi="Courier New"/>
          <w:sz w:val="16"/>
          <w:szCs w:val="16"/>
          <w:color w:val="auto"/>
        </w:rPr>
        <w:t>Central laboratory</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4,304</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3,380</w:t>
      </w:r>
    </w:p>
    <w:p>
      <w:pPr>
        <w:spacing w:after="0" w:line="4" w:lineRule="exact"/>
        <w:rPr>
          <w:sz w:val="20"/>
          <w:szCs w:val="20"/>
          <w:color w:val="auto"/>
        </w:rPr>
      </w:pPr>
    </w:p>
    <w:p>
      <w:pPr>
        <w:ind w:left="201"/>
        <w:spacing w:after="0"/>
        <w:tabs>
          <w:tab w:leader="none" w:pos="5641" w:val="left"/>
          <w:tab w:leader="none" w:pos="7001" w:val="left"/>
        </w:tabs>
        <w:rPr>
          <w:sz w:val="20"/>
          <w:szCs w:val="20"/>
          <w:color w:val="auto"/>
        </w:rPr>
      </w:pPr>
      <w:r>
        <w:rPr>
          <w:rFonts w:ascii="Courier New" w:cs="Courier New" w:eastAsia="Courier New" w:hAnsi="Courier New"/>
          <w:sz w:val="16"/>
          <w:szCs w:val="16"/>
          <w:color w:val="auto"/>
        </w:rPr>
        <w:t>Clinical research</w:t>
      </w:r>
      <w:r>
        <w:rPr>
          <w:sz w:val="20"/>
          <w:szCs w:val="20"/>
          <w:color w:val="auto"/>
        </w:rPr>
        <w:tab/>
      </w:r>
      <w:r>
        <w:rPr>
          <w:rFonts w:ascii="Courier New" w:cs="Courier New" w:eastAsia="Courier New" w:hAnsi="Courier New"/>
          <w:sz w:val="16"/>
          <w:szCs w:val="16"/>
          <w:color w:val="auto"/>
        </w:rPr>
        <w:t>54,093</w:t>
      </w:r>
      <w:r>
        <w:rPr>
          <w:sz w:val="20"/>
          <w:szCs w:val="20"/>
          <w:color w:val="auto"/>
        </w:rPr>
        <w:tab/>
      </w:r>
      <w:r>
        <w:rPr>
          <w:rFonts w:ascii="Courier New" w:cs="Courier New" w:eastAsia="Courier New" w:hAnsi="Courier New"/>
          <w:sz w:val="15"/>
          <w:szCs w:val="15"/>
          <w:color w:val="auto"/>
        </w:rPr>
        <w:t>44,272</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5081" w:val="left"/>
          <w:tab w:leader="none" w:pos="5641" w:val="left"/>
          <w:tab w:leader="none" w:pos="6521" w:val="left"/>
          <w:tab w:leader="none" w:pos="70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58,397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47,652</w:t>
      </w:r>
    </w:p>
    <w:p>
      <w:pPr>
        <w:spacing w:after="0" w:line="5" w:lineRule="exact"/>
        <w:rPr>
          <w:sz w:val="20"/>
          <w:szCs w:val="20"/>
          <w:color w:val="auto"/>
        </w:rPr>
      </w:pPr>
    </w:p>
    <w:p>
      <w:pPr>
        <w:jc w:val="center"/>
        <w:ind w:right="2338"/>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856" w:right="1440" w:bottom="1440" w:gutter="0" w:footer="0" w:header="0"/>
        </w:sectPr>
      </w:pPr>
    </w:p>
    <w:bookmarkStart w:id="15" w:name="page16"/>
    <w:bookmarkEnd w:id="15"/>
    <w:p>
      <w:pPr>
        <w:ind w:left="1" w:right="2539" w:hanging="1"/>
        <w:spacing w:after="0" w:line="242" w:lineRule="auto"/>
        <w:tabs>
          <w:tab w:leader="none" w:pos="29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depreciation and amortization by geographical area was as follows:</w:t>
      </w:r>
    </w:p>
    <w:p>
      <w:pPr>
        <w:spacing w:after="0" w:line="187" w:lineRule="exact"/>
        <w:rPr>
          <w:sz w:val="20"/>
          <w:szCs w:val="20"/>
          <w:color w:val="auto"/>
        </w:rPr>
      </w:pPr>
    </w:p>
    <w:tbl>
      <w:tblPr>
        <w:tblLayout w:type="fixed"/>
        <w:tblInd w:w="2681" w:type="dxa"/>
        <w:tblCellMar>
          <w:top w:w="0" w:type="dxa"/>
          <w:left w:w="0" w:type="dxa"/>
          <w:bottom w:w="0" w:type="dxa"/>
          <w:right w:w="0" w:type="dxa"/>
        </w:tblCellMar>
      </w:tblPr>
      <w:tr>
        <w:trPr>
          <w:trHeight w:val="181"/>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Three Months Ended</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September 30,</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August 31,</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September 30,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August 31,</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2006</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2005</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2006</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w:t>
            </w:r>
          </w:p>
        </w:tc>
      </w:tr>
    </w:tbl>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2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(in thousands)</w:t>
            </w:r>
          </w:p>
        </w:tc>
        <w:tc>
          <w:tcPr>
            <w:tcW w:w="480" w:type="dxa"/>
            <w:vAlign w:val="bottom"/>
          </w:tcPr>
          <w:p>
            <w:pPr>
              <w:spacing w:after="0"/>
              <w:rPr>
                <w:sz w:val="15"/>
                <w:szCs w:val="15"/>
                <w:color w:val="auto"/>
              </w:rPr>
            </w:pPr>
          </w:p>
        </w:tc>
        <w:tc>
          <w:tcPr>
            <w:tcW w:w="19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Ireland</w:t>
            </w:r>
          </w:p>
        </w:tc>
        <w:tc>
          <w:tcPr>
            <w:tcW w:w="7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1,318</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1,353</w:t>
            </w: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3,844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4,035</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7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637</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521</w:t>
            </w:r>
          </w:p>
        </w:tc>
        <w:tc>
          <w:tcPr>
            <w:tcW w:w="4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1,806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1,671</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7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1,690</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1,409</w:t>
            </w:r>
          </w:p>
        </w:tc>
        <w:tc>
          <w:tcPr>
            <w:tcW w:w="4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4,771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4,203</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Rest of the World</w:t>
            </w:r>
          </w:p>
        </w:tc>
        <w:tc>
          <w:tcPr>
            <w:tcW w:w="7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230</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151</w:t>
            </w:r>
          </w:p>
        </w:tc>
        <w:tc>
          <w:tcPr>
            <w:tcW w:w="4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588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498</w:t>
            </w:r>
          </w:p>
        </w:tc>
      </w:tr>
    </w:tbl>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2661" w:val="left"/>
          <w:tab w:leader="none" w:pos="3341" w:val="left"/>
          <w:tab w:leader="none" w:pos="4121" w:val="left"/>
          <w:tab w:leader="none" w:pos="4501" w:val="left"/>
          <w:tab w:leader="none" w:pos="5261" w:val="left"/>
          <w:tab w:leader="none" w:pos="5841" w:val="left"/>
          <w:tab w:leader="none" w:pos="6701" w:val="left"/>
          <w:tab w:leader="none" w:pos="70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3,875</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3,434</w:t>
        <w:tab/>
        <w:t>$</w:t>
      </w:r>
      <w:r>
        <w:rPr>
          <w:sz w:val="20"/>
          <w:szCs w:val="20"/>
          <w:color w:val="auto"/>
        </w:rPr>
        <w:tab/>
      </w:r>
      <w:r>
        <w:rPr>
          <w:rFonts w:ascii="Courier New" w:cs="Courier New" w:eastAsia="Courier New" w:hAnsi="Courier New"/>
          <w:sz w:val="16"/>
          <w:szCs w:val="16"/>
          <w:color w:val="auto"/>
        </w:rPr>
        <w:t>11,009</w:t>
        <w:tab/>
        <w:t>$</w:t>
      </w:r>
      <w:r>
        <w:rPr>
          <w:sz w:val="20"/>
          <w:szCs w:val="20"/>
          <w:color w:val="auto"/>
        </w:rPr>
        <w:tab/>
      </w:r>
      <w:r>
        <w:rPr>
          <w:rFonts w:ascii="Courier New" w:cs="Courier New" w:eastAsia="Courier New" w:hAnsi="Courier New"/>
          <w:sz w:val="15"/>
          <w:szCs w:val="15"/>
          <w:color w:val="auto"/>
        </w:rPr>
        <w:t>10,407</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384" w:lineRule="exact"/>
        <w:rPr>
          <w:sz w:val="20"/>
          <w:szCs w:val="20"/>
          <w:color w:val="auto"/>
        </w:rPr>
      </w:pPr>
    </w:p>
    <w:p>
      <w:pPr>
        <w:ind w:left="1" w:right="2639" w:hanging="1"/>
        <w:spacing w:after="0" w:line="242" w:lineRule="auto"/>
        <w:tabs>
          <w:tab w:leader="none" w:pos="29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depreciation and amortization by business segment was as follows:</w:t>
      </w:r>
    </w:p>
    <w:p>
      <w:pPr>
        <w:spacing w:after="0" w:line="187" w:lineRule="exact"/>
        <w:rPr>
          <w:sz w:val="20"/>
          <w:szCs w:val="20"/>
          <w:color w:val="auto"/>
        </w:rPr>
      </w:pPr>
    </w:p>
    <w:tbl>
      <w:tblPr>
        <w:tblLayout w:type="fixed"/>
        <w:tblInd w:w="2681" w:type="dxa"/>
        <w:tblCellMar>
          <w:top w:w="0" w:type="dxa"/>
          <w:left w:w="0" w:type="dxa"/>
          <w:bottom w:w="0" w:type="dxa"/>
          <w:right w:w="0" w:type="dxa"/>
        </w:tblCellMar>
      </w:tblPr>
      <w:tr>
        <w:trPr>
          <w:trHeight w:val="181"/>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Three Months Ended</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September 30,</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August 31,</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September 30,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August 31,</w:t>
            </w:r>
          </w:p>
        </w:tc>
      </w:tr>
      <w:tr>
        <w:trPr>
          <w:trHeight w:val="185"/>
        </w:trPr>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2006</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2005</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2006</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8"/>
              </w:rPr>
              <w:t>----</w:t>
            </w:r>
          </w:p>
        </w:tc>
      </w:tr>
    </w:tbl>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20" w:type="dxa"/>
            <w:vAlign w:val="bottom"/>
            <w:gridSpan w:val="3"/>
          </w:tcPr>
          <w:p>
            <w:pPr>
              <w:jc w:val="right"/>
              <w:ind w:right="440"/>
              <w:spacing w:after="0"/>
              <w:rPr>
                <w:sz w:val="20"/>
                <w:szCs w:val="20"/>
                <w:color w:val="auto"/>
              </w:rPr>
            </w:pPr>
            <w:r>
              <w:rPr>
                <w:rFonts w:ascii="Courier New" w:cs="Courier New" w:eastAsia="Courier New" w:hAnsi="Courier New"/>
                <w:sz w:val="16"/>
                <w:szCs w:val="16"/>
                <w:color w:val="auto"/>
              </w:rPr>
              <w:t>(in thousands)</w:t>
            </w:r>
          </w:p>
        </w:tc>
        <w:tc>
          <w:tcPr>
            <w:tcW w:w="480" w:type="dxa"/>
            <w:vAlign w:val="bottom"/>
          </w:tcPr>
          <w:p>
            <w:pPr>
              <w:spacing w:after="0"/>
              <w:rPr>
                <w:sz w:val="15"/>
                <w:szCs w:val="15"/>
                <w:color w:val="auto"/>
              </w:rPr>
            </w:pPr>
          </w:p>
        </w:tc>
        <w:tc>
          <w:tcPr>
            <w:tcW w:w="1960" w:type="dxa"/>
            <w:vAlign w:val="bottom"/>
            <w:gridSpan w:val="3"/>
          </w:tcPr>
          <w:p>
            <w:pPr>
              <w:jc w:val="right"/>
              <w:ind w:right="3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2100" w:type="dxa"/>
            <w:vAlign w:val="bottom"/>
          </w:tcPr>
          <w:p>
            <w:pPr>
              <w:spacing w:after="0"/>
              <w:rPr>
                <w:sz w:val="20"/>
                <w:szCs w:val="20"/>
                <w:color w:val="auto"/>
              </w:rPr>
            </w:pPr>
            <w:r>
              <w:rPr>
                <w:rFonts w:ascii="Courier New" w:cs="Courier New" w:eastAsia="Courier New" w:hAnsi="Courier New"/>
                <w:sz w:val="16"/>
                <w:szCs w:val="16"/>
                <w:color w:val="auto"/>
              </w:rPr>
              <w:t>Central laboratory</w:t>
            </w: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360</w:t>
            </w:r>
          </w:p>
        </w:tc>
        <w:tc>
          <w:tcPr>
            <w:tcW w:w="4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286</w:t>
            </w: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982</w:t>
            </w:r>
          </w:p>
        </w:tc>
        <w:tc>
          <w:tcPr>
            <w:tcW w:w="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801</w:t>
            </w:r>
          </w:p>
        </w:tc>
      </w:tr>
      <w:tr>
        <w:trPr>
          <w:trHeight w:val="185"/>
        </w:trPr>
        <w:tc>
          <w:tcPr>
            <w:tcW w:w="2100" w:type="dxa"/>
            <w:vAlign w:val="bottom"/>
          </w:tcPr>
          <w:p>
            <w:pPr>
              <w:spacing w:after="0"/>
              <w:rPr>
                <w:sz w:val="20"/>
                <w:szCs w:val="20"/>
                <w:color w:val="auto"/>
              </w:rPr>
            </w:pPr>
            <w:r>
              <w:rPr>
                <w:rFonts w:ascii="Courier New" w:cs="Courier New" w:eastAsia="Courier New" w:hAnsi="Courier New"/>
                <w:sz w:val="16"/>
                <w:szCs w:val="16"/>
                <w:color w:val="auto"/>
              </w:rPr>
              <w:t>Clinical research</w:t>
            </w:r>
          </w:p>
        </w:tc>
        <w:tc>
          <w:tcPr>
            <w:tcW w:w="72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3,515</w:t>
            </w:r>
          </w:p>
        </w:tc>
        <w:tc>
          <w:tcPr>
            <w:tcW w:w="40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3,148</w:t>
            </w:r>
          </w:p>
        </w:tc>
        <w:tc>
          <w:tcPr>
            <w:tcW w:w="4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10,027</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9,606</w:t>
            </w:r>
          </w:p>
        </w:tc>
      </w:tr>
    </w:tbl>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2661" w:val="left"/>
          <w:tab w:leader="none" w:pos="3341" w:val="left"/>
          <w:tab w:leader="none" w:pos="4121" w:val="left"/>
          <w:tab w:leader="none" w:pos="4501" w:val="left"/>
          <w:tab w:leader="none" w:pos="5261" w:val="left"/>
          <w:tab w:leader="none" w:pos="5841" w:val="left"/>
          <w:tab w:leader="none" w:pos="6701" w:val="left"/>
          <w:tab w:leader="none" w:pos="70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3,875</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3,434</w:t>
        <w:tab/>
        <w:t>$</w:t>
      </w:r>
      <w:r>
        <w:rPr>
          <w:sz w:val="20"/>
          <w:szCs w:val="20"/>
          <w:color w:val="auto"/>
        </w:rPr>
        <w:tab/>
      </w:r>
      <w:r>
        <w:rPr>
          <w:rFonts w:ascii="Courier New" w:cs="Courier New" w:eastAsia="Courier New" w:hAnsi="Courier New"/>
          <w:sz w:val="16"/>
          <w:szCs w:val="16"/>
          <w:color w:val="auto"/>
        </w:rPr>
        <w:t>11,009</w:t>
        <w:tab/>
        <w:t>$</w:t>
      </w:r>
      <w:r>
        <w:rPr>
          <w:sz w:val="20"/>
          <w:szCs w:val="20"/>
          <w:color w:val="auto"/>
        </w:rPr>
        <w:tab/>
      </w:r>
      <w:r>
        <w:rPr>
          <w:rFonts w:ascii="Courier New" w:cs="Courier New" w:eastAsia="Courier New" w:hAnsi="Courier New"/>
          <w:sz w:val="15"/>
          <w:szCs w:val="15"/>
          <w:color w:val="auto"/>
        </w:rPr>
        <w:t>10,407</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The distribution of total assets by geographical area was as follows:</w:t>
      </w:r>
    </w:p>
    <w:p>
      <w:pPr>
        <w:spacing w:after="0" w:line="188"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29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September 30,</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December 31,</w:t>
            </w:r>
          </w:p>
        </w:tc>
      </w:tr>
      <w:tr>
        <w:trPr>
          <w:trHeight w:val="185"/>
        </w:trPr>
        <w:tc>
          <w:tcPr>
            <w:tcW w:w="3260" w:type="dxa"/>
            <w:vAlign w:val="bottom"/>
          </w:tcPr>
          <w:p>
            <w:pPr>
              <w:spacing w:after="0"/>
              <w:rPr>
                <w:sz w:val="16"/>
                <w:szCs w:val="16"/>
                <w:color w:val="auto"/>
              </w:rPr>
            </w:pPr>
          </w:p>
        </w:tc>
        <w:tc>
          <w:tcPr>
            <w:tcW w:w="2980" w:type="dxa"/>
            <w:vAlign w:val="bottom"/>
            <w:gridSpan w:val="2"/>
          </w:tcPr>
          <w:p>
            <w:pPr>
              <w:ind w:left="164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center"/>
              <w:ind w:lef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2006</w:t>
            </w:r>
          </w:p>
        </w:tc>
        <w:tc>
          <w:tcPr>
            <w:tcW w:w="34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(in thousands)</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Ireland</w:t>
            </w:r>
          </w:p>
        </w:tc>
        <w:tc>
          <w:tcPr>
            <w:tcW w:w="2020" w:type="dxa"/>
            <w:vAlign w:val="bottom"/>
          </w:tcPr>
          <w:p>
            <w:pPr>
              <w:ind w:left="16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101,369</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91,826</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202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88,739</w:t>
            </w:r>
          </w:p>
        </w:tc>
        <w:tc>
          <w:tcPr>
            <w:tcW w:w="3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80,700</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202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224,676</w:t>
            </w:r>
          </w:p>
        </w:tc>
        <w:tc>
          <w:tcPr>
            <w:tcW w:w="3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169,799</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Rest of the World</w:t>
            </w:r>
          </w:p>
        </w:tc>
        <w:tc>
          <w:tcPr>
            <w:tcW w:w="202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16,353</w:t>
            </w:r>
          </w:p>
        </w:tc>
        <w:tc>
          <w:tcPr>
            <w:tcW w:w="3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6,742</w:t>
            </w:r>
          </w:p>
        </w:tc>
      </w:tr>
    </w:tbl>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5081" w:val="left"/>
          <w:tab w:leader="none" w:pos="5561" w:val="left"/>
          <w:tab w:leader="none" w:pos="6521" w:val="left"/>
          <w:tab w:leader="none" w:pos="69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431,137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349,067</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j) The distribution of total assets by business segment was as follows:</w:t>
      </w:r>
    </w:p>
    <w:p>
      <w:pPr>
        <w:spacing w:after="0" w:line="188" w:lineRule="exact"/>
        <w:rPr>
          <w:sz w:val="20"/>
          <w:szCs w:val="20"/>
          <w:color w:val="auto"/>
        </w:rPr>
      </w:pPr>
    </w:p>
    <w:p>
      <w:pPr>
        <w:ind w:left="5101"/>
        <w:spacing w:after="0"/>
        <w:tabs>
          <w:tab w:leader="none" w:pos="6521"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101"/>
        <w:spacing w:after="0"/>
        <w:tabs>
          <w:tab w:leader="none" w:pos="6521" w:val="left"/>
        </w:tabs>
        <w:rPr>
          <w:sz w:val="20"/>
          <w:szCs w:val="20"/>
          <w:color w:val="auto"/>
        </w:rPr>
      </w:pPr>
      <w:r>
        <w:rPr>
          <w:rFonts w:ascii="Courier New" w:cs="Courier New" w:eastAsia="Courier New" w:hAnsi="Courier New"/>
          <w:sz w:val="15"/>
          <w:szCs w:val="15"/>
          <w:color w:val="auto"/>
        </w:rPr>
        <w:t>-------------</w:t>
        <w:tab/>
        <w:t>------------</w:t>
      </w:r>
    </w:p>
    <w:p>
      <w:pPr>
        <w:spacing w:after="0" w:line="13" w:lineRule="exact"/>
        <w:rPr>
          <w:sz w:val="20"/>
          <w:szCs w:val="20"/>
          <w:color w:val="auto"/>
        </w:rPr>
      </w:pPr>
    </w:p>
    <w:p>
      <w:pPr>
        <w:ind w:left="5481"/>
        <w:spacing w:after="0"/>
        <w:tabs>
          <w:tab w:leader="none" w:pos="6901" w:val="left"/>
        </w:tabs>
        <w:rPr>
          <w:sz w:val="20"/>
          <w:szCs w:val="20"/>
          <w:color w:val="auto"/>
        </w:rPr>
      </w:pPr>
      <w:r>
        <w:rPr>
          <w:rFonts w:ascii="Courier New" w:cs="Courier New" w:eastAsia="Courier New" w:hAnsi="Courier New"/>
          <w:sz w:val="16"/>
          <w:szCs w:val="16"/>
          <w:color w:val="auto"/>
        </w:rPr>
        <w:t>2006</w:t>
      </w:r>
      <w:r>
        <w:rPr>
          <w:sz w:val="20"/>
          <w:szCs w:val="20"/>
          <w:color w:val="auto"/>
        </w:rPr>
        <w:tab/>
      </w:r>
      <w:r>
        <w:rPr>
          <w:rFonts w:ascii="Courier New" w:cs="Courier New" w:eastAsia="Courier New" w:hAnsi="Courier New"/>
          <w:sz w:val="16"/>
          <w:szCs w:val="16"/>
          <w:color w:val="auto"/>
        </w:rPr>
        <w:t>2005</w:t>
      </w:r>
    </w:p>
    <w:p>
      <w:pPr>
        <w:spacing w:after="0" w:line="4" w:lineRule="exact"/>
        <w:rPr>
          <w:sz w:val="20"/>
          <w:szCs w:val="20"/>
          <w:color w:val="auto"/>
        </w:rPr>
      </w:pPr>
    </w:p>
    <w:p>
      <w:pPr>
        <w:ind w:left="5481"/>
        <w:spacing w:after="0"/>
        <w:tabs>
          <w:tab w:leader="none" w:pos="690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5861"/>
        <w:spacing w:after="0"/>
        <w:rPr>
          <w:sz w:val="20"/>
          <w:szCs w:val="20"/>
          <w:color w:val="auto"/>
        </w:rPr>
      </w:pPr>
      <w:r>
        <w:rPr>
          <w:rFonts w:ascii="Courier New" w:cs="Courier New" w:eastAsia="Courier New" w:hAnsi="Courier New"/>
          <w:sz w:val="16"/>
          <w:szCs w:val="16"/>
          <w:color w:val="auto"/>
        </w:rPr>
        <w:t>(in thousands)</w:t>
      </w:r>
    </w:p>
    <w:p>
      <w:pPr>
        <w:spacing w:after="0" w:line="4" w:lineRule="exact"/>
        <w:rPr>
          <w:sz w:val="20"/>
          <w:szCs w:val="20"/>
          <w:color w:val="auto"/>
        </w:rPr>
      </w:pPr>
    </w:p>
    <w:p>
      <w:pPr>
        <w:ind w:left="201"/>
        <w:spacing w:after="0"/>
        <w:tabs>
          <w:tab w:leader="none" w:pos="5081" w:val="left"/>
          <w:tab w:leader="none" w:pos="5641" w:val="left"/>
          <w:tab w:leader="none" w:pos="6521" w:val="left"/>
          <w:tab w:leader="none" w:pos="7001" w:val="left"/>
        </w:tabs>
        <w:rPr>
          <w:sz w:val="20"/>
          <w:szCs w:val="20"/>
          <w:color w:val="auto"/>
        </w:rPr>
      </w:pPr>
      <w:r>
        <w:rPr>
          <w:rFonts w:ascii="Courier New" w:cs="Courier New" w:eastAsia="Courier New" w:hAnsi="Courier New"/>
          <w:sz w:val="16"/>
          <w:szCs w:val="16"/>
          <w:color w:val="auto"/>
        </w:rPr>
        <w:t>Central laboratory</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24,622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17,150</w:t>
      </w:r>
    </w:p>
    <w:p>
      <w:pPr>
        <w:spacing w:after="0" w:line="4" w:lineRule="exact"/>
        <w:rPr>
          <w:sz w:val="20"/>
          <w:szCs w:val="20"/>
          <w:color w:val="auto"/>
        </w:rPr>
      </w:pPr>
    </w:p>
    <w:p>
      <w:pPr>
        <w:ind w:left="201"/>
        <w:spacing w:after="0"/>
        <w:tabs>
          <w:tab w:leader="none" w:pos="5561" w:val="left"/>
          <w:tab w:leader="none" w:pos="6901" w:val="left"/>
        </w:tabs>
        <w:rPr>
          <w:sz w:val="20"/>
          <w:szCs w:val="20"/>
          <w:color w:val="auto"/>
        </w:rPr>
      </w:pPr>
      <w:r>
        <w:rPr>
          <w:rFonts w:ascii="Courier New" w:cs="Courier New" w:eastAsia="Courier New" w:hAnsi="Courier New"/>
          <w:sz w:val="16"/>
          <w:szCs w:val="16"/>
          <w:color w:val="auto"/>
        </w:rPr>
        <w:t>Clinical research</w:t>
      </w:r>
      <w:r>
        <w:rPr>
          <w:sz w:val="20"/>
          <w:szCs w:val="20"/>
          <w:color w:val="auto"/>
        </w:rPr>
        <w:tab/>
      </w:r>
      <w:r>
        <w:rPr>
          <w:rFonts w:ascii="Courier New" w:cs="Courier New" w:eastAsia="Courier New" w:hAnsi="Courier New"/>
          <w:sz w:val="16"/>
          <w:szCs w:val="16"/>
          <w:color w:val="auto"/>
        </w:rPr>
        <w:t>406,515</w:t>
      </w:r>
      <w:r>
        <w:rPr>
          <w:sz w:val="20"/>
          <w:szCs w:val="20"/>
          <w:color w:val="auto"/>
        </w:rPr>
        <w:tab/>
      </w:r>
      <w:r>
        <w:rPr>
          <w:rFonts w:ascii="Courier New" w:cs="Courier New" w:eastAsia="Courier New" w:hAnsi="Courier New"/>
          <w:sz w:val="15"/>
          <w:szCs w:val="15"/>
          <w:color w:val="auto"/>
        </w:rPr>
        <w:t>331,917</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01"/>
        <w:spacing w:after="0"/>
        <w:tabs>
          <w:tab w:leader="none" w:pos="5081" w:val="left"/>
          <w:tab w:leader="none" w:pos="5561" w:val="left"/>
          <w:tab w:leader="none" w:pos="6521" w:val="left"/>
          <w:tab w:leader="none" w:pos="6901"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431,137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349,067</w:t>
      </w:r>
    </w:p>
    <w:p>
      <w:pPr>
        <w:spacing w:after="0" w:line="5" w:lineRule="exact"/>
        <w:rPr>
          <w:sz w:val="20"/>
          <w:szCs w:val="20"/>
          <w:color w:val="auto"/>
        </w:rPr>
      </w:pPr>
    </w:p>
    <w:p>
      <w:pPr>
        <w:jc w:val="center"/>
        <w:ind w:right="2338"/>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85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ICON plc</w:t>
      </w:r>
    </w:p>
    <w:p>
      <w:pPr>
        <w:spacing w:after="0" w:line="375"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Transition Report on Form 20-F for the seven months ended December 31, 2005. The Consolidated Financial Statements have been prepared in accordance with accounting principles generally accepted in the United States.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4,000 employees worldwide, with operations in 48 locations in 30 countries including the United States and major markets in Europe and Rest of World. For the nine months ended September 30, 2006, we derived approximately 60.7%, 32.3%, and 7.0% of our net revenue in the United States, Europe and Rest of World, respectively.</w:t>
      </w:r>
    </w:p>
    <w:p>
      <w:pPr>
        <w:spacing w:after="0" w:line="191"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91"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an adjustment is recorded in the period in which they become readily estimable.</w:t>
      </w:r>
    </w:p>
    <w:p>
      <w:pPr>
        <w:spacing w:after="0" w:line="191"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88"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87"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54" w:right="1440" w:bottom="0" w:gutter="0" w:footer="0" w:header="0"/>
        </w:sectPr>
      </w:pPr>
    </w:p>
    <w:bookmarkStart w:id="17" w:name="page18"/>
    <w:bookmarkEnd w:id="17"/>
    <w:p>
      <w:pPr>
        <w:jc w:val="both"/>
        <w:ind w:right="2539"/>
        <w:spacing w:after="0" w:line="244" w:lineRule="auto"/>
        <w:rPr>
          <w:sz w:val="20"/>
          <w:szCs w:val="20"/>
          <w:color w:val="auto"/>
        </w:rPr>
      </w:pPr>
      <w:r>
        <w:rPr>
          <w:rFonts w:ascii="Courier New" w:cs="Courier New" w:eastAsia="Courier New" w:hAnsi="Courier New"/>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17 operations operating in U.S. dollars, 6 in Euros, 3 in pounds Sterling, and 1 each in Australian dollars, Singapore dollars, Yen, Israeli New Shekels, Latvian Lats, Swedish Krona, Argentine Peso, South African Rand, Indian Rupee, Russian Rouble, Canadian dollar, Hungarian Forint, Polish Zloty, Lithuanian Litas, Hong Kong dollar, Taiwan dollar, Mexican Peso, Brazilian Real, Chilean Peso, South Korean Won, Chinese Yuan Renminbi and Thai Baht.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196"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September 30, 2006, we have received $2,477,579 and $1,841,504 under the capital grants and operating grants, respectively. Pursuant to the terms of the grant agreements, we are restricted from distributing some of these amounts by way of dividend or otherwise.</w:t>
      </w:r>
    </w:p>
    <w:p>
      <w:pPr>
        <w:spacing w:after="0" w:line="193"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Three Months Ended September 30, 2006 compared with Three Months Ended August 31, 2005</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tcPr>
          <w:p>
            <w:pPr>
              <w:spacing w:after="0"/>
              <w:rPr>
                <w:sz w:val="15"/>
                <w:szCs w:val="15"/>
                <w:color w:val="auto"/>
              </w:rPr>
            </w:pPr>
          </w:p>
        </w:tc>
        <w:tc>
          <w:tcPr>
            <w:tcW w:w="28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Three Months Ended</w:t>
            </w:r>
          </w:p>
        </w:tc>
        <w:tc>
          <w:tcPr>
            <w:tcW w:w="1000" w:type="dxa"/>
            <w:vAlign w:val="bottom"/>
          </w:tcPr>
          <w:p>
            <w:pPr>
              <w:spacing w:after="0"/>
              <w:rPr>
                <w:sz w:val="15"/>
                <w:szCs w:val="15"/>
                <w:color w:val="auto"/>
              </w:rPr>
            </w:pPr>
          </w:p>
        </w:tc>
      </w:tr>
      <w:tr>
        <w:trPr>
          <w:trHeight w:val="185"/>
        </w:trPr>
        <w:tc>
          <w:tcPr>
            <w:tcW w:w="3880" w:type="dxa"/>
            <w:vAlign w:val="bottom"/>
          </w:tcPr>
          <w:p>
            <w:pPr>
              <w:spacing w:after="0"/>
              <w:rPr>
                <w:sz w:val="16"/>
                <w:szCs w:val="16"/>
                <w:color w:val="auto"/>
              </w:rPr>
            </w:pPr>
          </w:p>
        </w:tc>
        <w:tc>
          <w:tcPr>
            <w:tcW w:w="28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r>
      <w:tr>
        <w:trPr>
          <w:trHeight w:val="185"/>
        </w:trPr>
        <w:tc>
          <w:tcPr>
            <w:tcW w:w="3880" w:type="dxa"/>
            <w:vAlign w:val="bottom"/>
          </w:tcPr>
          <w:p>
            <w:pPr>
              <w:spacing w:after="0"/>
              <w:rPr>
                <w:sz w:val="16"/>
                <w:szCs w:val="16"/>
                <w:color w:val="auto"/>
              </w:rPr>
            </w:pPr>
          </w:p>
        </w:tc>
        <w:tc>
          <w:tcPr>
            <w:tcW w:w="16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September 30,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August 31,</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2005</w:t>
            </w:r>
          </w:p>
        </w:tc>
      </w:tr>
      <w:tr>
        <w:trPr>
          <w:trHeight w:val="185"/>
        </w:trPr>
        <w:tc>
          <w:tcPr>
            <w:tcW w:w="3880" w:type="dxa"/>
            <w:vAlign w:val="bottom"/>
          </w:tcPr>
          <w:p>
            <w:pPr>
              <w:spacing w:after="0"/>
              <w:rPr>
                <w:sz w:val="16"/>
                <w:szCs w:val="16"/>
                <w:color w:val="auto"/>
              </w:rPr>
            </w:pPr>
          </w:p>
        </w:tc>
        <w:tc>
          <w:tcPr>
            <w:tcW w:w="16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3880" w:type="dxa"/>
            <w:vAlign w:val="bottom"/>
          </w:tcPr>
          <w:p>
            <w:pPr>
              <w:spacing w:after="0"/>
              <w:rPr>
                <w:sz w:val="16"/>
                <w:szCs w:val="16"/>
                <w:color w:val="auto"/>
              </w:rPr>
            </w:pP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2006</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2005</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 2006</w:t>
            </w:r>
          </w:p>
        </w:tc>
      </w:tr>
      <w:tr>
        <w:trPr>
          <w:trHeight w:val="185"/>
        </w:trPr>
        <w:tc>
          <w:tcPr>
            <w:tcW w:w="3880" w:type="dxa"/>
            <w:vAlign w:val="bottom"/>
          </w:tcPr>
          <w:p>
            <w:pPr>
              <w:spacing w:after="0"/>
              <w:rPr>
                <w:sz w:val="16"/>
                <w:szCs w:val="16"/>
                <w:color w:val="auto"/>
              </w:rPr>
            </w:pP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Percentage</w:t>
            </w:r>
          </w:p>
        </w:tc>
      </w:tr>
      <w:tr>
        <w:trPr>
          <w:trHeight w:val="185"/>
        </w:trPr>
        <w:tc>
          <w:tcPr>
            <w:tcW w:w="3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3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spacing w:after="0"/>
              <w:rPr>
                <w:sz w:val="16"/>
                <w:szCs w:val="16"/>
                <w:color w:val="auto"/>
              </w:rPr>
            </w:pPr>
          </w:p>
        </w:tc>
        <w:tc>
          <w:tcPr>
            <w:tcW w:w="28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Percentage of Net Revenue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(decrease)</w:t>
            </w:r>
          </w:p>
        </w:tc>
      </w:tr>
      <w:tr>
        <w:trPr>
          <w:trHeight w:val="185"/>
        </w:trPr>
        <w:tc>
          <w:tcPr>
            <w:tcW w:w="3880" w:type="dxa"/>
            <w:vAlign w:val="bottom"/>
          </w:tcPr>
          <w:p>
            <w:pPr>
              <w:spacing w:after="0"/>
              <w:rPr>
                <w:sz w:val="16"/>
                <w:szCs w:val="16"/>
                <w:color w:val="auto"/>
              </w:rPr>
            </w:pPr>
          </w:p>
        </w:tc>
        <w:tc>
          <w:tcPr>
            <w:tcW w:w="38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388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1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100.0%</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40.5%</w:t>
            </w:r>
          </w:p>
        </w:tc>
      </w:tr>
      <w:tr>
        <w:trPr>
          <w:trHeight w:val="185"/>
        </w:trPr>
        <w:tc>
          <w:tcPr>
            <w:tcW w:w="38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388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1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56.7%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55.1%</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44.6%</w:t>
            </w:r>
          </w:p>
        </w:tc>
      </w:tr>
      <w:tr>
        <w:trPr>
          <w:trHeight w:val="185"/>
        </w:trPr>
        <w:tc>
          <w:tcPr>
            <w:tcW w:w="388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31.2%</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33.5%</w:t>
            </w:r>
          </w:p>
        </w:tc>
      </w:tr>
      <w:tr>
        <w:trPr>
          <w:trHeight w:val="185"/>
        </w:trPr>
        <w:tc>
          <w:tcPr>
            <w:tcW w:w="38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12.8%</w:t>
            </w:r>
          </w:p>
        </w:tc>
      </w:tr>
      <w:tr>
        <w:trPr>
          <w:trHeight w:val="185"/>
        </w:trPr>
        <w:tc>
          <w:tcPr>
            <w:tcW w:w="38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9.7%</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50.7%</w:t>
            </w:r>
          </w:p>
        </w:tc>
      </w:tr>
    </w:tbl>
    <w:p>
      <w:pPr>
        <w:spacing w:after="0" w:line="375" w:lineRule="exact"/>
        <w:rPr>
          <w:sz w:val="20"/>
          <w:szCs w:val="20"/>
          <w:color w:val="auto"/>
        </w:rPr>
      </w:pPr>
    </w:p>
    <w:p>
      <w:pPr>
        <w:jc w:val="both"/>
        <w:ind w:right="2539"/>
        <w:spacing w:after="0" w:line="264" w:lineRule="auto"/>
        <w:rPr>
          <w:sz w:val="20"/>
          <w:szCs w:val="20"/>
          <w:color w:val="auto"/>
        </w:rPr>
      </w:pPr>
      <w:r>
        <w:rPr>
          <w:rFonts w:ascii="Courier New" w:cs="Courier New" w:eastAsia="Courier New" w:hAnsi="Courier New"/>
          <w:sz w:val="15"/>
          <w:szCs w:val="15"/>
          <w:color w:val="auto"/>
        </w:rPr>
        <w:t>Net revenue increased by $34.8 million, or 40.5%, from $85.9 million for the three months ended August 31, 2005, to $120.7 million for the three months ended September 30, 2006. This improvement arose through a combination of increased business from existing clients, business won from new clients and revenues of $2.6 million from acquisitions not included in the comparative period.</w:t>
      </w:r>
    </w:p>
    <w:p>
      <w:pPr>
        <w:sectPr>
          <w:pgSz w:w="11900" w:h="16838" w:orient="portrait"/>
          <w:cols w:equalWidth="0" w:num="1">
            <w:col w:w="10219"/>
          </w:cols>
          <w:pgMar w:left="240" w:top="856" w:right="1440" w:bottom="0" w:gutter="0" w:footer="0" w:header="0"/>
        </w:sectPr>
      </w:pPr>
    </w:p>
    <w:bookmarkStart w:id="18" w:name="page19"/>
    <w:bookmarkEnd w:id="18"/>
    <w:p>
      <w:pPr>
        <w:ind w:left="2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325" w:right="1440" w:bottom="1440" w:gutter="0" w:footer="0" w:header="0"/>
        </w:sectPr>
      </w:pPr>
    </w:p>
    <w:bookmarkStart w:id="19" w:name="page20"/>
    <w:bookmarkEnd w:id="19"/>
    <w:p>
      <w:pPr>
        <w:jc w:val="both"/>
        <w:ind w:right="2539"/>
        <w:spacing w:after="0" w:line="262" w:lineRule="auto"/>
        <w:rPr>
          <w:sz w:val="20"/>
          <w:szCs w:val="20"/>
          <w:color w:val="auto"/>
        </w:rPr>
      </w:pPr>
      <w:r>
        <w:rPr>
          <w:rFonts w:ascii="Courier New" w:cs="Courier New" w:eastAsia="Courier New" w:hAnsi="Courier New"/>
          <w:sz w:val="15"/>
          <w:szCs w:val="15"/>
          <w:color w:val="auto"/>
        </w:rPr>
        <w:t>Revenues in the United States, Europe and the Rest of World grew by 52.2%, 24.6% and 33.1% respectively. In the three months ended September 30, 2006, net revenue from our central laboratory business increased by 78.1%, from $7.2 million, to $12.9 million, while our clinical research segment grew by 37.0%, from $78.7 million, to $107.8 million, in each case over the period ended August 31, 2005. The increase in net revenue in our central laboratory segment is primarily due to higher testing volumes over the comparative period.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consolidation in the CRO industry and revenues from acquisitions not included in the comparative period.</w:t>
      </w:r>
    </w:p>
    <w:p>
      <w:pPr>
        <w:spacing w:after="0" w:line="176"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Direct costs increased by $21.1 million, or 44.6%, from $47.3 million for the three months ended August 31, 2005 to $68.4 million for the three months ended September 30, 2006, primarily due to increased staff numbers needed to support increased project related activity, the inclusion of $0.57 million non-cash stock compensation expense for the quarter ended September 30, 2006 and the direct costs from acquisitions of $1.5 million not included in the comparative period. Direct costs as a percentage of net revenue increased from 55.1% for the three months ended August 31, 2005, to 56.7% for three months ended September 30, 2006.</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Selling, general and administrative expenses increased by $9.0 million, or 33.5%, from $26.8 million for the three months ended August 31, 2005, to $35.8 million for the three months ended September 30, 2006. This increase is due to the continued expansion of our operations, the inclusion of $0.47 million non-cash stock compensation expense and the costs from acquisitions of $0.6 million not included in the comparative period. As a percentage of net revenue, selling, general and administrative expenses, decreased from 31.2% in the three months ended August 31, 2005, to 29.7% in the three months ended September 30, 2006.</w:t>
      </w:r>
    </w:p>
    <w:p>
      <w:pPr>
        <w:spacing w:after="0" w:line="189" w:lineRule="exact"/>
        <w:rPr>
          <w:sz w:val="20"/>
          <w:szCs w:val="20"/>
          <w:color w:val="auto"/>
        </w:rPr>
      </w:pPr>
    </w:p>
    <w:p>
      <w:pPr>
        <w:jc w:val="both"/>
        <w:ind w:right="2539"/>
        <w:spacing w:after="0" w:line="262" w:lineRule="auto"/>
        <w:rPr>
          <w:sz w:val="20"/>
          <w:szCs w:val="20"/>
          <w:color w:val="auto"/>
        </w:rPr>
      </w:pPr>
      <w:r>
        <w:rPr>
          <w:rFonts w:ascii="Courier New" w:cs="Courier New" w:eastAsia="Courier New" w:hAnsi="Courier New"/>
          <w:sz w:val="15"/>
          <w:szCs w:val="15"/>
          <w:color w:val="auto"/>
        </w:rPr>
        <w:t>Depreciation and amortization expense increased by $0.4 million, or 12.8%, from $3.4 million for the three months ended August 31, 2005, to $3.8 million for the three months ended September 30, 2006. This increase is due to the continued investment in facilities and information technology to support the growth in activity and in providing for future capacity and costs from acquisition of $0.03 million included in the comparative period. As a percentage of net revenue, depreciation and amortization decreased from 4.0% in the three months ended August 31, 2005, to 3.2% in the three months ended September 30, 2006.</w:t>
      </w:r>
    </w:p>
    <w:p>
      <w:pPr>
        <w:spacing w:after="0" w:line="17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Income from operations increased by $4.2 million, or 50.7%, from $8.4 million for the three months ended August 31, 2005, to $12.6 million for the three months ended September 30, 2006. The operating income for the quarter is derived after the recognition of the non cash stock compensation charge of $1.03 million. There was no such charge in the comparable period. As a percentage of net revenue, income from operations increased from 9.7% for the three months ended August 31, 2005, to 10.4% of net revenues for the three months ended September 30, 2006.</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three months ended September 30, 2006, saw a continued improvement in the performance of the central laboratory business, from a loss from operations, as a percentage of net revenue of 22.3% for the three months ended August 31, 2005, to an operating profit of 5.0% for the three months ended September 30, 2006. The central laboratory constitutes approximately 10.7% of our business revenues for the three months ended September 30, 2006. Operating margins for our clinical research segment decreased from 12.7% for the three months ended August 31, 2005, to 11.1% for the three months ended September 30, 2006.</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Interest income for the three months ended September 30, 2006 was $1.0 million, an increase of $0.6 million over the amount of interest income for the three months ended August 31, 2005. Higher average level of funds invested and higher interest rates over the prior period contributed to the increased interest income.</w:t>
      </w:r>
    </w:p>
    <w:p>
      <w:pPr>
        <w:spacing w:after="0" w:line="187"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ICON's effective tax rate for the three months ended September 30, 2006 was 25.2% compared with 28.0% for the three months ended August 31, 2005. The decrease is due mainly to the changes in the geographic distribution of pre-tax earnings.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56" w:right="1440" w:bottom="1440" w:gutter="0" w:footer="0" w:header="0"/>
        </w:sectPr>
      </w:pPr>
    </w:p>
    <w:bookmarkStart w:id="20" w:name="page21"/>
    <w:bookmarkEnd w:id="20"/>
    <w:p>
      <w:pPr>
        <w:ind w:right="2639"/>
        <w:spacing w:after="0" w:line="242" w:lineRule="auto"/>
        <w:rPr>
          <w:sz w:val="20"/>
          <w:szCs w:val="20"/>
          <w:color w:val="auto"/>
        </w:rPr>
      </w:pPr>
      <w:r>
        <w:rPr>
          <w:rFonts w:ascii="Courier New" w:cs="Courier New" w:eastAsia="Courier New" w:hAnsi="Courier New"/>
          <w:sz w:val="16"/>
          <w:szCs w:val="16"/>
          <w:color w:val="auto"/>
        </w:rPr>
        <w:t>Nine Months Ended September 30, 2006 compared with Nine Months Ended August 31, 2005</w:t>
      </w:r>
    </w:p>
    <w:p>
      <w:pPr>
        <w:spacing w:after="0" w:line="189"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Nine Months Ended</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40"/>
        <w:spacing w:after="0"/>
        <w:tabs>
          <w:tab w:leader="none" w:pos="5640" w:val="left"/>
          <w:tab w:leader="none" w:pos="700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6"/>
          <w:szCs w:val="16"/>
          <w:color w:val="auto"/>
        </w:rPr>
        <w:t>August 31,</w:t>
      </w:r>
      <w:r>
        <w:rPr>
          <w:sz w:val="20"/>
          <w:szCs w:val="20"/>
          <w:color w:val="auto"/>
        </w:rPr>
        <w:tab/>
      </w:r>
      <w:r>
        <w:rPr>
          <w:rFonts w:ascii="Courier New" w:cs="Courier New" w:eastAsia="Courier New" w:hAnsi="Courier New"/>
          <w:sz w:val="15"/>
          <w:szCs w:val="15"/>
          <w:color w:val="auto"/>
        </w:rPr>
        <w:t>2005</w:t>
      </w:r>
    </w:p>
    <w:p>
      <w:pPr>
        <w:spacing w:after="0" w:line="4" w:lineRule="exact"/>
        <w:rPr>
          <w:sz w:val="20"/>
          <w:szCs w:val="20"/>
          <w:color w:val="auto"/>
        </w:rPr>
      </w:pPr>
    </w:p>
    <w:p>
      <w:pPr>
        <w:ind w:left="4040"/>
        <w:spacing w:after="0"/>
        <w:tabs>
          <w:tab w:leader="none" w:pos="56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w:t>
      </w:r>
    </w:p>
    <w:p>
      <w:pPr>
        <w:spacing w:after="0" w:line="4" w:lineRule="exact"/>
        <w:rPr>
          <w:sz w:val="20"/>
          <w:szCs w:val="20"/>
          <w:color w:val="auto"/>
        </w:rPr>
      </w:pPr>
    </w:p>
    <w:p>
      <w:pPr>
        <w:ind w:left="4420"/>
        <w:spacing w:after="0"/>
        <w:tabs>
          <w:tab w:leader="none" w:pos="5940" w:val="left"/>
          <w:tab w:leader="none" w:pos="6900" w:val="left"/>
        </w:tabs>
        <w:rPr>
          <w:sz w:val="20"/>
          <w:szCs w:val="20"/>
          <w:color w:val="auto"/>
        </w:rPr>
      </w:pPr>
      <w:r>
        <w:rPr>
          <w:rFonts w:ascii="Courier New" w:cs="Courier New" w:eastAsia="Courier New" w:hAnsi="Courier New"/>
          <w:sz w:val="16"/>
          <w:szCs w:val="16"/>
          <w:color w:val="auto"/>
        </w:rPr>
        <w:t>2006</w:t>
      </w:r>
      <w:r>
        <w:rPr>
          <w:sz w:val="20"/>
          <w:szCs w:val="20"/>
          <w:color w:val="auto"/>
        </w:rPr>
        <w:tab/>
      </w:r>
      <w:r>
        <w:rPr>
          <w:rFonts w:ascii="Courier New" w:cs="Courier New" w:eastAsia="Courier New" w:hAnsi="Courier New"/>
          <w:sz w:val="16"/>
          <w:szCs w:val="16"/>
          <w:color w:val="auto"/>
        </w:rPr>
        <w:t>2005</w:t>
      </w:r>
      <w:r>
        <w:rPr>
          <w:sz w:val="20"/>
          <w:szCs w:val="20"/>
          <w:color w:val="auto"/>
        </w:rPr>
        <w:tab/>
      </w:r>
      <w:r>
        <w:rPr>
          <w:rFonts w:ascii="Courier New" w:cs="Courier New" w:eastAsia="Courier New" w:hAnsi="Courier New"/>
          <w:sz w:val="15"/>
          <w:szCs w:val="15"/>
          <w:color w:val="auto"/>
        </w:rPr>
        <w:t>to 2006</w:t>
      </w:r>
    </w:p>
    <w:p>
      <w:pPr>
        <w:spacing w:after="0" w:line="4" w:lineRule="exact"/>
        <w:rPr>
          <w:sz w:val="20"/>
          <w:szCs w:val="20"/>
          <w:color w:val="auto"/>
        </w:rPr>
      </w:pPr>
    </w:p>
    <w:p>
      <w:pPr>
        <w:ind w:left="4420"/>
        <w:spacing w:after="0"/>
        <w:tabs>
          <w:tab w:leader="none" w:pos="5940" w:val="left"/>
          <w:tab w:leader="none" w:pos="69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Percentage</w:t>
      </w:r>
    </w:p>
    <w:p>
      <w:pPr>
        <w:spacing w:after="0" w:line="5" w:lineRule="exact"/>
        <w:rPr>
          <w:sz w:val="20"/>
          <w:szCs w:val="20"/>
          <w:color w:val="auto"/>
        </w:rPr>
      </w:pPr>
    </w:p>
    <w:p>
      <w:pPr>
        <w:ind w:left="672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Increase/</w:t>
      </w:r>
    </w:p>
    <w:p>
      <w:pPr>
        <w:spacing w:after="0" w:line="15" w:lineRule="exact"/>
        <w:rPr>
          <w:sz w:val="20"/>
          <w:szCs w:val="20"/>
          <w:color w:val="auto"/>
        </w:rPr>
      </w:pPr>
    </w:p>
    <w:p>
      <w:pPr>
        <w:ind w:left="67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140"/>
        <w:spacing w:after="0"/>
        <w:tabs>
          <w:tab w:leader="none" w:pos="6700" w:val="left"/>
        </w:tabs>
        <w:rPr>
          <w:sz w:val="20"/>
          <w:szCs w:val="20"/>
          <w:color w:val="auto"/>
        </w:rPr>
      </w:pPr>
      <w:r>
        <w:rPr>
          <w:rFonts w:ascii="Courier New" w:cs="Courier New" w:eastAsia="Courier New" w:hAnsi="Courier New"/>
          <w:sz w:val="16"/>
          <w:szCs w:val="16"/>
          <w:color w:val="auto"/>
        </w:rPr>
        <w:t>Percentage of Net Revenue</w:t>
        <w:tab/>
        <w:t>(decrease)</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856" w:right="1440" w:bottom="1011"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28.2%</w:t>
      </w:r>
    </w:p>
    <w:p>
      <w:pPr>
        <w:spacing w:after="0" w:line="5" w:lineRule="exact"/>
        <w:rPr>
          <w:sz w:val="20"/>
          <w:szCs w:val="20"/>
          <w:color w:val="auto"/>
        </w:rPr>
      </w:pPr>
    </w:p>
    <w:p>
      <w:pPr>
        <w:sectPr>
          <w:pgSz w:w="11900" w:h="16838" w:orient="portrait"/>
          <w:cols w:equalWidth="0" w:num="4">
            <w:col w:w="3740" w:space="680"/>
            <w:col w:w="720" w:space="720"/>
            <w:col w:w="580" w:space="660"/>
            <w:col w:w="3119"/>
          </w:cols>
          <w:pgMar w:left="240" w:top="856" w:right="1440" w:bottom="1011"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Costs and expenses:</w:t>
      </w:r>
    </w:p>
    <w:p>
      <w:pPr>
        <w:sectPr>
          <w:pgSz w:w="11900" w:h="16838" w:orient="portrait"/>
          <w:cols w:equalWidth="0" w:num="1">
            <w:col w:w="10219"/>
          </w:cols>
          <w:pgMar w:left="240" w:top="856" w:right="1440" w:bottom="1011" w:gutter="0" w:footer="0" w:header="0"/>
          <w:type w:val="continuous"/>
        </w:sectPr>
      </w:pP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costs...........................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Charges..........................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56.1%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3.4%</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55.3%</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32.1%</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4.1%</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4.4%</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4.1%</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30.0%</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20.5%</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5.8%</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224.5%</w:t>
      </w:r>
    </w:p>
    <w:p>
      <w:pPr>
        <w:spacing w:after="0" w:line="200" w:lineRule="exact"/>
        <w:rPr>
          <w:sz w:val="20"/>
          <w:szCs w:val="20"/>
          <w:color w:val="auto"/>
        </w:rPr>
      </w:pPr>
    </w:p>
    <w:p>
      <w:pPr>
        <w:sectPr>
          <w:pgSz w:w="11900" w:h="16838" w:orient="portrait"/>
          <w:cols w:equalWidth="0" w:num="4">
            <w:col w:w="3800" w:space="720"/>
            <w:col w:w="720" w:space="720"/>
            <w:col w:w="480" w:space="580"/>
            <w:col w:w="3199"/>
          </w:cols>
          <w:pgMar w:left="240" w:top="856" w:right="1440" w:bottom="1011"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revenue increased by $71.9 million, or 28.2%, from $254.7 million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August 31, 2005, to $326.6 million for the nine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2006. This improvement arose through a combination of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from existing clients and business won from new clients. Revenues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United States, Europe and the Rest of World grew by 39.0%, 9.3% and 47.2%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In the nine months ended September 30, 2006, net revenue from 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central laboratory business increased by 70.8%, from $19.7 million for the nine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ended August 31, 2005, to $33.7 million for the nine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2006, while our clinical research segment grew by 24.7%,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$235.0 million, to $292.9 million over the comparable period. The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 in our central laboratory segment is primarily due to higher testing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volumes in 2006. The growth in net revenue in our clinical research segment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the expansion of our services to both existing and new clients, increased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outsourcing by the pharmaceutical, biotechnology and medical device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an underlying increase in research and development spending, revenue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acquisitions and consolidation in the CRO industry.</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Direct costs increased by $42.3 million, or 30.0%, from $140.8 million for the nine months ended August 31, 2005, to $183.1 million for the nine months ended September 30, 2006, primarily due to increased staff numbers needed to support increased project related activity and the inclusion of $1.65 million non-cash stock compensation. Direct costs as a percentage of net revenue increased from 55.3% in the nine months ended August 31, 2005, to 56.1% in the nine months ended September 30, 2006.</w:t>
      </w:r>
    </w:p>
    <w:p>
      <w:pPr>
        <w:spacing w:after="0" w:line="188"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Selling, general and administrative expenses increased by $16.7 million, or 20.5%, from $81.7 million for the nine months ended August 31, 2005, to $98.5 million for the nine months ended September 30, 2006. This increase is due to the continued expansion of our operations and the inclusion of $1.34 million non-cash stock compensation expense. As a percentage of net revenue, selling, general and administrative expenses, decreased from 32.1% in the nine months ended August 31, 2005, to 30.1% in the nine months ended September 30, 2006.</w:t>
      </w:r>
    </w:p>
    <w:p>
      <w:pPr>
        <w:spacing w:after="0" w:line="188"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Depreciation and amortization expense increased by $0.6 million, or 5.8%, from $10.4 million for the nine months ended August 31, 2005, to $11.0 million for the nine months ended September 30, 2006. This increase is due to the continued investment in facilities and information technology to support the growth in activity and in providing for future capacity. As a percentage of net revenue, depreciation and amortization, decreased from 4.1% in the nine months ended August 31, 2005, to 3.4% in the nine months ended September 30, 2006.</w:t>
      </w:r>
    </w:p>
    <w:p>
      <w:pPr>
        <w:spacing w:after="0" w:line="17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Other charges of $11.3 million were recognised in the nine months ended August 31, 2005. These charges related to the recognition of an impairment in the carrying value of our investment in the central laboratory, a write down of certain fixed assets and the lease termination and exit costs associated with the consolidation of some of our office facilities in the U.S.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56" w:right="1440" w:bottom="1011" w:gutter="0" w:footer="0" w:header="0"/>
          <w:type w:val="continuous"/>
        </w:sectPr>
      </w:pPr>
    </w:p>
    <w:bookmarkStart w:id="21" w:name="page22"/>
    <w:bookmarkEnd w:id="21"/>
    <w:p>
      <w:pPr>
        <w:jc w:val="both"/>
        <w:ind w:right="2539"/>
        <w:spacing w:after="0" w:line="262" w:lineRule="auto"/>
        <w:rPr>
          <w:sz w:val="20"/>
          <w:szCs w:val="20"/>
          <w:color w:val="auto"/>
        </w:rPr>
      </w:pPr>
      <w:r>
        <w:rPr>
          <w:rFonts w:ascii="Courier New" w:cs="Courier New" w:eastAsia="Courier New" w:hAnsi="Courier New"/>
          <w:sz w:val="15"/>
          <w:szCs w:val="15"/>
          <w:color w:val="auto"/>
        </w:rPr>
        <w:t>Income from operations increased by $23.5 million, or 224.5%, from $10.5 million for the nine months ended August 31, 2005, to $34.0 million for the nine months ended September 30, 2006. As a percentage of net revenue, income from operations increased from 4.1% for the nine months ended August 31, 2005, to 10.4% of net revenues for the nine months ended September 30, 2006. The operating income for the nine months is derived after the recognition of the non cash stock compensation charge of $3.0 million. There was no such charge in the comparable period. As a percentage of net revenue, losses from operations for the central laboratory decreased from 71.7% for the nine months ended August 31, 2005, to a profit from operations percentage of 1.0% for the nine months ended September 30, 2006, due to the efficiencies gained in the higher testing volumes in fiscal 2006. For the nine months ended September 30, 2006, the central laboratory constituted approximately 10.3% of our business revenues. Operating margins for our clinical research segment increased from 10.5% in the nine months ended August 31, 2005, to 11.5% for the nine months ended September 30, 2006.</w:t>
      </w:r>
    </w:p>
    <w:p>
      <w:pPr>
        <w:spacing w:after="0" w:line="35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Interest income for the nine months ended September 30, 2006 was $2.6 million, an increase of $1.5 million over the amount of interest income for the nine months ended August 31, 2005. Higher average level of funds invested and higher interest rates over the prior period contributed to the increased interest income.</w:t>
      </w:r>
    </w:p>
    <w:p>
      <w:pPr>
        <w:spacing w:after="0" w:line="187"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ICON's effective tax rate for the nine months ended September 30, 2006 was 26.0% compared with 40.6% for the nine months ended August 31, 2005. The decrease in the effective rate was primarily due to the inclusion of once-off other charged for the nine months ended August 31, 2005.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nine months ended September 30, 2006 amounted to $196.0 million, compared to $152.9 million for the nine months ended August 31, 2005. Investing activities primarily reflect capital expenditures for facilities and for information systems enhancements, the sale and purchase of short-term investments and acquisitions.</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As of September 30, 2006, our working capital amounted to $153.5 million, compared to $132.3 million at December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57 days at September 30, 2006, compared to 65 days at December 31, 2005.</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Net cash provided by operating activities was $33.0 million in the nine months ended September 30, 2006, compared to $30.0 million in the nine months ended August 31, 2005.</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Net cash used in investing activities was $42.9 million in the nine months ended September 30, 2006, compared to $4.5 million in the nine months ended August 31, 2005, due to purchase of short term investments and acquisitions during the period.</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Net cash provided by financing activities was $5.0 million in the nine months ended September 30, 2006, compared to $8.1 million used in the nine months ended, August 31, 2005, primarily due to repayment of bank credit lines in the comparative period ended September 30, 2006.</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As a result of these cash flows, cash and cash equivalents decreased by $4.6 million in the nine months ended September 30, 2006, compared to an increase of $16.3 million in the nine months ended August 31, 2005.</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56" w:right="1440" w:bottom="641" w:gutter="0" w:footer="0" w:header="0"/>
        </w:sectPr>
      </w:pPr>
    </w:p>
    <w:bookmarkStart w:id="22" w:name="page23"/>
    <w:bookmarkEnd w:id="22"/>
    <w:p>
      <w:pPr>
        <w:jc w:val="both"/>
        <w:ind w:right="2539"/>
        <w:spacing w:after="0" w:line="244" w:lineRule="auto"/>
        <w:rPr>
          <w:sz w:val="20"/>
          <w:szCs w:val="20"/>
          <w:color w:val="auto"/>
        </w:rPr>
      </w:pPr>
      <w:r>
        <w:rPr>
          <w:rFonts w:ascii="Courier New" w:cs="Courier New" w:eastAsia="Courier New" w:hAnsi="Courier New"/>
          <w:sz w:val="16"/>
          <w:szCs w:val="16"/>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the term loan facility of $40 million and the multi currency overdraft facility of $5 million. As at September 30, 2006, the full amounts of the term loan facility and the multi currency overdraft were available to be drawn down. As at September 30, 2006, $11 million of the $15 million revolving credit facility was available to be drawn down.</w:t>
      </w:r>
    </w:p>
    <w:p>
      <w:pPr>
        <w:spacing w:after="0" w:line="192"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The Company also entered into an overdraft agreement with Allied Irish Banks, plc ("AIB") whereby the company guarantees any overdraft of its subsidiary ICON Clinical Research GmbH up to an amount (euro)120,000 (U.S.$152,532). As of September 30, 2006, the full facility was available to be drawn down.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90" w:lineRule="exact"/>
        <w:rPr>
          <w:sz w:val="20"/>
          <w:szCs w:val="20"/>
          <w:color w:val="auto"/>
        </w:rPr>
      </w:pPr>
    </w:p>
    <w:p>
      <w:pPr>
        <w:jc w:val="both"/>
        <w:ind w:right="2539"/>
        <w:spacing w:after="0" w:line="242" w:lineRule="auto"/>
        <w:rPr>
          <w:sz w:val="20"/>
          <w:szCs w:val="20"/>
          <w:color w:val="auto"/>
        </w:rPr>
      </w:pPr>
      <w:r>
        <w:rPr>
          <w:rFonts w:ascii="Courier New" w:cs="Courier New" w:eastAsia="Courier New" w:hAnsi="Courier New"/>
          <w:sz w:val="16"/>
          <w:szCs w:val="16"/>
          <w:color w:val="auto"/>
        </w:rPr>
        <w:t>We believe the effects of inflation generally do not have a material adverse impact on our operations or financial conditions.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We are not party to any litigation or other legal proceedings that we believe could reasonably be expected to have a material adverse effect on our business, results of operations and financial condition.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56" w:right="1440" w:bottom="1440" w:gutter="0" w:footer="0" w:header="0"/>
        </w:sectPr>
      </w:pPr>
    </w:p>
    <w:bookmarkStart w:id="23" w:name="page24"/>
    <w:bookmarkEnd w:id="23"/>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ICON plc</w:t>
      </w:r>
    </w:p>
    <w:p>
      <w:pPr>
        <w:sectPr>
          <w:pgSz w:w="11900" w:h="16838" w:orient="portrait"/>
          <w:cols w:equalWidth="0" w:num="1">
            <w:col w:w="10219"/>
          </w:cols>
          <w:pgMar w:left="240" w:top="854"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26, 2006</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Ciaran Murray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Ciaran Murray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188" w:lineRule="exact"/>
        <w:rPr>
          <w:sz w:val="20"/>
          <w:szCs w:val="20"/>
          <w:color w:val="auto"/>
        </w:rPr>
      </w:pPr>
    </w:p>
    <w:p>
      <w:pPr>
        <w:sectPr>
          <w:pgSz w:w="11900" w:h="16838" w:orient="portrait"/>
          <w:cols w:equalWidth="0" w:num="2">
            <w:col w:w="4760" w:space="720"/>
            <w:col w:w="4739"/>
          </w:cols>
          <w:pgMar w:left="240" w:top="854" w:right="1440" w:bottom="1440" w:gutter="0" w:footer="0" w:header="0"/>
          <w:type w:val="continuous"/>
        </w:sectPr>
      </w:pPr>
    </w:p>
    <w:p>
      <w:pPr>
        <w:ind w:left="3740"/>
        <w:spacing w:after="0"/>
        <w:rPr>
          <w:sz w:val="20"/>
          <w:szCs w:val="20"/>
          <w:color w:val="auto"/>
        </w:rPr>
      </w:pPr>
      <w:r>
        <w:rPr>
          <w:rFonts w:ascii="Courier New" w:cs="Courier New" w:eastAsia="Courier New" w:hAnsi="Courier New"/>
          <w:sz w:val="16"/>
          <w:szCs w:val="16"/>
          <w:color w:val="auto"/>
        </w:rPr>
        <w:t>20</w:t>
      </w:r>
    </w:p>
    <w:sectPr>
      <w:pgSz w:w="11900" w:h="16838" w:orient="portrait"/>
      <w:cols w:equalWidth="0" w:num="1">
        <w:col w:w="10219"/>
      </w:cols>
      <w:pgMar w:left="240" w:top="85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lowerLetter"/>
      <w:start w:val="1"/>
    </w:lvl>
    <w:lvl w:ilvl="1">
      <w:lvlJc w:val="left"/>
      <w:lvlText w:val="*"/>
      <w:numFmt w:val="bullet"/>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5"/>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2019-12-14T20:45:29Z</dcterms:created>
  <dcterms:modified xsi:type="dcterms:W3CDTF">2019-12-14T20:45:29Z</dcterms:modified>
</cp:coreProperties>
</file>