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79"/>
        <w:spacing w:after="0"/>
        <w:rPr>
          <w:sz w:val="20"/>
          <w:szCs w:val="20"/>
          <w:color w:val="auto"/>
        </w:rPr>
      </w:pPr>
      <w:r>
        <w:rPr>
          <w:rFonts w:ascii="Arial" w:cs="Arial" w:eastAsia="Arial" w:hAnsi="Arial"/>
          <w:sz w:val="29"/>
          <w:szCs w:val="29"/>
          <w:b w:val="1"/>
          <w:bCs w:val="1"/>
          <w:color w:val="auto"/>
        </w:rPr>
        <w:t>FORM 6-K</w:t>
      </w:r>
    </w:p>
    <w:p>
      <w:pPr>
        <w:spacing w:after="0" w:line="247"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Pursuant to Rule 13a-16 under</w:t>
      </w:r>
    </w:p>
    <w:p>
      <w:pPr>
        <w:jc w:val="center"/>
        <w:ind w:right="-79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340"/>
        <w:spacing w:after="0"/>
        <w:rPr>
          <w:sz w:val="20"/>
          <w:szCs w:val="20"/>
          <w:color w:val="auto"/>
        </w:rPr>
      </w:pPr>
      <w:r>
        <w:rPr>
          <w:rFonts w:ascii="Arial" w:cs="Arial" w:eastAsia="Arial" w:hAnsi="Arial"/>
          <w:sz w:val="22"/>
          <w:szCs w:val="22"/>
          <w:color w:val="auto"/>
        </w:rPr>
        <w:t>For the month ended July, 2019</w:t>
      </w:r>
    </w:p>
    <w:p>
      <w:pPr>
        <w:spacing w:after="0" w:line="200" w:lineRule="exact"/>
        <w:rPr>
          <w:sz w:val="24"/>
          <w:szCs w:val="24"/>
          <w:color w:val="auto"/>
        </w:rPr>
      </w:pPr>
    </w:p>
    <w:p>
      <w:pPr>
        <w:spacing w:after="0" w:line="266"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8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Brendan Brennan, CFO</w:t>
      </w:r>
    </w:p>
    <w:p>
      <w:pPr>
        <w:jc w:val="center"/>
        <w:ind w:right="-79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799"/>
        <w:spacing w:after="0" w:line="230" w:lineRule="auto"/>
        <w:rPr>
          <w:sz w:val="20"/>
          <w:szCs w:val="20"/>
          <w:color w:val="auto"/>
        </w:rPr>
      </w:pPr>
      <w:r>
        <w:rPr>
          <w:rFonts w:ascii="Arial" w:cs="Arial" w:eastAsia="Arial" w:hAnsi="Arial"/>
          <w:sz w:val="22"/>
          <w:szCs w:val="22"/>
          <w:color w:val="auto"/>
        </w:rPr>
        <w:t>Brendan.Brennan@iconplc.com</w:t>
      </w:r>
    </w:p>
    <w:p>
      <w:pPr>
        <w:jc w:val="center"/>
        <w:ind w:right="-799"/>
        <w:spacing w:after="0" w:line="231" w:lineRule="auto"/>
        <w:rPr>
          <w:sz w:val="20"/>
          <w:szCs w:val="20"/>
          <w:color w:val="auto"/>
        </w:rPr>
      </w:pPr>
      <w:r>
        <w:rPr>
          <w:rFonts w:ascii="Arial" w:cs="Arial" w:eastAsia="Arial" w:hAnsi="Arial"/>
          <w:sz w:val="22"/>
          <w:szCs w:val="22"/>
          <w:color w:val="auto"/>
        </w:rPr>
        <w:t>+353-1-291-2000</w:t>
      </w:r>
    </w:p>
    <w:p>
      <w:pPr>
        <w:spacing w:after="0" w:line="1"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3420"/>
        <w:spacing w:after="0"/>
        <w:tabs>
          <w:tab w:leader="none" w:pos="5680" w:val="left"/>
        </w:tabs>
        <w:rPr>
          <w:sz w:val="20"/>
          <w:szCs w:val="20"/>
          <w:color w:val="auto"/>
        </w:rPr>
      </w:pPr>
      <w:r>
        <w:rPr>
          <w:rFonts w:ascii="Arial" w:cs="Arial" w:eastAsia="Arial" w:hAnsi="Arial"/>
          <w:sz w:val="18"/>
          <w:szCs w:val="18"/>
          <w:color w:val="auto"/>
        </w:rPr>
        <w:t xml:space="preserve">Form 20-F </w:t>
      </w:r>
      <w:r>
        <w:rPr>
          <w:rFonts w:ascii="Arial" w:cs="Arial" w:eastAsia="Arial" w:hAnsi="Arial"/>
          <w:sz w:val="18"/>
          <w:szCs w:val="18"/>
          <w:b w:val="1"/>
          <w:bCs w:val="1"/>
          <w:u w:val="single" w:color="auto"/>
          <w:color w:val="auto"/>
        </w:rPr>
        <w:t>__X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Form 40-F ___________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3420"/>
        <w:spacing w:after="0"/>
        <w:tabs>
          <w:tab w:leader="none" w:pos="568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3420"/>
        <w:spacing w:after="0"/>
        <w:tabs>
          <w:tab w:leader="none" w:pos="568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3420"/>
        <w:spacing w:after="0"/>
        <w:tabs>
          <w:tab w:leader="none" w:pos="568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 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437515</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620"/>
          </w:cols>
          <w:pgMar w:left="240" w:top="215" w:right="1039" w:bottom="1440" w:gutter="0" w:footer="0" w:header="0"/>
        </w:sectPr>
      </w:pPr>
    </w:p>
    <w:bookmarkStart w:id="1" w:name="page2"/>
    <w:bookmarkEnd w:id="1"/>
    <w:p>
      <w:pPr>
        <w:jc w:val="center"/>
        <w:ind w:right="-319"/>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t>EXHIBIT LIST</w:t>
      </w:r>
    </w:p>
    <w:p>
      <w:pPr>
        <w:spacing w:after="0" w:line="246" w:lineRule="exact"/>
        <w:rPr>
          <w:sz w:val="20"/>
          <w:szCs w:val="20"/>
          <w:color w:val="auto"/>
        </w:rPr>
      </w:pPr>
    </w:p>
    <w:p>
      <w:pPr>
        <w:spacing w:after="0"/>
        <w:tabs>
          <w:tab w:leader="none" w:pos="156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25" w:lineRule="exact"/>
        <w:rPr>
          <w:sz w:val="20"/>
          <w:szCs w:val="20"/>
          <w:color w:val="auto"/>
        </w:rPr>
      </w:pPr>
    </w:p>
    <w:p>
      <w:pPr>
        <w:spacing w:after="0"/>
        <w:tabs>
          <w:tab w:leader="none" w:pos="156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Press Release issued July 24, 2019 - ICON Shareholders Vote in Favour of All Resolutions at its Annual General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546735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1361440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120"/>
          </w:cols>
          <w:pgMar w:left="240" w:top="841" w:right="539"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22"/>
          <w:szCs w:val="22"/>
          <w:b w:val="1"/>
          <w:bCs w:val="1"/>
          <w:color w:val="auto"/>
        </w:rPr>
        <w:t>SIGNATURES</w:t>
      </w:r>
    </w:p>
    <w:p>
      <w:pPr>
        <w:spacing w:after="0" w:line="239"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6" w:lineRule="exact"/>
        <w:rPr>
          <w:sz w:val="20"/>
          <w:szCs w:val="20"/>
          <w:color w:val="auto"/>
        </w:rPr>
      </w:pPr>
    </w:p>
    <w:p>
      <w:pPr>
        <w:ind w:left="762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7620"/>
        <w:spacing w:after="0"/>
        <w:rPr>
          <w:sz w:val="20"/>
          <w:szCs w:val="20"/>
          <w:color w:val="auto"/>
        </w:rPr>
      </w:pPr>
      <w:r>
        <w:rPr>
          <w:rFonts w:ascii="Arial" w:cs="Arial" w:eastAsia="Arial" w:hAnsi="Arial"/>
          <w:sz w:val="18"/>
          <w:szCs w:val="18"/>
          <w:color w:val="auto"/>
        </w:rPr>
        <w:t>/s/ Brendan Brennan</w:t>
      </w:r>
    </w:p>
    <w:p>
      <w:pPr>
        <w:spacing w:after="0" w:line="23" w:lineRule="exact"/>
        <w:rPr>
          <w:sz w:val="20"/>
          <w:szCs w:val="20"/>
          <w:color w:val="auto"/>
        </w:rPr>
      </w:pPr>
    </w:p>
    <w:p>
      <w:pPr>
        <w:ind w:left="7620" w:right="1960" w:hanging="7602"/>
        <w:spacing w:after="0" w:line="323" w:lineRule="auto"/>
        <w:tabs>
          <w:tab w:leader="none" w:pos="7600" w:val="left"/>
        </w:tabs>
        <w:rPr>
          <w:sz w:val="20"/>
          <w:szCs w:val="20"/>
          <w:color w:val="auto"/>
        </w:rPr>
      </w:pPr>
      <w:r>
        <w:rPr>
          <w:rFonts w:ascii="Arial" w:cs="Arial" w:eastAsia="Arial" w:hAnsi="Arial"/>
          <w:sz w:val="18"/>
          <w:szCs w:val="18"/>
          <w:color w:val="auto"/>
        </w:rPr>
        <w:t>Date: July 24, 2019</w:t>
      </w:r>
      <w:r>
        <w:rPr>
          <w:sz w:val="20"/>
          <w:szCs w:val="20"/>
          <w:color w:val="auto"/>
        </w:rPr>
        <w:tab/>
      </w:r>
      <w:r>
        <w:rPr>
          <w:rFonts w:ascii="Arial" w:cs="Arial" w:eastAsia="Arial" w:hAnsi="Arial"/>
          <w:sz w:val="16"/>
          <w:szCs w:val="16"/>
          <w:color w:val="auto"/>
        </w:rPr>
        <w:t>Brendan Brennan Chief Financial Officer</w:t>
      </w:r>
    </w:p>
    <w:p>
      <w:pPr>
        <w:sectPr>
          <w:pgSz w:w="11900" w:h="16838" w:orient="portrait"/>
          <w:cols w:equalWidth="0" w:num="1">
            <w:col w:w="11240"/>
          </w:cols>
          <w:pgMar w:left="240" w:top="841"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ICON Shareholders Vote in Favour of All Resolutions at its Annual General Meeting</w:t>
      </w:r>
    </w:p>
    <w:p>
      <w:pPr>
        <w:spacing w:after="0" w:line="221" w:lineRule="exact"/>
        <w:rPr>
          <w:sz w:val="20"/>
          <w:szCs w:val="20"/>
          <w:color w:val="auto"/>
        </w:rPr>
      </w:pPr>
    </w:p>
    <w:p>
      <w:pPr>
        <w:ind w:right="20"/>
        <w:spacing w:after="0" w:line="237" w:lineRule="auto"/>
        <w:rPr>
          <w:sz w:val="20"/>
          <w:szCs w:val="20"/>
          <w:color w:val="auto"/>
        </w:rPr>
      </w:pPr>
      <w:r>
        <w:rPr>
          <w:rFonts w:ascii="Arial" w:cs="Arial" w:eastAsia="Arial" w:hAnsi="Arial"/>
          <w:sz w:val="22"/>
          <w:szCs w:val="22"/>
          <w:color w:val="auto"/>
        </w:rPr>
        <w:t>DUBLIN--(BUSINESS WIRE)--July 24, 2019--</w:t>
      </w:r>
      <w:r>
        <w:rPr>
          <w:rFonts w:ascii="Arial" w:cs="Arial" w:eastAsia="Arial" w:hAnsi="Arial"/>
          <w:sz w:val="22"/>
          <w:szCs w:val="22"/>
          <w:b w:val="1"/>
          <w:bCs w:val="1"/>
          <w:color w:val="auto"/>
        </w:rPr>
        <w:t>ICON plc (NASDAQ: ICLR),</w:t>
      </w:r>
      <w:r>
        <w:rPr>
          <w:rFonts w:ascii="Arial" w:cs="Arial" w:eastAsia="Arial" w:hAnsi="Arial"/>
          <w:sz w:val="22"/>
          <w:szCs w:val="22"/>
          <w:color w:val="auto"/>
        </w:rPr>
        <w:t xml:space="preserve"> a global provider of drug development solutions and services to the pharmaceutical, biotechnology and medical device industries, today announced that all resolutions at the Annual General Meeting of the Company (AGM) held on July 23, 2019 (which resolutions had all been recommended by the Board) were all duly passed by shareholders. These resolutions were set out in the Notice of the AGM sent to shareholders dated June 10, 2019 and are available on the ICON plc website.</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color w:val="auto"/>
        </w:rPr>
        <w:t>The final results of the voting are as follows:</w:t>
      </w:r>
    </w:p>
    <w:p>
      <w:pPr>
        <w:spacing w:after="0" w:line="204" w:lineRule="exact"/>
        <w:rPr>
          <w:sz w:val="20"/>
          <w:szCs w:val="20"/>
          <w:color w:val="auto"/>
        </w:rPr>
      </w:pPr>
    </w:p>
    <w:tbl>
      <w:tblPr>
        <w:tblLayout w:type="fixed"/>
        <w:tblInd w:w="10" w:type="dxa"/>
        <w:tblCellMar>
          <w:top w:w="0" w:type="dxa"/>
          <w:left w:w="0" w:type="dxa"/>
          <w:bottom w:w="0" w:type="dxa"/>
          <w:right w:w="0" w:type="dxa"/>
        </w:tblCellMar>
      </w:tblPr>
      <w:tr>
        <w:trPr>
          <w:trHeight w:val="228"/>
        </w:trPr>
        <w:tc>
          <w:tcPr>
            <w:tcW w:w="156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RESOLUTION</w:t>
            </w:r>
          </w:p>
        </w:tc>
        <w:tc>
          <w:tcPr>
            <w:tcW w:w="5080" w:type="dxa"/>
            <w:vAlign w:val="bottom"/>
            <w:tcBorders>
              <w:top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RESOLUTION</w:t>
            </w:r>
          </w:p>
        </w:tc>
        <w:tc>
          <w:tcPr>
            <w:tcW w:w="18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TOTAL NUMBER</w:t>
            </w:r>
          </w:p>
        </w:tc>
        <w:tc>
          <w:tcPr>
            <w:tcW w:w="8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VOTE</w:t>
            </w:r>
          </w:p>
        </w:tc>
        <w:tc>
          <w:tcPr>
            <w:tcW w:w="9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VOTE</w:t>
            </w:r>
          </w:p>
        </w:tc>
        <w:tc>
          <w:tcPr>
            <w:tcW w:w="11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VOTE</w:t>
            </w:r>
          </w:p>
        </w:tc>
        <w:tc>
          <w:tcPr>
            <w:tcW w:w="0" w:type="dxa"/>
            <w:vAlign w:val="bottom"/>
          </w:tcPr>
          <w:p>
            <w:pPr>
              <w:spacing w:after="0"/>
              <w:rPr>
                <w:sz w:val="1"/>
                <w:szCs w:val="1"/>
                <w:color w:val="auto"/>
              </w:rPr>
            </w:pPr>
          </w:p>
        </w:tc>
      </w:tr>
      <w:tr>
        <w:trPr>
          <w:trHeight w:val="126"/>
        </w:trPr>
        <w:tc>
          <w:tcPr>
            <w:tcW w:w="156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NUMBER</w:t>
            </w:r>
          </w:p>
        </w:tc>
        <w:tc>
          <w:tcPr>
            <w:tcW w:w="5080" w:type="dxa"/>
            <w:vAlign w:val="bottom"/>
            <w:tcBorders>
              <w:right w:val="single" w:sz="8" w:color="auto"/>
            </w:tcBorders>
            <w:vMerge w:val="continue"/>
          </w:tcPr>
          <w:p>
            <w:pPr>
              <w:spacing w:after="0"/>
              <w:rPr>
                <w:sz w:val="10"/>
                <w:szCs w:val="10"/>
                <w:color w:val="auto"/>
              </w:rPr>
            </w:pPr>
          </w:p>
        </w:tc>
        <w:tc>
          <w:tcPr>
            <w:tcW w:w="18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w w:val="98"/>
              </w:rPr>
              <w:t>OF VOTES</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w w:val="99"/>
              </w:rPr>
              <w:t>FOR</w:t>
            </w:r>
          </w:p>
        </w:tc>
        <w:tc>
          <w:tcPr>
            <w:tcW w:w="9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AGAINST</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WITHHELD</w:t>
            </w:r>
          </w:p>
        </w:tc>
        <w:tc>
          <w:tcPr>
            <w:tcW w:w="0" w:type="dxa"/>
            <w:vAlign w:val="bottom"/>
          </w:tcPr>
          <w:p>
            <w:pPr>
              <w:spacing w:after="0"/>
              <w:rPr>
                <w:sz w:val="1"/>
                <w:szCs w:val="1"/>
                <w:color w:val="auto"/>
              </w:rPr>
            </w:pPr>
          </w:p>
        </w:tc>
      </w:tr>
      <w:tr>
        <w:trPr>
          <w:trHeight w:val="108"/>
        </w:trPr>
        <w:tc>
          <w:tcPr>
            <w:tcW w:w="1560" w:type="dxa"/>
            <w:vAlign w:val="bottom"/>
            <w:tcBorders>
              <w:left w:val="single" w:sz="8" w:color="auto"/>
              <w:right w:val="single" w:sz="8" w:color="auto"/>
            </w:tcBorders>
            <w:vMerge w:val="continue"/>
          </w:tcPr>
          <w:p>
            <w:pPr>
              <w:spacing w:after="0"/>
              <w:rPr>
                <w:sz w:val="9"/>
                <w:szCs w:val="9"/>
                <w:color w:val="auto"/>
              </w:rPr>
            </w:pPr>
          </w:p>
        </w:tc>
        <w:tc>
          <w:tcPr>
            <w:tcW w:w="5080" w:type="dxa"/>
            <w:vAlign w:val="bottom"/>
            <w:tcBorders>
              <w:right w:val="single" w:sz="8" w:color="auto"/>
            </w:tcBorders>
          </w:tcPr>
          <w:p>
            <w:pPr>
              <w:spacing w:after="0"/>
              <w:rPr>
                <w:sz w:val="9"/>
                <w:szCs w:val="9"/>
                <w:color w:val="auto"/>
              </w:rPr>
            </w:pPr>
          </w:p>
        </w:tc>
        <w:tc>
          <w:tcPr>
            <w:tcW w:w="1800" w:type="dxa"/>
            <w:vAlign w:val="bottom"/>
            <w:tcBorders>
              <w:right w:val="single" w:sz="8" w:color="auto"/>
            </w:tcBorders>
            <w:vMerge w:val="continue"/>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11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4"/>
        </w:trPr>
        <w:tc>
          <w:tcPr>
            <w:tcW w:w="1560" w:type="dxa"/>
            <w:vAlign w:val="bottom"/>
            <w:tcBorders>
              <w:left w:val="single" w:sz="8" w:color="auto"/>
              <w:bottom w:val="single" w:sz="8" w:color="auto"/>
              <w:right w:val="single" w:sz="8" w:color="auto"/>
            </w:tcBorders>
          </w:tcPr>
          <w:p>
            <w:pPr>
              <w:spacing w:after="0"/>
              <w:rPr>
                <w:sz w:val="3"/>
                <w:szCs w:val="3"/>
                <w:color w:val="auto"/>
              </w:rPr>
            </w:pPr>
          </w:p>
        </w:tc>
        <w:tc>
          <w:tcPr>
            <w:tcW w:w="5080" w:type="dxa"/>
            <w:vAlign w:val="bottom"/>
            <w:tcBorders>
              <w:bottom w:val="single" w:sz="8" w:color="auto"/>
              <w:right w:val="single" w:sz="8" w:color="auto"/>
            </w:tcBorders>
          </w:tcPr>
          <w:p>
            <w:pPr>
              <w:spacing w:after="0"/>
              <w:rPr>
                <w:sz w:val="3"/>
                <w:szCs w:val="3"/>
                <w:color w:val="auto"/>
              </w:rPr>
            </w:pPr>
          </w:p>
        </w:tc>
        <w:tc>
          <w:tcPr>
            <w:tcW w:w="180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1.1</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To re-elect Dr. John Climax</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45,129,835</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287,973</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8,830</w:t>
            </w:r>
          </w:p>
        </w:tc>
        <w:tc>
          <w:tcPr>
            <w:tcW w:w="0" w:type="dxa"/>
            <w:vAlign w:val="bottom"/>
          </w:tcPr>
          <w:p>
            <w:pPr>
              <w:spacing w:after="0"/>
              <w:rPr>
                <w:sz w:val="1"/>
                <w:szCs w:val="1"/>
                <w:color w:val="auto"/>
              </w:rPr>
            </w:pPr>
          </w:p>
        </w:tc>
      </w:tr>
      <w:tr>
        <w:trPr>
          <w:trHeight w:val="235"/>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1.2</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To re-elect Dr. Steve Cutler</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45,254,223</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163,617</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8,798</w:t>
            </w:r>
          </w:p>
        </w:tc>
        <w:tc>
          <w:tcPr>
            <w:tcW w:w="0" w:type="dxa"/>
            <w:vAlign w:val="bottom"/>
          </w:tcPr>
          <w:p>
            <w:pPr>
              <w:spacing w:after="0"/>
              <w:rPr>
                <w:sz w:val="1"/>
                <w:szCs w:val="1"/>
                <w:color w:val="auto"/>
              </w:rPr>
            </w:pPr>
          </w:p>
        </w:tc>
      </w:tr>
      <w:tr>
        <w:trPr>
          <w:trHeight w:val="237"/>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1.3</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To re-elect Professor William Hall</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44,903,508</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514,140</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8,990</w:t>
            </w:r>
          </w:p>
        </w:tc>
        <w:tc>
          <w:tcPr>
            <w:tcW w:w="0" w:type="dxa"/>
            <w:vAlign w:val="bottom"/>
          </w:tcPr>
          <w:p>
            <w:pPr>
              <w:spacing w:after="0"/>
              <w:rPr>
                <w:sz w:val="1"/>
                <w:szCs w:val="1"/>
                <w:color w:val="auto"/>
              </w:rPr>
            </w:pPr>
          </w:p>
        </w:tc>
      </w:tr>
      <w:tr>
        <w:trPr>
          <w:trHeight w:val="237"/>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79"/>
              </w:rPr>
              <w:t>2</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To receive accounts and reports</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45,274,969</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15,009</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136,660</w:t>
            </w:r>
          </w:p>
        </w:tc>
        <w:tc>
          <w:tcPr>
            <w:tcW w:w="0" w:type="dxa"/>
            <w:vAlign w:val="bottom"/>
          </w:tcPr>
          <w:p>
            <w:pPr>
              <w:spacing w:after="0"/>
              <w:rPr>
                <w:sz w:val="1"/>
                <w:szCs w:val="1"/>
                <w:color w:val="auto"/>
              </w:rPr>
            </w:pPr>
          </w:p>
        </w:tc>
      </w:tr>
      <w:tr>
        <w:trPr>
          <w:trHeight w:val="237"/>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79"/>
              </w:rPr>
              <w:t>3</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To authorise the fixing of the auditors’ remuneration</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42,524,937</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2,895,529</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6,172</w:t>
            </w:r>
          </w:p>
        </w:tc>
        <w:tc>
          <w:tcPr>
            <w:tcW w:w="0" w:type="dxa"/>
            <w:vAlign w:val="bottom"/>
          </w:tcPr>
          <w:p>
            <w:pPr>
              <w:spacing w:after="0"/>
              <w:rPr>
                <w:sz w:val="1"/>
                <w:szCs w:val="1"/>
                <w:color w:val="auto"/>
              </w:rPr>
            </w:pPr>
          </w:p>
        </w:tc>
      </w:tr>
      <w:tr>
        <w:trPr>
          <w:trHeight w:val="237"/>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79"/>
              </w:rPr>
              <w:t>4</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To authorise the Company to allot shares</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44,465,330</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951,583</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9,725</w:t>
            </w:r>
          </w:p>
        </w:tc>
        <w:tc>
          <w:tcPr>
            <w:tcW w:w="0" w:type="dxa"/>
            <w:vAlign w:val="bottom"/>
          </w:tcPr>
          <w:p>
            <w:pPr>
              <w:spacing w:after="0"/>
              <w:rPr>
                <w:sz w:val="1"/>
                <w:szCs w:val="1"/>
                <w:color w:val="auto"/>
              </w:rPr>
            </w:pPr>
          </w:p>
        </w:tc>
      </w:tr>
      <w:tr>
        <w:trPr>
          <w:trHeight w:val="237"/>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5**</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To disapply pre-emption rights</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43,247,089</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2,157,812</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21,737</w:t>
            </w:r>
          </w:p>
        </w:tc>
        <w:tc>
          <w:tcPr>
            <w:tcW w:w="0" w:type="dxa"/>
            <w:vAlign w:val="bottom"/>
          </w:tcPr>
          <w:p>
            <w:pPr>
              <w:spacing w:after="0"/>
              <w:rPr>
                <w:sz w:val="1"/>
                <w:szCs w:val="1"/>
                <w:color w:val="auto"/>
              </w:rPr>
            </w:pPr>
          </w:p>
        </w:tc>
      </w:tr>
      <w:tr>
        <w:trPr>
          <w:trHeight w:val="213"/>
        </w:trPr>
        <w:tc>
          <w:tcPr>
            <w:tcW w:w="15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6**</w:t>
            </w:r>
          </w:p>
        </w:tc>
        <w:tc>
          <w:tcPr>
            <w:tcW w:w="50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2"/>
              </w:rPr>
              <w:t>To disapply pre-emption rights for funding capital investment or</w:t>
            </w:r>
          </w:p>
        </w:tc>
        <w:tc>
          <w:tcPr>
            <w:tcW w:w="180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1560" w:type="dxa"/>
            <w:vAlign w:val="bottom"/>
            <w:tcBorders>
              <w:right w:val="single" w:sz="8" w:color="auto"/>
            </w:tcBorders>
            <w:vMerge w:val="continue"/>
          </w:tcPr>
          <w:p>
            <w:pPr>
              <w:spacing w:after="0"/>
              <w:rPr>
                <w:sz w:val="10"/>
                <w:szCs w:val="10"/>
                <w:color w:val="auto"/>
              </w:rPr>
            </w:pPr>
          </w:p>
        </w:tc>
        <w:tc>
          <w:tcPr>
            <w:tcW w:w="50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acquisitions</w:t>
            </w:r>
          </w:p>
        </w:tc>
        <w:tc>
          <w:tcPr>
            <w:tcW w:w="18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8"/>
              </w:rPr>
              <w:t>43,249,638</w:t>
            </w:r>
          </w:p>
        </w:tc>
        <w:tc>
          <w:tcPr>
            <w:tcW w:w="9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2,156,336</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20,664</w:t>
            </w:r>
          </w:p>
        </w:tc>
        <w:tc>
          <w:tcPr>
            <w:tcW w:w="0" w:type="dxa"/>
            <w:vAlign w:val="bottom"/>
          </w:tcPr>
          <w:p>
            <w:pPr>
              <w:spacing w:after="0"/>
              <w:rPr>
                <w:sz w:val="1"/>
                <w:szCs w:val="1"/>
                <w:color w:val="auto"/>
              </w:rPr>
            </w:pPr>
          </w:p>
        </w:tc>
      </w:tr>
      <w:tr>
        <w:trPr>
          <w:trHeight w:val="115"/>
        </w:trPr>
        <w:tc>
          <w:tcPr>
            <w:tcW w:w="1560" w:type="dxa"/>
            <w:vAlign w:val="bottom"/>
            <w:tcBorders>
              <w:bottom w:val="single" w:sz="8" w:color="auto"/>
              <w:right w:val="single" w:sz="8" w:color="auto"/>
            </w:tcBorders>
          </w:tcPr>
          <w:p>
            <w:pPr>
              <w:spacing w:after="0"/>
              <w:rPr>
                <w:sz w:val="10"/>
                <w:szCs w:val="10"/>
                <w:color w:val="auto"/>
              </w:rPr>
            </w:pPr>
          </w:p>
        </w:tc>
        <w:tc>
          <w:tcPr>
            <w:tcW w:w="5080" w:type="dxa"/>
            <w:vAlign w:val="bottom"/>
            <w:tcBorders>
              <w:bottom w:val="single" w:sz="8" w:color="auto"/>
              <w:right w:val="single" w:sz="8" w:color="auto"/>
            </w:tcBorders>
            <w:vMerge w:val="continue"/>
          </w:tcPr>
          <w:p>
            <w:pPr>
              <w:spacing w:after="0"/>
              <w:rPr>
                <w:sz w:val="10"/>
                <w:szCs w:val="10"/>
                <w:color w:val="auto"/>
              </w:rPr>
            </w:pPr>
          </w:p>
        </w:tc>
        <w:tc>
          <w:tcPr>
            <w:tcW w:w="1800" w:type="dxa"/>
            <w:vAlign w:val="bottom"/>
            <w:tcBorders>
              <w:bottom w:val="single" w:sz="8" w:color="auto"/>
              <w:right w:val="single" w:sz="8" w:color="auto"/>
            </w:tcBorders>
            <w:vMerge w:val="continue"/>
          </w:tcPr>
          <w:p>
            <w:pPr>
              <w:spacing w:after="0"/>
              <w:rPr>
                <w:sz w:val="10"/>
                <w:szCs w:val="10"/>
                <w:color w:val="auto"/>
              </w:rPr>
            </w:pPr>
          </w:p>
        </w:tc>
        <w:tc>
          <w:tcPr>
            <w:tcW w:w="860" w:type="dxa"/>
            <w:vAlign w:val="bottom"/>
            <w:tcBorders>
              <w:bottom w:val="single" w:sz="8" w:color="auto"/>
              <w:right w:val="single" w:sz="8" w:color="auto"/>
            </w:tcBorders>
            <w:vMerge w:val="continue"/>
          </w:tcPr>
          <w:p>
            <w:pPr>
              <w:spacing w:after="0"/>
              <w:rPr>
                <w:sz w:val="10"/>
                <w:szCs w:val="10"/>
                <w:color w:val="auto"/>
              </w:rPr>
            </w:pPr>
          </w:p>
        </w:tc>
        <w:tc>
          <w:tcPr>
            <w:tcW w:w="980" w:type="dxa"/>
            <w:vAlign w:val="bottom"/>
            <w:tcBorders>
              <w:bottom w:val="single" w:sz="8" w:color="auto"/>
              <w:right w:val="single" w:sz="8" w:color="auto"/>
            </w:tcBorders>
            <w:vMerge w:val="continue"/>
          </w:tcPr>
          <w:p>
            <w:pPr>
              <w:spacing w:after="0"/>
              <w:rPr>
                <w:sz w:val="10"/>
                <w:szCs w:val="10"/>
                <w:color w:val="auto"/>
              </w:rPr>
            </w:pPr>
          </w:p>
        </w:tc>
        <w:tc>
          <w:tcPr>
            <w:tcW w:w="112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9"/>
        </w:trPr>
        <w:tc>
          <w:tcPr>
            <w:tcW w:w="15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7**</w:t>
            </w:r>
          </w:p>
        </w:tc>
        <w:tc>
          <w:tcPr>
            <w:tcW w:w="5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To authorise the Company to make market purchases of shares</w:t>
            </w:r>
          </w:p>
        </w:tc>
        <w:tc>
          <w:tcPr>
            <w:tcW w:w="1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45,231,479</w:t>
            </w:r>
          </w:p>
        </w:tc>
        <w:tc>
          <w:tcPr>
            <w:tcW w:w="9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36,310</w:t>
            </w:r>
          </w:p>
        </w:tc>
        <w:tc>
          <w:tcPr>
            <w:tcW w:w="1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158,849</w:t>
            </w:r>
          </w:p>
        </w:tc>
        <w:tc>
          <w:tcPr>
            <w:tcW w:w="0" w:type="dxa"/>
            <w:vAlign w:val="bottom"/>
          </w:tcPr>
          <w:p>
            <w:pPr>
              <w:spacing w:after="0"/>
              <w:rPr>
                <w:sz w:val="1"/>
                <w:szCs w:val="1"/>
                <w:color w:val="auto"/>
              </w:rPr>
            </w:pPr>
          </w:p>
        </w:tc>
      </w:tr>
      <w:tr>
        <w:trPr>
          <w:trHeight w:val="213"/>
        </w:trPr>
        <w:tc>
          <w:tcPr>
            <w:tcW w:w="15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rPr>
              <w:t>8**</w:t>
            </w:r>
          </w:p>
        </w:tc>
        <w:tc>
          <w:tcPr>
            <w:tcW w:w="50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8"/>
              </w:rPr>
              <w:t>To authorise the price range at which the Company can reissue shares</w:t>
            </w:r>
          </w:p>
        </w:tc>
        <w:tc>
          <w:tcPr>
            <w:tcW w:w="180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1560" w:type="dxa"/>
            <w:vAlign w:val="bottom"/>
            <w:tcBorders>
              <w:right w:val="single" w:sz="8" w:color="auto"/>
            </w:tcBorders>
            <w:vMerge w:val="continue"/>
          </w:tcPr>
          <w:p>
            <w:pPr>
              <w:spacing w:after="0"/>
              <w:rPr>
                <w:sz w:val="10"/>
                <w:szCs w:val="10"/>
                <w:color w:val="auto"/>
              </w:rPr>
            </w:pPr>
          </w:p>
        </w:tc>
        <w:tc>
          <w:tcPr>
            <w:tcW w:w="50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7"/>
              </w:rPr>
              <w:t>it holds as treasury shares</w:t>
            </w:r>
          </w:p>
        </w:tc>
        <w:tc>
          <w:tcPr>
            <w:tcW w:w="18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8"/>
              </w:rPr>
              <w:t>45,426,638</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8"/>
              </w:rPr>
              <w:t>45,135,367</w:t>
            </w:r>
          </w:p>
        </w:tc>
        <w:tc>
          <w:tcPr>
            <w:tcW w:w="9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126,751</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164,520</w:t>
            </w:r>
          </w:p>
        </w:tc>
        <w:tc>
          <w:tcPr>
            <w:tcW w:w="0" w:type="dxa"/>
            <w:vAlign w:val="bottom"/>
          </w:tcPr>
          <w:p>
            <w:pPr>
              <w:spacing w:after="0"/>
              <w:rPr>
                <w:sz w:val="1"/>
                <w:szCs w:val="1"/>
                <w:color w:val="auto"/>
              </w:rPr>
            </w:pPr>
          </w:p>
        </w:tc>
      </w:tr>
      <w:tr>
        <w:trPr>
          <w:trHeight w:val="115"/>
        </w:trPr>
        <w:tc>
          <w:tcPr>
            <w:tcW w:w="1560" w:type="dxa"/>
            <w:vAlign w:val="bottom"/>
            <w:tcBorders>
              <w:bottom w:val="single" w:sz="8" w:color="auto"/>
              <w:right w:val="single" w:sz="8" w:color="auto"/>
            </w:tcBorders>
          </w:tcPr>
          <w:p>
            <w:pPr>
              <w:spacing w:after="0"/>
              <w:rPr>
                <w:sz w:val="10"/>
                <w:szCs w:val="10"/>
                <w:color w:val="auto"/>
              </w:rPr>
            </w:pPr>
          </w:p>
        </w:tc>
        <w:tc>
          <w:tcPr>
            <w:tcW w:w="5080" w:type="dxa"/>
            <w:vAlign w:val="bottom"/>
            <w:tcBorders>
              <w:bottom w:val="single" w:sz="8" w:color="auto"/>
              <w:right w:val="single" w:sz="8" w:color="auto"/>
            </w:tcBorders>
            <w:vMerge w:val="continue"/>
          </w:tcPr>
          <w:p>
            <w:pPr>
              <w:spacing w:after="0"/>
              <w:rPr>
                <w:sz w:val="10"/>
                <w:szCs w:val="10"/>
                <w:color w:val="auto"/>
              </w:rPr>
            </w:pPr>
          </w:p>
        </w:tc>
        <w:tc>
          <w:tcPr>
            <w:tcW w:w="1800" w:type="dxa"/>
            <w:vAlign w:val="bottom"/>
            <w:tcBorders>
              <w:bottom w:val="single" w:sz="8" w:color="auto"/>
              <w:right w:val="single" w:sz="8" w:color="auto"/>
            </w:tcBorders>
            <w:vMerge w:val="continue"/>
          </w:tcPr>
          <w:p>
            <w:pPr>
              <w:spacing w:after="0"/>
              <w:rPr>
                <w:sz w:val="10"/>
                <w:szCs w:val="10"/>
                <w:color w:val="auto"/>
              </w:rPr>
            </w:pPr>
          </w:p>
        </w:tc>
        <w:tc>
          <w:tcPr>
            <w:tcW w:w="860" w:type="dxa"/>
            <w:vAlign w:val="bottom"/>
            <w:tcBorders>
              <w:bottom w:val="single" w:sz="8" w:color="auto"/>
              <w:right w:val="single" w:sz="8" w:color="auto"/>
            </w:tcBorders>
            <w:vMerge w:val="continue"/>
          </w:tcPr>
          <w:p>
            <w:pPr>
              <w:spacing w:after="0"/>
              <w:rPr>
                <w:sz w:val="10"/>
                <w:szCs w:val="10"/>
                <w:color w:val="auto"/>
              </w:rPr>
            </w:pPr>
          </w:p>
        </w:tc>
        <w:tc>
          <w:tcPr>
            <w:tcW w:w="980" w:type="dxa"/>
            <w:vAlign w:val="bottom"/>
            <w:tcBorders>
              <w:bottom w:val="single" w:sz="8" w:color="auto"/>
              <w:right w:val="single" w:sz="8" w:color="auto"/>
            </w:tcBorders>
            <w:vMerge w:val="continue"/>
          </w:tcPr>
          <w:p>
            <w:pPr>
              <w:spacing w:after="0"/>
              <w:rPr>
                <w:sz w:val="10"/>
                <w:szCs w:val="10"/>
                <w:color w:val="auto"/>
              </w:rPr>
            </w:pPr>
          </w:p>
        </w:tc>
        <w:tc>
          <w:tcPr>
            <w:tcW w:w="112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 Special Resolution. All resolutions are ordinary resolutions unless otherwise stated.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71" w:lineRule="auto"/>
        <w:rPr>
          <w:sz w:val="20"/>
          <w:szCs w:val="20"/>
          <w:color w:val="auto"/>
        </w:rPr>
      </w:pPr>
      <w:r>
        <w:rPr>
          <w:rFonts w:ascii="Arial" w:cs="Arial" w:eastAsia="Arial" w:hAnsi="Arial"/>
          <w:sz w:val="19"/>
          <w:szCs w:val="19"/>
          <w:color w:val="auto"/>
        </w:rPr>
        <w:t>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http://www.sec.gov.</w:t>
      </w:r>
    </w:p>
    <w:p>
      <w:pPr>
        <w:spacing w:after="0" w:line="165"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employed approximately 14,400 employees in 98 locations in 40 countries as at June 30, 2019. Further information is available at www.iconplc.com.</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All at ICON.</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1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w:t>
      </w:r>
    </w:p>
    <w:p>
      <w:pPr>
        <w:spacing w:after="0" w:line="238" w:lineRule="auto"/>
        <w:rPr>
          <w:sz w:val="20"/>
          <w:szCs w:val="20"/>
          <w:color w:val="auto"/>
        </w:rPr>
      </w:pPr>
      <w:r>
        <w:rPr>
          <w:rFonts w:ascii="Arial" w:cs="Arial" w:eastAsia="Arial" w:hAnsi="Arial"/>
          <w:sz w:val="22"/>
          <w:szCs w:val="22"/>
          <w:color w:val="auto"/>
        </w:rPr>
        <w:t>1 888 381 7923</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Brendan Brennan</w:t>
      </w:r>
    </w:p>
    <w:p>
      <w:pPr>
        <w:spacing w:after="0" w:line="231" w:lineRule="auto"/>
        <w:rPr>
          <w:sz w:val="20"/>
          <w:szCs w:val="20"/>
          <w:color w:val="auto"/>
        </w:rPr>
      </w:pPr>
      <w:r>
        <w:rPr>
          <w:rFonts w:ascii="Arial" w:cs="Arial" w:eastAsia="Arial" w:hAnsi="Arial"/>
          <w:sz w:val="22"/>
          <w:szCs w:val="22"/>
          <w:color w:val="auto"/>
        </w:rPr>
        <w:t>Chief Financial Officer</w:t>
      </w:r>
    </w:p>
    <w:p>
      <w:pPr>
        <w:spacing w:after="0"/>
        <w:rPr>
          <w:sz w:val="20"/>
          <w:szCs w:val="20"/>
          <w:color w:val="auto"/>
        </w:rPr>
      </w:pPr>
      <w:r>
        <w:rPr>
          <w:rFonts w:ascii="Arial" w:cs="Arial" w:eastAsia="Arial" w:hAnsi="Arial"/>
          <w:sz w:val="22"/>
          <w:szCs w:val="22"/>
          <w:color w:val="auto"/>
        </w:rPr>
        <w:t>+ 353 1 291 2000</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Jonathan Curtain</w:t>
      </w:r>
    </w:p>
    <w:p>
      <w:pPr>
        <w:spacing w:after="0" w:line="238" w:lineRule="auto"/>
        <w:rPr>
          <w:sz w:val="20"/>
          <w:szCs w:val="20"/>
          <w:color w:val="auto"/>
        </w:rPr>
      </w:pPr>
      <w:r>
        <w:rPr>
          <w:rFonts w:ascii="Arial" w:cs="Arial" w:eastAsia="Arial" w:hAnsi="Arial"/>
          <w:sz w:val="22"/>
          <w:szCs w:val="22"/>
          <w:color w:val="auto"/>
        </w:rPr>
        <w:t>Vice President Corporate Finance and Investor Relations</w:t>
      </w:r>
    </w:p>
    <w:p>
      <w:pPr>
        <w:spacing w:after="0"/>
        <w:rPr>
          <w:sz w:val="20"/>
          <w:szCs w:val="20"/>
          <w:color w:val="auto"/>
        </w:rPr>
      </w:pPr>
      <w:r>
        <w:rPr>
          <w:rFonts w:ascii="Arial" w:cs="Arial" w:eastAsia="Arial" w:hAnsi="Arial"/>
          <w:sz w:val="22"/>
          <w:szCs w:val="22"/>
          <w:color w:val="auto"/>
        </w:rPr>
        <w:t>+ 353 1 291 2000</w:t>
      </w:r>
    </w:p>
    <w:sectPr>
      <w:pgSz w:w="11900" w:h="16838" w:orient="portrait"/>
      <w:cols w:equalWidth="0" w:num="1">
        <w:col w:w="11420"/>
      </w:cols>
      <w:pgMar w:left="240" w:top="33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2019-11-30T20:08:51Z</dcterms:created>
  <dcterms:modified xsi:type="dcterms:W3CDTF">2019-11-30T20:08:51Z</dcterms:modified>
</cp:coreProperties>
</file>