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11</w:t>
      </w:r>
    </w:p>
    <w:p>
      <w:pPr>
        <w:spacing w:after="0" w:line="238" w:lineRule="auto"/>
        <w:rPr>
          <w:sz w:val="20"/>
          <w:szCs w:val="20"/>
          <w:color w:val="auto"/>
        </w:rPr>
      </w:pPr>
      <w:r>
        <w:rPr>
          <w:rFonts w:ascii="Courier New" w:cs="Courier New" w:eastAsia="Courier New" w:hAnsi="Courier New"/>
          <w:sz w:val="18"/>
          <w:szCs w:val="18"/>
          <w:color w:val="auto"/>
        </w:rPr>
        <w:t>Icon Plc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#G4705A100</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#G4705A100</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2,318,732</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4,118,732</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4,118,732</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6.846%</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#G4705A100</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4,118,732</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4,118,732</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2"/>
              </w:rPr>
              <w:t>6.846%</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Icon Plc</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South Business Park</w:t>
      </w:r>
    </w:p>
    <w:p>
      <w:pPr>
        <w:ind w:left="1700"/>
        <w:spacing w:after="0" w:line="238" w:lineRule="auto"/>
        <w:rPr>
          <w:sz w:val="20"/>
          <w:szCs w:val="20"/>
          <w:color w:val="auto"/>
        </w:rPr>
      </w:pPr>
      <w:r>
        <w:rPr>
          <w:rFonts w:ascii="Courier New" w:cs="Courier New" w:eastAsia="Courier New" w:hAnsi="Courier New"/>
          <w:sz w:val="18"/>
          <w:szCs w:val="18"/>
          <w:color w:val="auto"/>
        </w:rPr>
        <w:t>Leopardstown</w:t>
      </w:r>
    </w:p>
    <w:p>
      <w:pPr>
        <w:ind w:left="1700"/>
        <w:spacing w:after="0"/>
        <w:rPr>
          <w:sz w:val="20"/>
          <w:szCs w:val="20"/>
          <w:color w:val="auto"/>
        </w:rPr>
      </w:pPr>
      <w:r>
        <w:rPr>
          <w:rFonts w:ascii="Courier New" w:cs="Courier New" w:eastAsia="Courier New" w:hAnsi="Courier New"/>
          <w:sz w:val="18"/>
          <w:szCs w:val="18"/>
          <w:color w:val="auto"/>
        </w:rPr>
        <w:t>Dublin 18, Ireland</w:t>
      </w:r>
    </w:p>
    <w:p>
      <w:pPr>
        <w:spacing w:after="0" w:line="200" w:lineRule="exact"/>
        <w:rPr>
          <w:sz w:val="24"/>
          <w:szCs w:val="24"/>
          <w:color w:val="auto"/>
        </w:rPr>
      </w:pPr>
    </w:p>
    <w:p>
      <w:pPr>
        <w:spacing w:after="0" w:line="203"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G4705A100</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4,118,732</w:t>
      </w:r>
    </w:p>
    <w:p>
      <w:pPr>
        <w:sectPr>
          <w:pgSz w:w="11900" w:h="16855"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6.846%</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131"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2,318,732</w:t>
      </w:r>
    </w:p>
    <w:p>
      <w:pPr>
        <w:spacing w:after="0" w:line="200" w:lineRule="exact"/>
        <w:rPr>
          <w:sz w:val="20"/>
          <w:szCs w:val="20"/>
          <w:color w:val="auto"/>
        </w:rPr>
      </w:pPr>
    </w:p>
    <w:p>
      <w:pPr>
        <w:sectPr>
          <w:pgSz w:w="11900" w:h="16838" w:orient="portrait"/>
          <w:cols w:equalWidth="0" w:num="2">
            <w:col w:w="1160" w:space="540"/>
            <w:col w:w="8519"/>
          </w:cols>
          <w:pgMar w:left="240" w:top="339" w:right="1440" w:bottom="131"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4,118,732</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Icon Plc. No one person's interest in the Common Stock of Icon Plc is more than five percent of the total outstanding Common Stock.</w:t>
      </w:r>
    </w:p>
    <w:p>
      <w:pPr>
        <w:spacing w:after="0" w:line="20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13, 2012</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339" w:right="1440" w:bottom="131" w:gutter="0" w:footer="0" w:header="0"/>
          <w:type w:val="continuous"/>
        </w:sectPr>
      </w:pPr>
    </w:p>
    <w:bookmarkStart w:id="2" w:name="page3"/>
    <w:bookmarkEnd w:id="2"/>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w:t>
      </w:r>
    </w:p>
    <w:p>
      <w:pPr>
        <w:spacing w:after="0" w:line="6"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of 1940, is the beneficial owner of 1,800,900 shares or 2.994% of the Common Stock outstanding of Icon Plc ("the Company") as a result of acting as investment adviser to various investment companies registered under Section 8 of the Investment Company Act of 1940.</w:t>
      </w:r>
    </w:p>
    <w:p>
      <w:pPr>
        <w:spacing w:after="0" w:line="209"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1,800,900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182" w:lineRule="exact"/>
        <w:rPr>
          <w:sz w:val="20"/>
          <w:szCs w:val="20"/>
          <w:color w:val="auto"/>
        </w:rPr>
      </w:pPr>
    </w:p>
    <w:p>
      <w:pPr>
        <w:ind w:right="3899" w:firstLine="843"/>
        <w:spacing w:after="0" w:line="237" w:lineRule="auto"/>
        <w:rPr>
          <w:sz w:val="20"/>
          <w:szCs w:val="20"/>
          <w:color w:val="auto"/>
        </w:rPr>
      </w:pPr>
      <w:r>
        <w:rPr>
          <w:rFonts w:ascii="Courier New" w:cs="Courier New" w:eastAsia="Courier New" w:hAnsi="Courier New"/>
          <w:sz w:val="18"/>
          <w:szCs w:val="18"/>
          <w:color w:val="auto"/>
        </w:rPr>
        <w:t>Pyramis Global Advisors, LLC ("PGALLC"), 900 Salem Street, Smithfield, Rhode Island, 02917, an indirect wholly-owned subsidiary of FMR LLC and an investment adviser registered under Section 203 of the Investment Advisers Act of 1940, is the beneficial owner of 875,000 shares or 1.454% of the outstanding Common Stock of Icon Plc as a result of its serving as investment adviser to institutional accounts, non-U.S. mutual funds, or investment companies registered under Section 8 of the Investment Company Act of 1940 owning such shares.</w:t>
      </w:r>
    </w:p>
    <w:p>
      <w:pPr>
        <w:spacing w:after="0" w:line="215" w:lineRule="exact"/>
        <w:rPr>
          <w:sz w:val="20"/>
          <w:szCs w:val="20"/>
          <w:color w:val="auto"/>
        </w:rPr>
      </w:pPr>
    </w:p>
    <w:p>
      <w:pPr>
        <w:ind w:right="377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PGALLC, each has sole dispositive power over 875,000 shares and sole power to vote or to direct the voting of 875,000 shares of Common Stock owned by the institutional accounts or funds advised by PGALLC as reported above.</w:t>
      </w: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Pyramis Global Advisors Trust Company ("PGATC"),</w:t>
      </w:r>
    </w:p>
    <w:p>
      <w:pPr>
        <w:spacing w:after="0" w:line="4"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900 Salem Street, Smithfield, Rhode Island, 02917, an indirect wholly-owned subsidiary of FMR LLC and a bank as defined</w:t>
      </w:r>
    </w:p>
    <w:p>
      <w:pPr>
        <w:ind w:right="3779"/>
        <w:spacing w:after="0" w:line="237" w:lineRule="auto"/>
        <w:rPr>
          <w:sz w:val="20"/>
          <w:szCs w:val="20"/>
          <w:color w:val="auto"/>
        </w:rPr>
      </w:pPr>
      <w:r>
        <w:rPr>
          <w:rFonts w:ascii="Courier New" w:cs="Courier New" w:eastAsia="Courier New" w:hAnsi="Courier New"/>
          <w:sz w:val="18"/>
          <w:szCs w:val="18"/>
          <w:color w:val="auto"/>
        </w:rPr>
        <w:t>in Section 3(a)(6) of the Securities Exchange Act of 1934, is the beneficial owner of 1,442,832 shares or 2.398% of the outstanding Common Stock of the Icon Plc as a result of its serving as investment manager of institutional accounts owning such shares.</w:t>
      </w:r>
    </w:p>
    <w:p>
      <w:pPr>
        <w:spacing w:after="0" w:line="209" w:lineRule="exact"/>
        <w:rPr>
          <w:sz w:val="20"/>
          <w:szCs w:val="20"/>
          <w:color w:val="auto"/>
        </w:rPr>
      </w:pPr>
    </w:p>
    <w:p>
      <w:pPr>
        <w:ind w:right="377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Pyramis Global Advisors Trust Company, each has sole dispositive power over 1,442,832 shares and sole power to vote or to direct the voting of 1,442,832 shares of Common Stock owned by the institutional accounts managed by PGATC as reported above.</w:t>
      </w:r>
    </w:p>
    <w:p>
      <w:pPr>
        <w:spacing w:after="0" w:line="210" w:lineRule="exact"/>
        <w:rPr>
          <w:sz w:val="20"/>
          <w:szCs w:val="20"/>
          <w:color w:val="auto"/>
        </w:rPr>
      </w:pPr>
    </w:p>
    <w:p>
      <w:pPr>
        <w:ind w:right="3779" w:firstLine="843"/>
        <w:spacing w:after="0" w:line="235" w:lineRule="auto"/>
        <w:rPr>
          <w:sz w:val="20"/>
          <w:szCs w:val="20"/>
          <w:color w:val="auto"/>
        </w:rPr>
      </w:pPr>
      <w:r>
        <w:rPr>
          <w:rFonts w:ascii="Courier New" w:cs="Courier New" w:eastAsia="Courier New" w:hAnsi="Courier New"/>
          <w:sz w:val="18"/>
          <w:szCs w:val="18"/>
          <w:color w:val="auto"/>
        </w:rPr>
        <w:t>Some or all of the shares of Common Stock of Icon Plc owned by the investment companies at December 31, 2011</w:t>
      </w:r>
    </w:p>
    <w:p>
      <w:pPr>
        <w:spacing w:after="0" w:line="6" w:lineRule="exact"/>
        <w:rPr>
          <w:sz w:val="20"/>
          <w:szCs w:val="20"/>
          <w:color w:val="auto"/>
        </w:rPr>
      </w:pPr>
    </w:p>
    <w:p>
      <w:pPr>
        <w:ind w:right="4619"/>
        <w:spacing w:after="0" w:line="235" w:lineRule="auto"/>
        <w:rPr>
          <w:sz w:val="20"/>
          <w:szCs w:val="20"/>
          <w:color w:val="auto"/>
        </w:rPr>
      </w:pPr>
      <w:r>
        <w:rPr>
          <w:rFonts w:ascii="Courier New" w:cs="Courier New" w:eastAsia="Courier New" w:hAnsi="Courier New"/>
          <w:sz w:val="18"/>
          <w:szCs w:val="18"/>
          <w:color w:val="auto"/>
        </w:rPr>
        <w:t>may include shares represented by American Depository Shares.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344" w:right="1440" w:bottom="0" w:gutter="0" w:footer="0" w:header="0"/>
        </w:sectPr>
      </w:pPr>
    </w:p>
    <w:bookmarkStart w:id="3" w:name="page4"/>
    <w:bookmarkEnd w:id="3"/>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13, 2012, agree and consent to the joint filing on their behalf of this Schedule 13G in connection with their beneficial ownership of the Common Stock of Icon Plc at December 31, 2011.</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2019-12-09T12:22:27Z</dcterms:created>
  <dcterms:modified xsi:type="dcterms:W3CDTF">2019-12-09T12:22:27Z</dcterms:modified>
</cp:coreProperties>
</file>