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AS FILED WITH THE SECURITIES AND EXCHANGE COMMISSION ON</w:t>
      </w:r>
    </w:p>
    <w:p>
      <w:pPr>
        <w:spacing w:after="0" w:line="5" w:lineRule="exact"/>
        <w:rPr>
          <w:sz w:val="24"/>
          <w:szCs w:val="24"/>
          <w:color w:val="auto"/>
        </w:rPr>
      </w:pPr>
    </w:p>
    <w:p>
      <w:pPr>
        <w:ind w:left="1940"/>
        <w:spacing w:after="0"/>
        <w:rPr>
          <w:sz w:val="20"/>
          <w:szCs w:val="20"/>
          <w:color w:val="auto"/>
        </w:rPr>
      </w:pPr>
      <w:r>
        <w:rPr>
          <w:rFonts w:ascii="Courier New" w:cs="Courier New" w:eastAsia="Courier New" w:hAnsi="Courier New"/>
          <w:sz w:val="16"/>
          <w:szCs w:val="16"/>
          <w:color w:val="auto"/>
        </w:rPr>
        <w:t>JULY 21, 2003 REGISTRATION NO. 333-102893</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AMENDMENT NO. 4 TO</w:t>
      </w:r>
    </w:p>
    <w:p>
      <w:pPr>
        <w:spacing w:after="0" w:line="378"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F-3</w:t>
      </w:r>
    </w:p>
    <w:p>
      <w:pPr>
        <w:spacing w:after="0" w:line="378"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ICON PUBLIC LIMITED COMPANY</w:t>
      </w:r>
    </w:p>
    <w:p>
      <w:pPr>
        <w:spacing w:after="0" w:line="5"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78"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378"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pacing w:after="0" w:line="36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LEOPARDSTOWN, DUBLIN 18,</w:t>
      </w:r>
    </w:p>
    <w:p>
      <w:pPr>
        <w:spacing w:after="0" w:line="5"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(353) 1-291-2000</w:t>
      </w:r>
    </w:p>
    <w:p>
      <w:pPr>
        <w:spacing w:after="0" w:line="5"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(Address and telephone number of Registrant's</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principal executive offices)</w:t>
      </w:r>
    </w:p>
    <w:p>
      <w:pPr>
        <w:spacing w:after="0" w:line="200" w:lineRule="exact"/>
        <w:rPr>
          <w:sz w:val="24"/>
          <w:szCs w:val="24"/>
          <w:color w:val="auto"/>
        </w:rPr>
      </w:pPr>
    </w:p>
    <w:p>
      <w:pPr>
        <w:spacing w:after="0" w:line="364"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CT CORPORATION SYSTEM</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111 EIGHTH AVENUE</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10011</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(212) 894-8581</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(Name, address and telephone number of</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agent for service)</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tbl>
      <w:tblPr>
        <w:tblLayout w:type="fixed"/>
        <w:tblInd w:w="780" w:type="dxa"/>
        <w:tblCellMar>
          <w:top w:w="0" w:type="dxa"/>
          <w:left w:w="0" w:type="dxa"/>
          <w:bottom w:w="0" w:type="dxa"/>
          <w:right w:w="0" w:type="dxa"/>
        </w:tblCellMar>
      </w:tblPr>
      <w:tr>
        <w:trPr>
          <w:trHeight w:val="183"/>
        </w:trPr>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9"/>
              </w:rPr>
              <w:t>COPIES TO:</w:t>
            </w:r>
          </w:p>
        </w:tc>
        <w:tc>
          <w:tcPr>
            <w:tcW w:w="18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59"/>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SEAN</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LEECH</w:t>
            </w:r>
          </w:p>
        </w:tc>
        <w:tc>
          <w:tcPr>
            <w:tcW w:w="39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WILLIAM M. HARTNETT, ESQ.</w:t>
            </w:r>
          </w:p>
        </w:tc>
        <w:tc>
          <w:tcPr>
            <w:tcW w:w="3140" w:type="dxa"/>
            <w:vAlign w:val="bottom"/>
            <w:gridSpan w:val="2"/>
          </w:tcPr>
          <w:p>
            <w:pPr>
              <w:jc w:val="center"/>
              <w:ind w:left="639"/>
              <w:spacing w:after="0"/>
              <w:rPr>
                <w:sz w:val="20"/>
                <w:szCs w:val="20"/>
                <w:color w:val="auto"/>
              </w:rPr>
            </w:pPr>
            <w:r>
              <w:rPr>
                <w:rFonts w:ascii="Courier New" w:cs="Courier New" w:eastAsia="Courier New" w:hAnsi="Courier New"/>
                <w:sz w:val="16"/>
                <w:szCs w:val="16"/>
                <w:color w:val="auto"/>
              </w:rPr>
              <w:t>KATHRYN A. CAMPBELL, ESQ.</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CHIEF FINANCIAL</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OFFICER ICON PLC</w:t>
            </w:r>
          </w:p>
        </w:tc>
        <w:tc>
          <w:tcPr>
            <w:tcW w:w="39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CAHILL GORDON &amp; REINDEL LLP</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SULLIVAN &amp;</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CROMWELL LLP</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SOUTH COUNTY</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BUSINESS PARK</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80 PINE STREET</w:t>
            </w:r>
          </w:p>
        </w:tc>
        <w:tc>
          <w:tcPr>
            <w:tcW w:w="3140" w:type="dxa"/>
            <w:vAlign w:val="bottom"/>
            <w:gridSpan w:val="2"/>
          </w:tcPr>
          <w:p>
            <w:pPr>
              <w:jc w:val="center"/>
              <w:ind w:left="659"/>
              <w:spacing w:after="0"/>
              <w:rPr>
                <w:sz w:val="20"/>
                <w:szCs w:val="20"/>
                <w:color w:val="auto"/>
              </w:rPr>
            </w:pPr>
            <w:r>
              <w:rPr>
                <w:rFonts w:ascii="Courier New" w:cs="Courier New" w:eastAsia="Courier New" w:hAnsi="Courier New"/>
                <w:sz w:val="16"/>
                <w:szCs w:val="16"/>
                <w:color w:val="auto"/>
              </w:rPr>
              <w:t>1 NEW FETTER LANE</w:t>
            </w:r>
          </w:p>
        </w:tc>
      </w:tr>
      <w:tr>
        <w:trPr>
          <w:trHeight w:val="186"/>
        </w:trPr>
        <w:tc>
          <w:tcPr>
            <w:tcW w:w="3680" w:type="dxa"/>
            <w:vAlign w:val="bottom"/>
            <w:gridSpan w:val="2"/>
          </w:tcPr>
          <w:p>
            <w:pPr>
              <w:jc w:val="center"/>
              <w:ind w:right="499"/>
              <w:spacing w:after="0"/>
              <w:rPr>
                <w:sz w:val="20"/>
                <w:szCs w:val="20"/>
                <w:color w:val="auto"/>
              </w:rPr>
            </w:pPr>
            <w:r>
              <w:rPr>
                <w:rFonts w:ascii="Courier New" w:cs="Courier New" w:eastAsia="Courier New" w:hAnsi="Courier New"/>
                <w:sz w:val="16"/>
                <w:szCs w:val="16"/>
                <w:color w:val="auto"/>
              </w:rPr>
              <w:t>LEOPARDSTOWN, DUBLIN 18, IRELAND</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NEW YORK, NEW YORK 10005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LONDON EC4A</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1AN, ENGLAND</w:t>
            </w:r>
          </w:p>
        </w:tc>
      </w:tr>
      <w:tr>
        <w:trPr>
          <w:trHeight w:val="186"/>
        </w:trPr>
        <w:tc>
          <w:tcPr>
            <w:tcW w:w="3680" w:type="dxa"/>
            <w:vAlign w:val="bottom"/>
            <w:gridSpan w:val="2"/>
          </w:tcPr>
          <w:p>
            <w:pPr>
              <w:jc w:val="right"/>
              <w:ind w:right="1279"/>
              <w:spacing w:after="0"/>
              <w:rPr>
                <w:sz w:val="20"/>
                <w:szCs w:val="20"/>
                <w:color w:val="auto"/>
              </w:rPr>
            </w:pPr>
            <w:r>
              <w:rPr>
                <w:rFonts w:ascii="Courier New" w:cs="Courier New" w:eastAsia="Courier New" w:hAnsi="Courier New"/>
                <w:sz w:val="16"/>
                <w:szCs w:val="16"/>
                <w:color w:val="auto"/>
              </w:rPr>
              <w:t>(353) 1-291-2000</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(212) 701-3000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(44 20)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7959 8900</w:t>
            </w:r>
          </w:p>
        </w:tc>
      </w:tr>
    </w:tbl>
    <w:p>
      <w:pPr>
        <w:spacing w:after="0" w:line="190"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right="3760" w:firstLine="484"/>
        <w:spacing w:after="0" w:line="248"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hereof.</w:t>
      </w:r>
    </w:p>
    <w:p>
      <w:pPr>
        <w:spacing w:after="0" w:line="184" w:lineRule="exact"/>
        <w:rPr>
          <w:sz w:val="24"/>
          <w:szCs w:val="24"/>
          <w:color w:val="auto"/>
        </w:rPr>
      </w:pPr>
    </w:p>
    <w:p>
      <w:pPr>
        <w:ind w:right="3860" w:firstLine="484"/>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6" w:lineRule="exact"/>
        <w:rPr>
          <w:sz w:val="24"/>
          <w:szCs w:val="24"/>
          <w:color w:val="auto"/>
        </w:rPr>
      </w:pPr>
    </w:p>
    <w:p>
      <w:pPr>
        <w:ind w:right="3760" w:firstLine="484"/>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pacing w:after="0" w:line="186" w:lineRule="exact"/>
        <w:rPr>
          <w:sz w:val="24"/>
          <w:szCs w:val="24"/>
          <w:color w:val="auto"/>
        </w:rPr>
      </w:pPr>
    </w:p>
    <w:p>
      <w:pPr>
        <w:ind w:right="3760" w:firstLine="484"/>
        <w:spacing w:after="0" w:line="248"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w:t>
      </w:r>
    </w:p>
    <w:p>
      <w:pPr>
        <w:sectPr>
          <w:pgSz w:w="11900" w:h="16842" w:orient="portrait"/>
          <w:cols w:equalWidth="0" w:num="1">
            <w:col w:w="11520"/>
          </w:cols>
          <w:pgMar w:left="240" w:top="241" w:right="139" w:bottom="0" w:gutter="0" w:footer="0" w:header="0"/>
        </w:sectPr>
      </w:pPr>
    </w:p>
    <w:bookmarkStart w:id="1" w:name="page2"/>
    <w:bookmarkEnd w:id="1"/>
    <w:p>
      <w:pPr>
        <w:ind w:right="3239"/>
        <w:spacing w:after="0" w:line="248" w:lineRule="auto"/>
        <w:rPr>
          <w:sz w:val="20"/>
          <w:szCs w:val="20"/>
          <w:color w:val="auto"/>
        </w:rPr>
      </w:pPr>
      <w:r>
        <w:rPr>
          <w:rFonts w:ascii="Courier New" w:cs="Courier New" w:eastAsia="Courier New" w:hAnsi="Courier New"/>
          <w:sz w:val="16"/>
          <w:szCs w:val="16"/>
          <w:color w:val="auto"/>
        </w:rPr>
        <w:t>and list the Securities Act registration statement number of the earlier effective registration statement for the same offering: |_|</w:t>
      </w:r>
    </w:p>
    <w:p>
      <w:pPr>
        <w:spacing w:after="0" w:line="184"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left="340"/>
        <w:spacing w:after="0" w:line="24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SHALL BECOME EFFECTIVE ON SUCH DATE AS THE COMMISSION, ACTING PURSUANT TO</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SECTION 8(A), MAY DETERMINE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0" w:lineRule="exact"/>
        <w:rPr>
          <w:sz w:val="20"/>
          <w:szCs w:val="20"/>
          <w:color w:val="auto"/>
        </w:rPr>
      </w:pPr>
    </w:p>
    <w:p>
      <w:pPr>
        <w:spacing w:after="0" w:line="35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Subject to Completion. Dated July 21, 2003.</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[ICON LOGO OMITTED]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ADSs are quoted on The Nasdaq National Market under the symbol "ICLR." On July 17, 2003, the last reported sale price of our ADSs on The Nasdaq National Market was $30.17 per ADS. Our ordinary shares are listed on the Official List of the Irish Stock Exchange.</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37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A copy of this document, together with the consents referred to on page 51, has been delivered to the Registrar of Companies in Ireland in accordance with Section 47 of the Companies Act, 1963.</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ind w:left="29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73"/>
        </w:trPr>
        <w:tc>
          <w:tcPr>
            <w:tcW w:w="558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Per ADS</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w w:val="95"/>
              </w:rPr>
              <w:t>Total</w:t>
            </w:r>
          </w:p>
        </w:tc>
      </w:tr>
      <w:tr>
        <w:trPr>
          <w:trHeight w:val="186"/>
        </w:trPr>
        <w:tc>
          <w:tcPr>
            <w:tcW w:w="558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w w:val="95"/>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Initial price to public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Underwriting discount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Proceeds, before expenses, to ICON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Proceeds, before expenses, to the selling shareholders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42" w:right="1440" w:bottom="0" w:gutter="0" w:footer="0" w:header="0"/>
        </w:sectPr>
      </w:pPr>
    </w:p>
    <w:bookmarkStart w:id="2" w:name="page3"/>
    <w:bookmarkEnd w:id="2"/>
    <w:p>
      <w:pPr>
        <w:ind w:right="2659" w:firstLine="581"/>
        <w:spacing w:after="0" w:line="247" w:lineRule="auto"/>
        <w:rPr>
          <w:sz w:val="20"/>
          <w:szCs w:val="20"/>
          <w:color w:val="auto"/>
        </w:rPr>
      </w:pPr>
      <w:r>
        <w:rPr>
          <w:rFonts w:ascii="Courier New" w:cs="Courier New" w:eastAsia="Courier New" w:hAnsi="Courier New"/>
          <w:sz w:val="16"/>
          <w:szCs w:val="16"/>
          <w:color w:val="auto"/>
        </w:rPr>
        <w:t>To the extent that the underwriters sell more than 3,000,000 ADSs, the underwriters have the option to purchase up to an additional 450,000 ADSs from the selling shareholders at the initial price to public less the underwriting discount.</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expect to deliver the ADSs against payment in New York,</w:t>
      </w:r>
    </w:p>
    <w:p>
      <w:pPr>
        <w:spacing w:after="0" w:line="5"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New York on</w:t>
      </w:r>
      <w:r>
        <w:rPr>
          <w:sz w:val="20"/>
          <w:szCs w:val="20"/>
          <w:color w:val="auto"/>
        </w:rPr>
        <w:tab/>
      </w:r>
      <w:r>
        <w:rPr>
          <w:rFonts w:ascii="Courier New" w:cs="Courier New" w:eastAsia="Courier New" w:hAnsi="Courier New"/>
          <w:sz w:val="16"/>
          <w:szCs w:val="16"/>
          <w:color w:val="auto"/>
        </w:rPr>
        <w:t>,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2003.</w:t>
      </w:r>
    </w:p>
    <w:p>
      <w:pPr>
        <w:sectPr>
          <w:pgSz w:w="11900" w:h="16838" w:orient="portrait"/>
          <w:cols w:equalWidth="0" w:num="2">
            <w:col w:w="4060" w:space="500"/>
            <w:col w:w="5659"/>
          </w:cols>
          <w:pgMar w:left="240" w:top="142" w:right="1440" w:bottom="1440" w:gutter="0" w:footer="0" w:header="0"/>
          <w:type w:val="continuous"/>
        </w:sectPr>
      </w:pPr>
    </w:p>
    <w:bookmarkStart w:id="3" w:name="page4"/>
    <w:bookmarkEnd w:id="3"/>
    <w:p>
      <w:pPr>
        <w:jc w:val="center"/>
        <w:ind w:right="2359"/>
        <w:spacing w:after="0"/>
        <w:rPr>
          <w:sz w:val="20"/>
          <w:szCs w:val="20"/>
          <w:color w:val="auto"/>
        </w:rPr>
      </w:pPr>
      <w:r>
        <w:rPr>
          <w:rFonts w:ascii="Courier New" w:cs="Courier New" w:eastAsia="Courier New" w:hAnsi="Courier New"/>
          <w:sz w:val="16"/>
          <w:szCs w:val="16"/>
          <w:color w:val="auto"/>
        </w:rPr>
        <w:t>SUMMARY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ICON</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379"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37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5" w:name="page6"/>
    <w:bookmarkEnd w:id="5"/>
    <w:tbl>
      <w:tblPr>
        <w:tblLayout w:type="fixed"/>
        <w:tblInd w:w="1" w:type="dxa"/>
        <w:tblCellMar>
          <w:top w:w="0" w:type="dxa"/>
          <w:left w:w="0" w:type="dxa"/>
          <w:bottom w:w="0" w:type="dxa"/>
          <w:right w:w="0" w:type="dxa"/>
        </w:tblCellMar>
      </w:tblPr>
      <w:tr>
        <w:trPr>
          <w:trHeight w:val="183"/>
        </w:trPr>
        <w:tc>
          <w:tcPr>
            <w:tcW w:w="2960" w:type="dxa"/>
            <w:vAlign w:val="bottom"/>
          </w:tcPr>
          <w:p>
            <w:pPr>
              <w:spacing w:after="0"/>
              <w:rPr>
                <w:sz w:val="15"/>
                <w:szCs w:val="15"/>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THE OFFERING</w:t>
            </w:r>
          </w:p>
        </w:tc>
        <w:tc>
          <w:tcPr>
            <w:tcW w:w="6680" w:type="dxa"/>
            <w:vAlign w:val="bottom"/>
          </w:tcPr>
          <w:p>
            <w:pPr>
              <w:spacing w:after="0"/>
              <w:rPr>
                <w:sz w:val="15"/>
                <w:szCs w:val="15"/>
                <w:color w:val="auto"/>
              </w:rPr>
            </w:pP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Offering price</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U.S.$</w:t>
            </w:r>
          </w:p>
        </w:tc>
        <w:tc>
          <w:tcPr>
            <w:tcW w:w="6680" w:type="dxa"/>
            <w:vAlign w:val="bottom"/>
          </w:tcPr>
          <w:p>
            <w:pPr>
              <w:ind w:left="100"/>
              <w:spacing w:after="0"/>
              <w:rPr>
                <w:sz w:val="20"/>
                <w:szCs w:val="20"/>
                <w:color w:val="auto"/>
              </w:rPr>
            </w:pPr>
            <w:r>
              <w:rPr>
                <w:rFonts w:ascii="Courier New" w:cs="Courier New" w:eastAsia="Courier New" w:hAnsi="Courier New"/>
                <w:sz w:val="16"/>
                <w:szCs w:val="16"/>
                <w:color w:val="auto"/>
              </w:rPr>
              <w:t>per ADS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ADSs offered by us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Selling shareholders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Dr. Ronan Lambe and Dr. John Climax through Wineberry Limited, a company</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controlled by him.</w:t>
            </w: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13,341,757</w:t>
            </w:r>
          </w:p>
        </w:tc>
        <w:tc>
          <w:tcPr>
            <w:tcW w:w="6680" w:type="dxa"/>
            <w:vAlign w:val="bottom"/>
          </w:tcPr>
          <w:p>
            <w:pPr>
              <w:spacing w:after="0"/>
              <w:rPr>
                <w:sz w:val="16"/>
                <w:szCs w:val="16"/>
                <w:color w:val="auto"/>
              </w:rPr>
            </w:pP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Ordinary shares per ADS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One. The ADSs are issued pursuant to the Deposit</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Agreement with The Bank of New York dated as of May 20, 1998.</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Option to purchase</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additional ADSs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If the underwriters exercise the option to purchase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additional ADSs described under the heading "Underwriting", the selling</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shareholders may sell up to an additional 450,000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Lock-up arrangements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We have agreed with the underwriters, subject to certain</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exceptions, not to dispose of or hedge any of our ordinary shares, ADSs or</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securities convertible into or exchangeable for ordinary shares or ADSs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during the period from the date of this prospectus continuing through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date 90 days after the date of this prospectus, except with the prior written</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consent of Goldman, Sachs &amp; Co. The selling shareholders have agreed with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underwriters, subject to certain exceptions, not to dispose of or hedge any</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of our ordinary shares, ADSs or securities convertible into or exchangeable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ordinary shares or ADSs during the period from the date of this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prospectus continuing through the date 180 days after the date of this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prospectus, except with the prior written consent of Goldman, Sachs &amp; Co.</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We estimate that the net proceeds to us from this offering,</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after deducting underwriting discounts and the estimated offering expenses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payable by us, will be approximately $ million. We will not receive any of</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proceeds from the sale of ADSs by the selling shareholders. We intend to</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use the net proceeds from this offering, together with our existing cash,</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cash equivalents, short-term investments and cash generated from operations,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general corporate purposes, including, but not limited to funding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continued growth and development of the business, opportunistic acquisitions,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and working capital requirements.</w:t>
            </w:r>
          </w:p>
        </w:tc>
      </w:tr>
      <w:tr>
        <w:trPr>
          <w:trHeight w:val="373"/>
        </w:trPr>
        <w:tc>
          <w:tcPr>
            <w:tcW w:w="296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Please refer to "Use of Proceeds" for further discussion of how we intend to use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net proceeds from this offering.</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Nasdaq symbol</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ICLR</w:t>
            </w:r>
          </w:p>
        </w:tc>
        <w:tc>
          <w:tcPr>
            <w:tcW w:w="6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680" w:hanging="481"/>
        <w:spacing w:after="0" w:line="247"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June 30, 2003. The number of ordinary shares to be outstanding after this offering does not include 1,185,445 ordinary shares reserved for issuance upon the exercise of stock options outstanding on June 30, 2003.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41"/>
          </w:cols>
          <w:pgMar w:left="239" w:top="1049" w:right="419" w:bottom="1440" w:gutter="0" w:footer="0" w:header="0"/>
        </w:sectPr>
      </w:pPr>
    </w:p>
    <w:bookmarkStart w:id="6" w:name="page7"/>
    <w:bookmarkEnd w:id="6"/>
    <w:p>
      <w:pPr>
        <w:ind w:left="3000"/>
        <w:spacing w:after="0"/>
        <w:rPr>
          <w:sz w:val="20"/>
          <w:szCs w:val="20"/>
          <w:color w:val="auto"/>
        </w:rPr>
      </w:pPr>
      <w:r>
        <w:rPr>
          <w:rFonts w:ascii="Courier New" w:cs="Courier New" w:eastAsia="Courier New" w:hAnsi="Courier New"/>
          <w:sz w:val="16"/>
          <w:szCs w:val="16"/>
          <w:color w:val="auto"/>
        </w:rPr>
        <w:t>RECENT DEVELOPMENTS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RESULTS</w:t>
      </w:r>
    </w:p>
    <w:p>
      <w:pPr>
        <w:spacing w:after="0" w:line="191" w:lineRule="exact"/>
        <w:rPr>
          <w:sz w:val="20"/>
          <w:szCs w:val="20"/>
          <w:color w:val="auto"/>
        </w:rPr>
      </w:pPr>
    </w:p>
    <w:p>
      <w:pPr>
        <w:ind w:right="3139" w:firstLine="581"/>
        <w:spacing w:after="0" w:line="248" w:lineRule="auto"/>
        <w:rPr>
          <w:sz w:val="20"/>
          <w:szCs w:val="20"/>
          <w:color w:val="auto"/>
        </w:rPr>
      </w:pPr>
      <w:r>
        <w:rPr>
          <w:rFonts w:ascii="Courier New" w:cs="Courier New" w:eastAsia="Courier New" w:hAnsi="Courier New"/>
          <w:sz w:val="16"/>
          <w:szCs w:val="16"/>
          <w:color w:val="auto"/>
        </w:rPr>
        <w:t>On July 21, 2003, we announced our unaudited results for the fourth quarter and year ended May 31, 2003.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MAY 31, 2003 COMPARED WITH THREE MONTHS ENDED MAY 31,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revenues increased over the comparable period by $23.0 million, or 54%, from $43.0 million to $66.0 million. Excluding the impact of acquisitions, revenue growth for the quarter was 34% over the same quarter last year. Net revenues in the United States increased by $15.6 million, or 52%, from $29.7 million to $45.3 million. Net revenues in Europe/Rest of World increased by $7.4 million, or 56%, from $13.3 million to $20.7 million.</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Income from operations for the quarter increased by $2.1 million, or 43% over the comparable period, from $5.1 million to $7.2 million. Operating margin for the quarter decreased by 0.8%, from 11.8% in the comparable period to 11.0%. Operating margins for the quarter were 12.4% in our clinical segment and (2.1)% in our central laboratory segment. Net income for the quarter was $5.3 million or $0.43 cents per share, on a diluted basis, compared with $3.8 million or $0.31 cents per share for the quarter ended May 31, 2002.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2003 COMPARED TO FISCAL YEAR ENDED MAY 31, 2002</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Net revenues increased by $69.1 million, or 44% from, $156.6 million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$225.7 million. Excluding the impact of acquisitions, revenue growth was 33%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twelve months ending May 31, 2003. Net revenues in the 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$51.2 million, or 48%, from $107.5 million to $158.7 million.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Europe/Rest of World increased by $17.9 million, or 37%, from $49.1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$67.0 million.</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$6.7 million, or 37%, from $18.2 million to 24.9 million. Operating margin for the full year decreased by 0.6%, from 11.6% to 11.0%. Net income was $18.3 million or $1.50 per share on a diluted basis for fiscal 2003, compared with $14.2 million or $1.16 per share reported for fiscal 2002.</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64 days at May 31, 2003 compared with 67 days at May 31, 2002. For the quarter to May 31, 2003, cash generated from operations was $4.9 million, capital expenditure was $4.6 million and payments of $1.2 million were made in relation to acquisitions. In the twelve months to May 31, 2003, cash generated from operating activities was $21.5 million, capital expenditure was $15.8 million and payments of $40.0 million were made in relation to acquisitions. As a result the company's net cash was $11.2 million (cash and cash equivalents of $18.3 million net of bank overdrafts of $7.1 million) at May 31, 2003, compared to $43.1 million (cash and cash equivalents of $36.3 million and short term investments of $18.6 million net of bank overdrafts of $11.8 million) at May 31, 2002.</w:t>
      </w:r>
    </w:p>
    <w:p>
      <w:pPr>
        <w:spacing w:after="0" w:line="193"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We were awarded $88 million of net new business in the fourth quarter of fiscal 2003. At May 31, 2003, we had a total backlog of $352 million, of which we estimate $221 million will be earned in the next twelve months. See "Business--Backlog".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CREDIT FACILITY</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$40 million of which will be available for acquisitions, with the remaining $20 million for working capital purposes. The working capital line will replace the majority of our existing lines of credit.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ACQUISITION</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We also announced that on July 17, 2003, we entered into a non-binding letter of intent for the potential acquisition of Globomax LLC, a drug development consulting company employing approximately 80 people, based in the US. The proposed consideration is for an initial payment of $11 million.</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sectPr>
      </w:pPr>
    </w:p>
    <w:bookmarkStart w:id="7" w:name="page8"/>
    <w:bookmarkEnd w:id="7"/>
    <w:p>
      <w:pPr>
        <w:spacing w:after="0" w:line="60" w:lineRule="exact"/>
        <w:rPr>
          <w:sz w:val="20"/>
          <w:szCs w:val="20"/>
          <w:color w:val="auto"/>
        </w:rPr>
      </w:pPr>
    </w:p>
    <w:p>
      <w:pPr>
        <w:ind w:right="3200"/>
        <w:spacing w:after="0" w:line="247" w:lineRule="auto"/>
        <w:rPr>
          <w:sz w:val="20"/>
          <w:szCs w:val="20"/>
          <w:color w:val="auto"/>
        </w:rPr>
      </w:pPr>
      <w:r>
        <w:rPr>
          <w:rFonts w:ascii="Courier New" w:cs="Courier New" w:eastAsia="Courier New" w:hAnsi="Courier New"/>
          <w:sz w:val="16"/>
          <w:szCs w:val="16"/>
          <w:color w:val="auto"/>
        </w:rPr>
        <w:t>The agreement would allow for additional payments up to a maximum of $4 million to be paid over the subsequent three years contingent upon certain earnings targets being met.</w:t>
      </w:r>
    </w:p>
    <w:p>
      <w:pPr>
        <w:spacing w:after="0" w:line="186"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1"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197"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191" w:lineRule="exact"/>
        <w:rPr>
          <w:sz w:val="20"/>
          <w:szCs w:val="20"/>
          <w:color w:val="auto"/>
        </w:rPr>
      </w:pPr>
    </w:p>
    <w:p>
      <w:pPr>
        <w:ind w:right="3300" w:firstLine="581"/>
        <w:spacing w:after="0" w:line="247"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MAY</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0"/>
              </w:rPr>
              <w:t>------------------------------------------------------</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2001</w:t>
            </w:r>
          </w:p>
        </w:tc>
        <w:tc>
          <w:tcPr>
            <w:tcW w:w="20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c>
          <w:tcPr>
            <w:tcW w:w="16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31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gridSpan w:val="9"/>
          </w:tcPr>
          <w:p>
            <w:pPr>
              <w:jc w:val="right"/>
              <w:ind w:right="399"/>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9"/>
        </w:trPr>
        <w:tc>
          <w:tcPr>
            <w:tcW w:w="310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67,743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98,910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115,087</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151,832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218,842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153,356</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236,270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10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(22,549)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(39,003)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(34,320)</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(35,669)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45,194</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59,907</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80,767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116,163</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156,555</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113,558</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159,705</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23,697</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31,662</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42,007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63,800</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83,371</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60,446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87,507</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administrative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14,037</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19,200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27,348</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36,312</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48,951</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35,550</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49,481</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Merger costs (2)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1,196</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2,066</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3,264</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4,975</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6,020</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5,017</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Total costs and expenses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38,930</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52,928</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74,236</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105,087</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138,342</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100,412</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142,005</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6,264</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6,979</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6,531</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11,076</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18,213</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13,146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17,700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189</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2,631</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2,659</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2,519</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1,116</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864</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before provision for</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6,453</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9,610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9,190</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13,595</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19,329</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14,010</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18,079</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10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(2,110)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(1,557)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(3,122)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income (3)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4,343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8,053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6,068</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14,200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10,385</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INCOME PER ORDINARY</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0.56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0.55</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0.90</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0.49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0.51</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0.85</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ORDINARY SHARES OUTSTANDING (4):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Basic ...................</w:t>
            </w: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7,788,349</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10,908,409</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11,050,556</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11,292,610</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11,656,153</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11,576,692</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11,804,576</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Diluted .................</w:t>
            </w: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8,805,567</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11,917,605</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11,824,359</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11,943,849</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12,241,820</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12,224,383</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12,169,875</w:t>
            </w:r>
          </w:p>
        </w:tc>
      </w:tr>
    </w:tbl>
    <w:p>
      <w:pPr>
        <w:sectPr>
          <w:pgSz w:w="11900" w:h="16898" w:orient="portrait"/>
          <w:cols w:equalWidth="0" w:num="1">
            <w:col w:w="10860"/>
          </w:cols>
          <w:pgMar w:left="240" w:top="676" w:right="799" w:bottom="0" w:gutter="0" w:footer="0" w:header="0"/>
        </w:sectPr>
      </w:pPr>
    </w:p>
    <w:bookmarkStart w:id="8" w:name="page9"/>
    <w:bookmarkEnd w:id="8"/>
    <w:p>
      <w:pPr>
        <w:ind w:left="1900"/>
        <w:spacing w:after="0"/>
        <w:tabs>
          <w:tab w:leader="none" w:pos="2940" w:val="left"/>
          <w:tab w:leader="none" w:pos="4100" w:val="left"/>
          <w:tab w:leader="none" w:pos="6340" w:val="left"/>
          <w:tab w:leader="none" w:pos="7500" w:val="left"/>
        </w:tabs>
        <w:rPr>
          <w:sz w:val="20"/>
          <w:szCs w:val="20"/>
          <w:color w:val="auto"/>
        </w:rPr>
      </w:pPr>
      <w:r>
        <w:rPr>
          <w:rFonts w:ascii="Courier New" w:cs="Courier New" w:eastAsia="Courier New" w:hAnsi="Courier New"/>
          <w:sz w:val="16"/>
          <w:szCs w:val="16"/>
          <w:color w:val="auto"/>
        </w:rPr>
        <w:t>---------</w:t>
        <w:tab/>
        <w:t>----------</w:t>
        <w:tab/>
        <w:t>---------- ----------</w:t>
        <w:tab/>
        <w:t>----------</w:t>
        <w:tab/>
        <w:t>---------- ----------</w:t>
      </w:r>
    </w:p>
    <w:p>
      <w:pPr>
        <w:sectPr>
          <w:pgSz w:w="11900" w:h="16838" w:orient="portrait"/>
          <w:cols w:equalWidth="0" w:num="1">
            <w:col w:w="9560"/>
          </w:cols>
          <w:pgMar w:left="1440" w:top="142" w:right="89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560"/>
          </w:cols>
          <w:pgMar w:left="1440" w:top="142" w:right="899" w:bottom="1440" w:gutter="0" w:footer="0" w:header="0"/>
          <w:type w:val="continuous"/>
        </w:sectPr>
      </w:pPr>
    </w:p>
    <w:bookmarkStart w:id="9" w:name="page10"/>
    <w:bookmarkEnd w:id="9"/>
    <w:tbl>
      <w:tblPr>
        <w:tblLayout w:type="fixed"/>
        <w:tblInd w:w="1" w:type="dxa"/>
        <w:tblCellMar>
          <w:top w:w="0" w:type="dxa"/>
          <w:left w:w="0" w:type="dxa"/>
          <w:bottom w:w="0" w:type="dxa"/>
          <w:right w:w="0" w:type="dxa"/>
        </w:tblCellMar>
      </w:tblPr>
      <w:tr>
        <w:trPr>
          <w:trHeight w:val="183"/>
        </w:trPr>
        <w:tc>
          <w:tcPr>
            <w:tcW w:w="2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AS OF</w:t>
            </w:r>
          </w:p>
        </w:tc>
      </w:tr>
      <w:tr>
        <w:trPr>
          <w:trHeight w:val="186"/>
        </w:trPr>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AS OF MAY 31,</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FEBRUARY 28,</w:t>
            </w:r>
          </w:p>
        </w:tc>
      </w:tr>
      <w:tr>
        <w:trPr>
          <w:trHeight w:val="186"/>
        </w:trPr>
        <w:tc>
          <w:tcPr>
            <w:tcW w:w="2760" w:type="dxa"/>
            <w:vAlign w:val="bottom"/>
          </w:tcPr>
          <w:p>
            <w:pPr>
              <w:spacing w:after="0"/>
              <w:rPr>
                <w:sz w:val="16"/>
                <w:szCs w:val="16"/>
                <w:color w:val="auto"/>
              </w:rPr>
            </w:pPr>
          </w:p>
        </w:tc>
        <w:tc>
          <w:tcPr>
            <w:tcW w:w="2420" w:type="dxa"/>
            <w:vAlign w:val="bottom"/>
            <w:gridSpan w:val="2"/>
          </w:tcPr>
          <w:p>
            <w:pPr>
              <w:ind w:left="340"/>
              <w:spacing w:after="0"/>
              <w:rPr>
                <w:sz w:val="20"/>
                <w:szCs w:val="20"/>
                <w:color w:val="auto"/>
              </w:rPr>
            </w:pPr>
            <w:r>
              <w:rPr>
                <w:rFonts w:ascii="Courier New" w:cs="Courier New" w:eastAsia="Courier New" w:hAnsi="Courier New"/>
                <w:sz w:val="8"/>
                <w:szCs w:val="8"/>
                <w:color w:val="auto"/>
                <w:w w:val="76"/>
              </w:rPr>
              <w:t>--------------------------------------------------------</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16"/>
                <w:szCs w:val="16"/>
                <w:color w:val="auto"/>
              </w:rPr>
            </w:pPr>
          </w:p>
        </w:tc>
        <w:tc>
          <w:tcPr>
            <w:tcW w:w="150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2760" w:type="dxa"/>
            <w:vAlign w:val="bottom"/>
          </w:tcPr>
          <w:p>
            <w:pPr>
              <w:spacing w:after="0"/>
              <w:rPr>
                <w:sz w:val="16"/>
                <w:szCs w:val="16"/>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3"/>
        </w:trPr>
        <w:tc>
          <w:tcPr>
            <w:tcW w:w="27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27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$54,384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$12,353</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$26,552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$11,179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36,291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$ 21,862</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(available for sale)</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35,936</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21,405</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18,551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57,886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56,944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57,962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72,923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50,451</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89,981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95,758</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100,118</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165,794</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215,044</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1,312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3,514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11,745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10,503</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Government grants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533</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476</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1,079</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$64,074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$71,633</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$77,053</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$86,580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107,561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$126,350</w:t>
            </w:r>
          </w:p>
        </w:tc>
      </w:tr>
    </w:tbl>
    <w:p>
      <w:pPr>
        <w:spacing w:after="0" w:line="200" w:lineRule="exact"/>
        <w:rPr>
          <w:sz w:val="20"/>
          <w:szCs w:val="20"/>
          <w:color w:val="auto"/>
        </w:rPr>
      </w:pPr>
    </w:p>
    <w:p>
      <w:pPr>
        <w:spacing w:after="0" w:line="363"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3100" w:hanging="384"/>
        <w:spacing w:after="0" w:line="248"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184" w:lineRule="exact"/>
        <w:rPr>
          <w:rFonts w:ascii="Courier New" w:cs="Courier New" w:eastAsia="Courier New" w:hAnsi="Courier New"/>
          <w:sz w:val="16"/>
          <w:szCs w:val="16"/>
          <w:color w:val="auto"/>
        </w:rPr>
      </w:pPr>
    </w:p>
    <w:p>
      <w:pPr>
        <w:ind w:left="481" w:right="320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185" w:lineRule="exact"/>
        <w:rPr>
          <w:rFonts w:ascii="Courier New" w:cs="Courier New" w:eastAsia="Courier New" w:hAnsi="Courier New"/>
          <w:sz w:val="16"/>
          <w:szCs w:val="16"/>
          <w:color w:val="auto"/>
        </w:rPr>
      </w:pPr>
    </w:p>
    <w:p>
      <w:pPr>
        <w:ind w:left="481" w:right="300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358"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MAY 31,</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2040" w:type="dxa"/>
            <w:vAlign w:val="bottom"/>
          </w:tcPr>
          <w:p>
            <w:pPr>
              <w:spacing w:after="0"/>
              <w:rPr>
                <w:sz w:val="16"/>
                <w:szCs w:val="16"/>
                <w:color w:val="auto"/>
              </w:rPr>
            </w:pPr>
          </w:p>
        </w:tc>
        <w:tc>
          <w:tcPr>
            <w:tcW w:w="21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6"/>
              </w:rPr>
              <w:t>--------------------------------------------------------</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2001</w:t>
            </w:r>
          </w:p>
        </w:tc>
        <w:tc>
          <w:tcPr>
            <w:tcW w:w="38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2002</w:t>
            </w:r>
          </w:p>
        </w:tc>
        <w:tc>
          <w:tcPr>
            <w:tcW w:w="1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2003</w:t>
            </w:r>
          </w:p>
        </w:tc>
      </w:tr>
      <w:tr>
        <w:trPr>
          <w:trHeight w:val="186"/>
        </w:trPr>
        <w:tc>
          <w:tcPr>
            <w:tcW w:w="204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3"/>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$8,053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$6,068</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$10,978</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net</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$8,053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$6,106</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$11,188</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basic net</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per</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Diluted net income</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diluted</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net income per</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81" w:right="3100" w:hanging="384"/>
        <w:spacing w:after="0" w:line="24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 to include potential ordinary shares from the exercise of options.</w:t>
      </w:r>
    </w:p>
    <w:p>
      <w:pPr>
        <w:sectPr>
          <w:pgSz w:w="11900" w:h="16838" w:orient="portrait"/>
          <w:cols w:equalWidth="0" w:num="1">
            <w:col w:w="10761"/>
          </w:cols>
          <w:pgMar w:left="239" w:top="1049" w:right="899" w:bottom="0" w:gutter="0" w:footer="0" w:header="0"/>
        </w:sectPr>
      </w:pPr>
    </w:p>
    <w:bookmarkStart w:id="10" w:name="page11"/>
    <w:bookmarkEnd w:id="10"/>
    <w:p>
      <w:pPr>
        <w:ind w:left="2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28" w:right="1440" w:bottom="1440" w:gutter="0" w:footer="0" w:header="0"/>
        </w:sectPr>
      </w:pPr>
    </w:p>
    <w:bookmarkStart w:id="11" w:name="page12"/>
    <w:bookmarkEnd w:id="11"/>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RISKS RELATED TO OUR BUSINESS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9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193"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85" w:lineRule="exact"/>
        <w:rPr>
          <w:sz w:val="20"/>
          <w:szCs w:val="20"/>
          <w:color w:val="auto"/>
        </w:rPr>
      </w:pPr>
    </w:p>
    <w:p>
      <w:pPr>
        <w:ind w:left="1160" w:right="2659" w:hanging="579"/>
        <w:spacing w:after="0" w:line="248" w:lineRule="auto"/>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2" w:name="page13"/>
    <w:bookmarkEnd w:id="12"/>
    <w:p>
      <w:pPr>
        <w:ind w:right="2459" w:firstLine="581"/>
        <w:spacing w:after="0" w:line="248"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37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Covance, Inc., Ingenix Inc. (United Health), Inveresk Research Group, Inc., Kendle International Inc., MDS Inc., Omnicare, Inc., PAREXEL International Corp., Pharmaceutical Product Development, Inc., PRA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378"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18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93"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85" w:lineRule="exact"/>
        <w:rPr>
          <w:sz w:val="20"/>
          <w:szCs w:val="20"/>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184"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4" w:name="page15"/>
    <w:bookmarkEnd w:id="14"/>
    <w:p>
      <w:pPr>
        <w:jc w:val="center"/>
        <w:ind w:right="245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37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13,341,757 and purchasers of ADSs in this offering will experience an immediate and substantial dilution in the net</w:t>
      </w:r>
    </w:p>
    <w:p>
      <w:pPr>
        <w:spacing w:after="0" w:line="2"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tangible book value per ordinary share of $ (based on the sale of the ADSs at the public offering price set forth on the cover page of this prospectus).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5" w:name="page16"/>
    <w:bookmarkEnd w:id="15"/>
    <w:p>
      <w:pPr>
        <w:ind w:left="164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6" w:name="page17"/>
    <w:bookmarkEnd w:id="16"/>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right="2959" w:firstLine="581"/>
        <w:spacing w:after="0" w:line="246"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w:t>
      </w:r>
    </w:p>
    <w:p>
      <w:pPr>
        <w:spacing w:after="0" w:line="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expenses payable by us, will be approximately $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185"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378"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13,341,757 ordinary shares were issued and outstanding as of June 30,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ADSs</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NASDAQ</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HIGH</w:t>
            </w:r>
          </w:p>
        </w:tc>
        <w:tc>
          <w:tcPr>
            <w:tcW w:w="1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LOW</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LAST SIX MONTHS:</w:t>
            </w: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3"/>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$25.87</w:t>
            </w:r>
          </w:p>
        </w:tc>
      </w:tr>
      <w:tr>
        <w:trPr>
          <w:trHeight w:val="373"/>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May,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$24.10</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April,</w:t>
            </w:r>
          </w:p>
        </w:tc>
        <w:tc>
          <w:tcPr>
            <w:tcW w:w="3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$25.90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March,</w:t>
            </w:r>
          </w:p>
        </w:tc>
        <w:tc>
          <w:tcPr>
            <w:tcW w:w="3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$23.50</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February,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$22.86</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January,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$26.78</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LAST ELEVEN</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QUARTERS:</w:t>
            </w: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$18.99</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$34.49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$23.87</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$25.13</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$35.69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$26.74</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$18.38</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$20.13</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LAST FIVE FISCAL YEARS:</w:t>
            </w: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2002 ......................................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2001 ......................................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2000 ......................................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1999 ......................................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190"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8" w:name="page19"/>
    <w:bookmarkEnd w:id="18"/>
    <w:p>
      <w:pPr>
        <w:ind w:left="3201"/>
        <w:spacing w:after="0"/>
        <w:rPr>
          <w:sz w:val="20"/>
          <w:szCs w:val="20"/>
          <w:color w:val="auto"/>
        </w:rPr>
      </w:pPr>
      <w:r>
        <w:rPr>
          <w:rFonts w:ascii="Courier New" w:cs="Courier New" w:eastAsia="Courier New" w:hAnsi="Courier New"/>
          <w:sz w:val="16"/>
          <w:szCs w:val="16"/>
          <w:color w:val="auto"/>
        </w:rPr>
        <w:t>CAPITALIZATION</w:t>
      </w:r>
    </w:p>
    <w:p>
      <w:pPr>
        <w:spacing w:after="0" w:line="378" w:lineRule="exact"/>
        <w:rPr>
          <w:sz w:val="20"/>
          <w:szCs w:val="20"/>
          <w:color w:val="auto"/>
        </w:rPr>
      </w:pPr>
    </w:p>
    <w:p>
      <w:pPr>
        <w:ind w:left="1" w:right="2959" w:firstLine="581"/>
        <w:spacing w:after="0" w:line="248" w:lineRule="auto"/>
        <w:rPr>
          <w:sz w:val="20"/>
          <w:szCs w:val="20"/>
          <w:color w:val="auto"/>
        </w:rPr>
      </w:pPr>
      <w:r>
        <w:rPr>
          <w:rFonts w:ascii="Courier New" w:cs="Courier New" w:eastAsia="Courier New" w:hAnsi="Courier New"/>
          <w:sz w:val="16"/>
          <w:szCs w:val="16"/>
          <w:color w:val="auto"/>
        </w:rPr>
        <w:t>The following table sets forth, as of May 31, 2003, our cash and cash equivalents, short-term investments, short-term debt and capitalization:</w:t>
      </w:r>
    </w:p>
    <w:p>
      <w:pPr>
        <w:spacing w:after="0" w:line="371" w:lineRule="exact"/>
        <w:rPr>
          <w:sz w:val="20"/>
          <w:szCs w:val="20"/>
          <w:color w:val="auto"/>
        </w:rPr>
      </w:pPr>
    </w:p>
    <w:p>
      <w:pPr>
        <w:ind w:left="1161" w:hanging="579"/>
        <w:spacing w:after="0"/>
        <w:tabs>
          <w:tab w:leader="none" w:pos="11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w:t>
      </w:r>
    </w:p>
    <w:p>
      <w:pPr>
        <w:spacing w:after="0" w:line="377" w:lineRule="exact"/>
        <w:rPr>
          <w:rFonts w:ascii="Courier New" w:cs="Courier New" w:eastAsia="Courier New" w:hAnsi="Courier New"/>
          <w:sz w:val="16"/>
          <w:szCs w:val="16"/>
          <w:color w:val="auto"/>
        </w:rPr>
      </w:pPr>
    </w:p>
    <w:p>
      <w:pPr>
        <w:ind w:left="1" w:right="2459" w:firstLine="581"/>
        <w:spacing w:after="0" w:line="247" w:lineRule="auto"/>
        <w:tabs>
          <w:tab w:leader="none" w:pos="97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give effect to the issuance and sale of 1,500,000 ADSs by us in this offering at an assumed offering price of $30.17 (based on the last reported sale price of our ADSs on July 17, 2003 on the Nasdaq National Market):</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AS OF</w:t>
            </w:r>
          </w:p>
        </w:tc>
        <w:tc>
          <w:tcPr>
            <w:tcW w:w="740" w:type="dxa"/>
            <w:vAlign w:val="bottom"/>
          </w:tcPr>
          <w:p>
            <w:pPr>
              <w:spacing w:after="0"/>
              <w:rPr>
                <w:sz w:val="15"/>
                <w:szCs w:val="15"/>
                <w:color w:val="auto"/>
              </w:rPr>
            </w:pP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MAY 31, 2003</w:t>
            </w: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ACTUAL</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18,311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18,311</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Short-term investments (available for sale)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41,556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short-term debt (1)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7,126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Ordinary shares, par value (euro)0.06</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per share: 20,000,000 shares authorized;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11,841,557 fully-paid shares issued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outstanding (actual); 13,341,557</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fully-paid shares issued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outstanding (as adjusted)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841</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Additional paid-in capital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61,164</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102,614</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7,787</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7,787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Merger reserve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Retained earnings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67,071</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67,071</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shareholders' equity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136,910</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178,466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capitalization ...........................</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$ 144,036</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$ 185,592</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759" w:hanging="384"/>
        <w:spacing w:after="0" w:line="247" w:lineRule="auto"/>
        <w:tabs>
          <w:tab w:leader="none" w:pos="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discussion of our indebtedness, see "Management's Discussion and Analysis of Financial Condition and Results of Operations--Liquidity and Capital Resources" and "Recent Developments--Credit facility."</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9" w:name="page20"/>
    <w:bookmarkEnd w:id="19"/>
    <w:p>
      <w:pPr>
        <w:ind w:left="3481"/>
        <w:spacing w:after="0"/>
        <w:rPr>
          <w:sz w:val="20"/>
          <w:szCs w:val="20"/>
          <w:color w:val="auto"/>
        </w:rPr>
      </w:pPr>
      <w:r>
        <w:rPr>
          <w:rFonts w:ascii="Courier New" w:cs="Courier New" w:eastAsia="Courier New" w:hAnsi="Courier New"/>
          <w:sz w:val="16"/>
          <w:szCs w:val="16"/>
          <w:color w:val="auto"/>
        </w:rPr>
        <w:t>DILUTION</w:t>
      </w:r>
    </w:p>
    <w:p>
      <w:pPr>
        <w:spacing w:after="0" w:line="37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As of May 31, 2003, our net tangible book value was $91.9 million, 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$7.76 per ordinary share. Net tangible book value per ordinary share represents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the aggregate number of ordinary shares outstanding. After giving effect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our sale of the ADSs in this offering, at an assumed public offering price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$30.17 per ADS, and after deducting estimated underwriting discounts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estimated offering expenses payable by us, our pro forma net tangible book value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of May 31, 2003, would have been approximately $133.4 million, or $10.0 per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ordinary share. This represents an immediate increase in pro forma net tangible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book value to existing stockholders of $2.24 per ordinary share and an immediate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to new investors of $20.17 per ordinary share.</w:t>
      </w:r>
    </w:p>
    <w:p>
      <w:pPr>
        <w:spacing w:after="0" w:line="37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Courier New" w:cs="Courier New" w:eastAsia="Courier New" w:hAnsi="Courier New"/>
                <w:sz w:val="16"/>
                <w:szCs w:val="16"/>
                <w:color w:val="auto"/>
              </w:rPr>
              <w:t>Public offering</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price per ADS</w:t>
            </w:r>
          </w:p>
        </w:tc>
        <w:tc>
          <w:tcPr>
            <w:tcW w:w="4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6"/>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tangible book value per</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ordinary share as of May 31, 2003 (1)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Increase in net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tangible book</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value per ordinary share attributable</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860" w:type="dxa"/>
            <w:vAlign w:val="bottom"/>
            <w:gridSpan w:val="2"/>
          </w:tcPr>
          <w:p>
            <w:pPr>
              <w:jc w:val="right"/>
              <w:ind w:right="1019"/>
              <w:spacing w:after="0"/>
              <w:rPr>
                <w:sz w:val="20"/>
                <w:szCs w:val="20"/>
                <w:color w:val="auto"/>
              </w:rPr>
            </w:pPr>
            <w:r>
              <w:rPr>
                <w:rFonts w:ascii="Courier New" w:cs="Courier New" w:eastAsia="Courier New" w:hAnsi="Courier New"/>
                <w:sz w:val="16"/>
                <w:szCs w:val="16"/>
                <w:color w:val="auto"/>
              </w:rPr>
              <w:t>to this offering</w:t>
            </w:r>
          </w:p>
        </w:tc>
        <w:tc>
          <w:tcPr>
            <w:tcW w:w="446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2.24</w:t>
            </w: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in net tangible book value per ordinary share to new investors (2)</w:t>
      </w:r>
    </w:p>
    <w:p>
      <w:pPr>
        <w:spacing w:after="0" w:line="200" w:lineRule="exact"/>
        <w:rPr>
          <w:sz w:val="20"/>
          <w:szCs w:val="20"/>
          <w:color w:val="auto"/>
        </w:rPr>
      </w:pPr>
    </w:p>
    <w:p>
      <w:pPr>
        <w:spacing w:after="0" w:line="36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As of May 31, 2003, there were options outstanding to purchase a</w:t>
      </w:r>
    </w:p>
    <w:p>
      <w:pPr>
        <w:spacing w:after="0" w:line="5" w:lineRule="exact"/>
        <w:rPr>
          <w:sz w:val="20"/>
          <w:szCs w:val="20"/>
          <w:color w:val="auto"/>
        </w:rPr>
      </w:pPr>
    </w:p>
    <w:p>
      <w:pPr>
        <w:ind w:left="1" w:right="2080"/>
        <w:spacing w:after="0" w:line="247" w:lineRule="auto"/>
        <w:rPr>
          <w:sz w:val="20"/>
          <w:szCs w:val="20"/>
          <w:color w:val="auto"/>
        </w:rPr>
      </w:pPr>
      <w:r>
        <w:rPr>
          <w:rFonts w:ascii="Courier New" w:cs="Courier New" w:eastAsia="Courier New" w:hAnsi="Courier New"/>
          <w:sz w:val="16"/>
          <w:szCs w:val="16"/>
          <w:color w:val="auto"/>
        </w:rPr>
        <w:t>total of 1,185,645 ordinary shares. To the extent that any of these options are exercised or shares are issued, there will be further dilution to new public investors</w:t>
      </w:r>
    </w:p>
    <w:p>
      <w:pPr>
        <w:spacing w:after="0" w:line="186"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560" w:hanging="384"/>
        <w:spacing w:after="0" w:line="248"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May 31, 2003 were $45.0 million, or $3.80 per ordinary share.</w:t>
      </w:r>
    </w:p>
    <w:p>
      <w:pPr>
        <w:spacing w:after="0" w:line="370" w:lineRule="exact"/>
        <w:rPr>
          <w:rFonts w:ascii="Courier New" w:cs="Courier New" w:eastAsia="Courier New" w:hAnsi="Courier New"/>
          <w:sz w:val="16"/>
          <w:szCs w:val="16"/>
          <w:color w:val="auto"/>
        </w:rPr>
      </w:pPr>
    </w:p>
    <w:p>
      <w:pPr>
        <w:ind w:left="481" w:right="1980" w:hanging="384"/>
        <w:spacing w:after="0" w:line="247"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95"/>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30.17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5"/>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0" w:hanging="395"/>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20.17</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741" w:space="720"/>
            <w:col w:w="880"/>
          </w:cols>
          <w:pgMar w:left="239" w:top="676" w:right="319" w:bottom="1440" w:gutter="0" w:footer="0" w:header="0"/>
        </w:sectPr>
      </w:pPr>
    </w:p>
    <w:bookmarkStart w:id="20" w:name="page21"/>
    <w:bookmarkEnd w:id="20"/>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w:t>
      </w:r>
    </w:p>
    <w:p>
      <w:pPr>
        <w:spacing w:after="0" w:line="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37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184" w:lineRule="exact"/>
        <w:rPr>
          <w:sz w:val="20"/>
          <w:szCs w:val="20"/>
          <w:color w:val="auto"/>
        </w:rPr>
      </w:pPr>
    </w:p>
    <w:p>
      <w:pPr>
        <w:ind w:right="29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PRAI, a San Francisco based company that specializes in data management, statistical analysis and medical and regulatory consulting, was acquired on January 28, 2000 for approximately $14.4 million;</w:t>
      </w:r>
    </w:p>
    <w:p>
      <w:pPr>
        <w:spacing w:after="0" w:line="185" w:lineRule="exact"/>
        <w:rPr>
          <w:rFonts w:ascii="Courier New" w:cs="Courier New" w:eastAsia="Courier New" w:hAnsi="Courier New"/>
          <w:sz w:val="16"/>
          <w:szCs w:val="16"/>
          <w:color w:val="auto"/>
        </w:rPr>
      </w:pPr>
    </w:p>
    <w:p>
      <w:pPr>
        <w:ind w:right="25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YRCR Limited, or YRCR, a regulatory consulting company based in the United Kingdom, was acquired on January 27, 2000 for approximately sterling 2.1 million;</w:t>
      </w:r>
    </w:p>
    <w:p>
      <w:pPr>
        <w:spacing w:after="0" w:line="185" w:lineRule="exact"/>
        <w:rPr>
          <w:rFonts w:ascii="Courier New" w:cs="Courier New" w:eastAsia="Courier New" w:hAnsi="Courier New"/>
          <w:sz w:val="16"/>
          <w:szCs w:val="16"/>
          <w:color w:val="auto"/>
        </w:rPr>
      </w:pPr>
    </w:p>
    <w:p>
      <w:pPr>
        <w:ind w:right="26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Protocole SAS, or Protocole, a clinical research organization specializing in the execution of veterinary trials based in Paris, France, was acquired on March 14, 2000 for approximately $586,000;</w:t>
      </w:r>
    </w:p>
    <w:p>
      <w:pPr>
        <w:spacing w:after="0" w:line="185" w:lineRule="exact"/>
        <w:rPr>
          <w:rFonts w:ascii="Courier New" w:cs="Courier New" w:eastAsia="Courier New" w:hAnsi="Courier New"/>
          <w:sz w:val="16"/>
          <w:szCs w:val="16"/>
          <w:color w:val="auto"/>
        </w:rPr>
      </w:pPr>
    </w:p>
    <w:p>
      <w:pPr>
        <w:ind w:right="2459" w:firstLine="581"/>
        <w:spacing w:after="0" w:line="248"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UCT (U.S.), Inc., or UCT, a central laboratory organization based in New York, New York, was acquired on June 8, 2000 for approximately $7.0 million;</w:t>
      </w:r>
    </w:p>
    <w:p>
      <w:pPr>
        <w:spacing w:after="0" w:line="184" w:lineRule="exact"/>
        <w:rPr>
          <w:rFonts w:ascii="Courier New" w:cs="Courier New" w:eastAsia="Courier New" w:hAnsi="Courier New"/>
          <w:sz w:val="16"/>
          <w:szCs w:val="16"/>
          <w:color w:val="auto"/>
        </w:rPr>
      </w:pPr>
    </w:p>
    <w:p>
      <w:pPr>
        <w:ind w:right="25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185" w:lineRule="exact"/>
        <w:rPr>
          <w:rFonts w:ascii="Courier New" w:cs="Courier New" w:eastAsia="Courier New" w:hAnsi="Courier New"/>
          <w:sz w:val="16"/>
          <w:szCs w:val="16"/>
          <w:color w:val="auto"/>
        </w:rPr>
      </w:pPr>
    </w:p>
    <w:p>
      <w:pPr>
        <w:ind w:right="26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21" w:name="page22"/>
    <w:bookmarkEnd w:id="21"/>
    <w:p>
      <w:pPr>
        <w:ind w:right="2559"/>
        <w:spacing w:after="0" w:line="247" w:lineRule="auto"/>
        <w:rPr>
          <w:sz w:val="20"/>
          <w:szCs w:val="20"/>
          <w:color w:val="auto"/>
        </w:rPr>
      </w:pPr>
      <w:r>
        <w:rPr>
          <w:rFonts w:ascii="Courier New" w:cs="Courier New" w:eastAsia="Courier New" w:hAnsi="Courier New"/>
          <w:sz w:val="16"/>
          <w:szCs w:val="16"/>
          <w:color w:val="auto"/>
        </w:rPr>
        <w:t>deducted from gross revenue to arrive at net revenue. As no profit is earned on these costs, which vary from contract to contract, we view net revenue as our primary measure of revenue growth.</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Russian Rubles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3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Pr>
          <w:p>
            <w:pPr>
              <w:spacing w:after="0"/>
              <w:rPr>
                <w:sz w:val="15"/>
                <w:szCs w:val="15"/>
                <w:color w:val="auto"/>
              </w:rPr>
            </w:pPr>
          </w:p>
        </w:tc>
        <w:tc>
          <w:tcPr>
            <w:tcW w:w="276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tcPr>
          <w:p>
            <w:pPr>
              <w:spacing w:after="0"/>
              <w:rPr>
                <w:sz w:val="15"/>
                <w:szCs w:val="15"/>
                <w:color w:val="auto"/>
              </w:rPr>
            </w:pPr>
          </w:p>
        </w:tc>
      </w:tr>
      <w:tr>
        <w:trPr>
          <w:trHeight w:val="186"/>
        </w:trPr>
        <w:tc>
          <w:tcPr>
            <w:tcW w:w="42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FEBRUARY 28,</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26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2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r>
      <w:tr>
        <w:trPr>
          <w:trHeight w:val="373"/>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49.9%</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56.3%</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52.9%</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59.4%</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30.2%</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43.6%</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21.5%</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33.4%</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19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3" w:name="page24"/>
    <w:bookmarkEnd w:id="23"/>
    <w:p>
      <w:pPr>
        <w:ind w:right="2559"/>
        <w:spacing w:after="0" w:line="246" w:lineRule="auto"/>
        <w:rPr>
          <w:sz w:val="20"/>
          <w:szCs w:val="20"/>
          <w:color w:val="auto"/>
        </w:rPr>
      </w:pPr>
      <w:r>
        <w:rPr>
          <w:rFonts w:ascii="Courier New" w:cs="Courier New" w:eastAsia="Courier New" w:hAnsi="Courier New"/>
          <w:sz w:val="16"/>
          <w:szCs w:val="16"/>
          <w:color w:val="auto"/>
        </w:rPr>
        <w:t>effect of acquisitions, income from operations decreased from 11.7% for 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72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NINE MONTHS ENDED</w:t>
            </w:r>
          </w:p>
        </w:tc>
        <w:tc>
          <w:tcPr>
            <w:tcW w:w="1980" w:type="dxa"/>
            <w:vAlign w:val="bottom"/>
          </w:tcPr>
          <w:p>
            <w:pPr>
              <w:spacing w:after="0"/>
              <w:rPr>
                <w:sz w:val="15"/>
                <w:szCs w:val="15"/>
                <w:color w:val="auto"/>
              </w:rPr>
            </w:pPr>
          </w:p>
        </w:tc>
      </w:tr>
      <w:tr>
        <w:trPr>
          <w:trHeight w:val="186"/>
        </w:trPr>
        <w:tc>
          <w:tcPr>
            <w:tcW w:w="4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FEBRUARY 28,</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FEBRUARY 28,</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12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1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16"/>
                <w:szCs w:val="16"/>
                <w:color w:val="auto"/>
              </w:rPr>
            </w:pPr>
          </w:p>
        </w:tc>
        <w:tc>
          <w:tcPr>
            <w:tcW w:w="27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PERCENTAGE OF NET REVENUE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40.6%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54.8%</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53.2%</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44.8%</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31.3%</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39.2%</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13.6%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11.6%</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34.6%</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9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4" w:name="page25"/>
    <w:bookmarkEnd w:id="24"/>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Cancellations of this nature are typical in our business and generally arise due to safety or efficacy issues relating to the trial drug, which are outside of our control. Operating margins for our clinical research segment increased from 11.0% in the nine months ended February 28, 2002 to 12.4% for the nine months ended February 28, 2003 primarily due to improved staff utilization.</w:t>
      </w:r>
    </w:p>
    <w:p>
      <w:pPr>
        <w:spacing w:after="0" w:line="19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06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 2001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060" w:type="dxa"/>
            <w:vAlign w:val="bottom"/>
          </w:tcPr>
          <w:p>
            <w:pPr>
              <w:spacing w:after="0"/>
              <w:rPr>
                <w:sz w:val="16"/>
                <w:szCs w:val="16"/>
                <w:color w:val="auto"/>
              </w:rPr>
            </w:pP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PERCENTAGE INCREASE/</w:t>
            </w:r>
          </w:p>
        </w:tc>
      </w:tr>
      <w:tr>
        <w:trPr>
          <w:trHeight w:val="186"/>
        </w:trPr>
        <w:tc>
          <w:tcPr>
            <w:tcW w:w="4060" w:type="dxa"/>
            <w:vAlign w:val="bottom"/>
          </w:tcPr>
          <w:p>
            <w:pPr>
              <w:spacing w:after="0"/>
              <w:rPr>
                <w:sz w:val="16"/>
                <w:szCs w:val="16"/>
                <w:color w:val="auto"/>
              </w:rPr>
            </w:pPr>
          </w:p>
        </w:tc>
        <w:tc>
          <w:tcPr>
            <w:tcW w:w="38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PERCENTAGE OF NET REVENUE</w:t>
            </w:r>
          </w:p>
        </w:tc>
        <w:tc>
          <w:tcPr>
            <w:tcW w:w="20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(DECREASE)</w:t>
            </w:r>
          </w:p>
        </w:tc>
      </w:tr>
      <w:tr>
        <w:trPr>
          <w:trHeight w:val="186"/>
        </w:trPr>
        <w:tc>
          <w:tcPr>
            <w:tcW w:w="40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w:t>
            </w:r>
          </w:p>
        </w:tc>
        <w:tc>
          <w:tcPr>
            <w:tcW w:w="106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43.8%</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54.9%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30.7%</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33.9%</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32.8%</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52.4%</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9.5%</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69.6%</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64.4%</w:t>
            </w:r>
          </w:p>
        </w:tc>
      </w:tr>
    </w:tbl>
    <w:p>
      <w:pPr>
        <w:spacing w:after="0" w:line="377"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5" w:name="page26"/>
    <w:bookmarkEnd w:id="25"/>
    <w:p>
      <w:pPr>
        <w:ind w:right="2459"/>
        <w:spacing w:after="0" w:line="247" w:lineRule="auto"/>
        <w:rPr>
          <w:sz w:val="20"/>
          <w:szCs w:val="20"/>
          <w:color w:val="auto"/>
        </w:rPr>
      </w:pPr>
      <w:r>
        <w:rPr>
          <w:rFonts w:ascii="Courier New" w:cs="Courier New" w:eastAsia="Courier New" w:hAnsi="Courier New"/>
          <w:sz w:val="16"/>
          <w:szCs w:val="16"/>
          <w:color w:val="auto"/>
        </w:rPr>
        <w:t>million, or 27.4% in fiscal 2002 compared to fiscal 2001. Of the total increase, revenues in the United States and Europe/Rest of the World grew by 31.3% and 43.2%, respectively.</w:t>
      </w:r>
    </w:p>
    <w:p>
      <w:pPr>
        <w:spacing w:after="0" w:line="18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6" w:name="page27"/>
    <w:bookmarkEnd w:id="26"/>
    <w:p>
      <w:pPr>
        <w:ind w:right="2459"/>
        <w:spacing w:after="0" w:line="247" w:lineRule="auto"/>
        <w:rPr>
          <w:sz w:val="20"/>
          <w:szCs w:val="20"/>
          <w:color w:val="auto"/>
        </w:rPr>
      </w:pPr>
      <w:r>
        <w:rPr>
          <w:rFonts w:ascii="Courier New" w:cs="Courier New" w:eastAsia="Courier New" w:hAnsi="Courier New"/>
          <w:sz w:val="16"/>
          <w:szCs w:val="16"/>
          <w:color w:val="auto"/>
        </w:rPr>
        <w:t>twelve months to May 31, 2000, to 54.9% in the equivalent period in fiscal 2001. Excluding acquisitions, direct costs were 53.3% of net revenues in the twelve months to May 31, 2001.</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7" w:name="page28"/>
    <w:bookmarkEnd w:id="27"/>
    <w:p>
      <w:pPr>
        <w:ind w:right="2459" w:firstLine="581"/>
        <w:spacing w:after="0" w:line="246"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194"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8" w:name="page29"/>
    <w:bookmarkEnd w:id="28"/>
    <w:p>
      <w:pPr>
        <w:ind w:right="3300"/>
        <w:spacing w:after="0" w:line="247"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185" w:lineRule="exact"/>
        <w:rPr>
          <w:sz w:val="20"/>
          <w:szCs w:val="20"/>
          <w:color w:val="auto"/>
        </w:rPr>
      </w:pPr>
    </w:p>
    <w:p>
      <w:pPr>
        <w:ind w:right="3500" w:firstLine="581"/>
        <w:spacing w:after="0" w:line="247"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See "Recent Developments--New Credit Facility."</w:t>
      </w:r>
    </w:p>
    <w:p>
      <w:pPr>
        <w:spacing w:after="0" w:line="37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91" w:lineRule="exact"/>
        <w:rPr>
          <w:sz w:val="20"/>
          <w:szCs w:val="20"/>
          <w:color w:val="auto"/>
        </w:rPr>
      </w:pPr>
    </w:p>
    <w:p>
      <w:pPr>
        <w:ind w:right="3200" w:firstLine="581"/>
        <w:spacing w:after="0" w:line="247"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185" w:lineRule="exact"/>
        <w:rPr>
          <w:sz w:val="20"/>
          <w:szCs w:val="20"/>
          <w:color w:val="auto"/>
        </w:rPr>
      </w:pPr>
    </w:p>
    <w:p>
      <w:pPr>
        <w:ind w:right="3100" w:firstLine="581"/>
        <w:spacing w:after="0" w:line="247"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191" w:lineRule="exact"/>
        <w:rPr>
          <w:sz w:val="20"/>
          <w:szCs w:val="20"/>
          <w:color w:val="auto"/>
        </w:rPr>
      </w:pPr>
    </w:p>
    <w:p>
      <w:pPr>
        <w:ind w:right="3200" w:firstLine="581"/>
        <w:spacing w:after="0" w:line="248"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PAYMENTS DUE BY PERIOD</w:t>
            </w:r>
          </w:p>
        </w:tc>
        <w:tc>
          <w:tcPr>
            <w:tcW w:w="1120" w:type="dxa"/>
            <w:vAlign w:val="bottom"/>
          </w:tcPr>
          <w:p>
            <w:pPr>
              <w:spacing w:after="0"/>
              <w:rPr>
                <w:sz w:val="15"/>
                <w:szCs w:val="15"/>
                <w:color w:val="auto"/>
              </w:rPr>
            </w:pPr>
          </w:p>
        </w:tc>
      </w:tr>
      <w:tr>
        <w:trPr>
          <w:trHeight w:val="186"/>
        </w:trPr>
        <w:tc>
          <w:tcPr>
            <w:tcW w:w="5580" w:type="dxa"/>
            <w:vAlign w:val="bottom"/>
          </w:tcPr>
          <w:p>
            <w:pPr>
              <w:spacing w:after="0"/>
              <w:rPr>
                <w:sz w:val="16"/>
                <w:szCs w:val="16"/>
                <w:color w:val="auto"/>
              </w:rPr>
            </w:pPr>
          </w:p>
        </w:tc>
        <w:tc>
          <w:tcPr>
            <w:tcW w:w="5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LESS THAN</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 TO 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AFTER 5</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 YEAR</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YEARS</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YEARS</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(IN THOUSANDS)</w:t>
            </w:r>
          </w:p>
        </w:tc>
        <w:tc>
          <w:tcPr>
            <w:tcW w:w="1120" w:type="dxa"/>
            <w:vAlign w:val="bottom"/>
          </w:tcPr>
          <w:p>
            <w:pPr>
              <w:spacing w:after="0"/>
              <w:rPr>
                <w:sz w:val="16"/>
                <w:szCs w:val="16"/>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$121,579</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$ 7,359</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$50,406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10,503</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10,503</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contingent consideration (1)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13,460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4,120</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9,340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$145,542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$21,982</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$59,746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This cash is payable under earn-out clauses included in acquisitions.</w:t>
      </w:r>
    </w:p>
    <w:p>
      <w:pPr>
        <w:spacing w:after="0" w:line="191"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860"/>
          </w:cols>
          <w:pgMar w:left="240" w:top="862" w:right="799"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6"/>
          <w:szCs w:val="16"/>
          <w:color w:val="auto"/>
        </w:rPr>
        <w:t>INFLATION</w:t>
      </w:r>
    </w:p>
    <w:p>
      <w:pPr>
        <w:spacing w:after="0" w:line="378"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37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186" w:lineRule="exact"/>
        <w:rPr>
          <w:sz w:val="20"/>
          <w:szCs w:val="20"/>
          <w:color w:val="auto"/>
        </w:rPr>
      </w:pPr>
    </w:p>
    <w:p>
      <w:pPr>
        <w:ind w:left="1160" w:right="2959" w:hanging="579"/>
        <w:spacing w:after="0" w:line="248" w:lineRule="auto"/>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30" w:name="page31"/>
    <w:bookmarkEnd w:id="30"/>
    <w:p>
      <w:pPr>
        <w:ind w:left="2520"/>
        <w:spacing w:after="0"/>
        <w:rPr>
          <w:sz w:val="20"/>
          <w:szCs w:val="20"/>
          <w:color w:val="auto"/>
        </w:rPr>
      </w:pPr>
      <w:r>
        <w:rPr>
          <w:rFonts w:ascii="Courier New" w:cs="Courier New" w:eastAsia="Courier New" w:hAnsi="Courier New"/>
          <w:sz w:val="16"/>
          <w:szCs w:val="16"/>
          <w:color w:val="auto"/>
        </w:rPr>
        <w:t>NEW ACCOUNTING PRONOUNCEMENTS</w:t>
      </w:r>
    </w:p>
    <w:p>
      <w:pPr>
        <w:spacing w:after="0" w:line="191"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96" w:lineRule="exact"/>
        <w:rPr>
          <w:sz w:val="20"/>
          <w:szCs w:val="20"/>
          <w:color w:val="auto"/>
        </w:rPr>
      </w:pPr>
    </w:p>
    <w:p>
      <w:pPr>
        <w:jc w:val="both"/>
        <w:ind w:right="2900" w:firstLine="581"/>
        <w:spacing w:after="0" w:line="247"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ENDED MAY 31,</w:t>
            </w:r>
          </w:p>
        </w:tc>
      </w:tr>
      <w:tr>
        <w:trPr>
          <w:trHeight w:val="186"/>
        </w:trPr>
        <w:tc>
          <w:tcPr>
            <w:tcW w:w="7660" w:type="dxa"/>
            <w:vAlign w:val="bottom"/>
          </w:tcPr>
          <w:p>
            <w:pPr>
              <w:spacing w:after="0"/>
              <w:rPr>
                <w:sz w:val="16"/>
                <w:szCs w:val="16"/>
                <w:color w:val="auto"/>
              </w:rPr>
            </w:pPr>
          </w:p>
        </w:tc>
        <w:tc>
          <w:tcPr>
            <w:tcW w:w="2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18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7660" w:type="dxa"/>
            <w:vAlign w:val="bottom"/>
          </w:tcPr>
          <w:p>
            <w:pPr>
              <w:spacing w:after="0"/>
              <w:rPr>
                <w:sz w:val="16"/>
                <w:szCs w:val="16"/>
                <w:color w:val="auto"/>
              </w:rPr>
            </w:pP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29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 THOUSANDS,</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PER SHARE DATA)</w:t>
            </w:r>
          </w:p>
        </w:tc>
      </w:tr>
      <w:tr>
        <w:trPr>
          <w:trHeight w:val="373"/>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net income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$6,068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net income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$6,106</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diluted net income per share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94"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560"/>
          </w:cols>
          <w:pgMar w:left="240" w:top="676" w:right="1099" w:bottom="695" w:gutter="0" w:footer="0" w:header="0"/>
        </w:sectPr>
      </w:pPr>
    </w:p>
    <w:bookmarkStart w:id="31" w:name="page32"/>
    <w:bookmarkEnd w:id="31"/>
    <w:p>
      <w:pPr>
        <w:ind w:right="2459"/>
        <w:spacing w:after="0" w:line="247" w:lineRule="auto"/>
        <w:rPr>
          <w:sz w:val="20"/>
          <w:szCs w:val="20"/>
          <w:color w:val="auto"/>
        </w:rPr>
      </w:pPr>
      <w:r>
        <w:rPr>
          <w:rFonts w:ascii="Courier New" w:cs="Courier New" w:eastAsia="Courier New" w:hAnsi="Courier New"/>
          <w:sz w:val="16"/>
          <w:szCs w:val="16"/>
          <w:color w:val="auto"/>
        </w:rPr>
        <w:t>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9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2" w:name="page33"/>
    <w:bookmarkEnd w:id="32"/>
    <w:p>
      <w:pPr>
        <w:ind w:left="3480"/>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3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33" w:name="page34"/>
    <w:bookmarkEnd w:id="33"/>
    <w:p>
      <w:pPr>
        <w:ind w:right="2459"/>
        <w:spacing w:after="0" w:line="246"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34" w:name="page35"/>
    <w:bookmarkEnd w:id="34"/>
    <w:p>
      <w:pPr>
        <w:ind w:right="2459" w:firstLine="581"/>
        <w:spacing w:after="0" w:line="247"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29 offices in 17 countries and intend to continue expanding into regions that have the potential to increase our client base or increase our investigator and patient populations.</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1"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5" w:name="page36"/>
    <w:bookmarkEnd w:id="35"/>
    <w:p>
      <w:pPr>
        <w:ind w:right="2459" w:firstLine="581"/>
        <w:spacing w:after="0" w:line="246"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540" w:type="dxa"/>
            <w:vAlign w:val="bottom"/>
          </w:tcPr>
          <w:p>
            <w:pPr>
              <w:spacing w:after="0"/>
              <w:rPr>
                <w:sz w:val="15"/>
                <w:szCs w:val="15"/>
                <w:color w:val="auto"/>
              </w:rPr>
            </w:pP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COUNTRY OF INCORPORATION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27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S.A.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Argentina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Pty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(Canada)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Canada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SARL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Protocole SAS</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GmbH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Germany</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Israel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Israel</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ICON Japan K.K</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Republic of Ireland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Pte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Singapore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South Africa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(UK)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Medeval Group</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YRCR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ICON Laboratories,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SYSTEMS</w:t>
      </w:r>
    </w:p>
    <w:p>
      <w:pPr>
        <w:spacing w:after="0" w:line="191"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36" w:name="page37"/>
    <w:bookmarkEnd w:id="36"/>
    <w:p>
      <w:pPr>
        <w:ind w:right="2659" w:firstLine="581"/>
        <w:spacing w:after="0" w:line="247"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193"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1"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37" w:name="page38"/>
    <w:bookmarkEnd w:id="37"/>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Ingenix Inc. (United Health), Inveresk Research Group, Inc., Kendle International Inc., MDS Inc., Omnicare, Inc., PARAXEL International Corp., Pharmaceutical Product Development, Inc., PRA Inc. and Quintiles Transnational Corporation. The trend</w:t>
      </w:r>
    </w:p>
    <w:p>
      <w:pPr>
        <w:spacing w:after="0" w:line="200" w:lineRule="exact"/>
        <w:rPr>
          <w:sz w:val="20"/>
          <w:szCs w:val="20"/>
          <w:color w:val="auto"/>
        </w:rPr>
      </w:pP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38" w:name="page39"/>
    <w:bookmarkEnd w:id="38"/>
    <w:p>
      <w:pPr>
        <w:ind w:right="2659"/>
        <w:spacing w:after="0" w:line="248"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85" w:lineRule="exact"/>
        <w:rPr>
          <w:sz w:val="20"/>
          <w:szCs w:val="20"/>
          <w:color w:val="auto"/>
        </w:rPr>
      </w:pPr>
    </w:p>
    <w:p>
      <w:pPr>
        <w:ind w:left="580" w:right="2559"/>
        <w:spacing w:after="0" w:line="247"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39" w:name="page40"/>
    <w:bookmarkEnd w:id="39"/>
    <w:p>
      <w:pPr>
        <w:ind w:left="580" w:right="2559"/>
        <w:spacing w:after="0" w:line="248"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CLINICAL TRIALS (3.5 TO 6 YEARS)</w:t>
      </w:r>
    </w:p>
    <w:p>
      <w:pPr>
        <w:spacing w:after="0" w:line="191" w:lineRule="exact"/>
        <w:rPr>
          <w:sz w:val="20"/>
          <w:szCs w:val="20"/>
          <w:color w:val="auto"/>
        </w:rPr>
      </w:pPr>
    </w:p>
    <w:p>
      <w:pPr>
        <w:ind w:left="1160" w:right="2559"/>
        <w:spacing w:after="0" w:line="247"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85"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186"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85"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91" w:lineRule="exact"/>
        <w:rPr>
          <w:sz w:val="20"/>
          <w:szCs w:val="20"/>
          <w:color w:val="auto"/>
        </w:rPr>
      </w:pPr>
    </w:p>
    <w:p>
      <w:pPr>
        <w:jc w:val="both"/>
        <w:ind w:left="580" w:right="2559"/>
        <w:spacing w:after="0" w:line="247"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86"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86"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40" w:name="page41"/>
    <w:bookmarkEnd w:id="40"/>
    <w:p>
      <w:pPr>
        <w:ind w:right="2459"/>
        <w:spacing w:after="0" w:line="247"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Moscow, Russia and Riga, Latvia. Our Rest of World offices are located in Tokyo, Japan; Sydney, Australia; Bangalore, India; Buenos Aires, Argentina; Johannesburg, South Africa; Montreal, Canada and Singapore.</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41" w:name="page42"/>
    <w:bookmarkEnd w:id="41"/>
    <w:p>
      <w:pPr>
        <w:jc w:val="center"/>
        <w:ind w:right="2459"/>
        <w:spacing w:after="0"/>
        <w:rPr>
          <w:sz w:val="20"/>
          <w:szCs w:val="20"/>
          <w:color w:val="auto"/>
        </w:rPr>
      </w:pPr>
      <w:r>
        <w:rPr>
          <w:rFonts w:ascii="Courier New" w:cs="Courier New" w:eastAsia="Courier New" w:hAnsi="Courier New"/>
          <w:sz w:val="16"/>
          <w:szCs w:val="16"/>
          <w:color w:val="auto"/>
        </w:rPr>
        <w:t>MANAGEMENT</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7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AGE</w:t>
            </w:r>
          </w:p>
        </w:tc>
        <w:tc>
          <w:tcPr>
            <w:tcW w:w="1560" w:type="dxa"/>
            <w:vAlign w:val="bottom"/>
          </w:tcPr>
          <w:p>
            <w:pPr>
              <w:spacing w:after="0"/>
              <w:rPr>
                <w:sz w:val="15"/>
                <w:szCs w:val="15"/>
                <w:color w:val="auto"/>
              </w:rPr>
            </w:pP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47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John Climax(1)(2)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50</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Chairman of the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Board</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Director</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Financial</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and Secretary</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68</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Lee Jones(2)(3)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Chief Medical Officer, Director ICON</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Clinical Research (UK) Limited</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Taaffe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54</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and President,</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ICON Clinical Research - U.S.</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Thomas Frey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Operating</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Europe</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49</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President of ICON Laboratories</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Operating</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ICON Clinical</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Research - U.S.</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Josephine Coyle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46</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Vice President for Corporate Quality Assurance</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91" w:lineRule="exact"/>
        <w:rPr>
          <w:sz w:val="20"/>
          <w:szCs w:val="20"/>
          <w:color w:val="auto"/>
        </w:rPr>
      </w:pPr>
    </w:p>
    <w:p>
      <w:pPr>
        <w:ind w:left="1" w:right="2559" w:firstLine="581"/>
        <w:spacing w:after="0" w:line="246"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91"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191" w:lineRule="exact"/>
        <w:rPr>
          <w:sz w:val="20"/>
          <w:szCs w:val="20"/>
          <w:color w:val="auto"/>
        </w:rPr>
      </w:pPr>
    </w:p>
    <w:p>
      <w:pPr>
        <w:ind w:left="1" w:right="2659" w:firstLine="581"/>
        <w:spacing w:after="0" w:line="247"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85"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490" w:right="1440" w:bottom="1440" w:gutter="0" w:footer="0" w:header="0"/>
        </w:sectPr>
      </w:pPr>
    </w:p>
    <w:bookmarkStart w:id="42" w:name="page43"/>
    <w:bookmarkEnd w:id="42"/>
    <w:p>
      <w:pPr>
        <w:ind w:right="2459" w:firstLine="581"/>
        <w:spacing w:after="0" w:line="247"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37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191"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EMPLOYEES</w:t>
      </w:r>
    </w:p>
    <w:p>
      <w:pPr>
        <w:spacing w:after="0" w:line="378"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As of May 31, 2003, we had 2,280 employees worldwide. There were 2,051 employees working in our clinical research segment and 229 employees in our central laboratory segment. Globally, there were 1,369 employees in the United States, 823 employees in Europe (of which 291 employees are in Ireland) and 88 employees in the Rest of the World.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44" w:name="page45"/>
    <w:bookmarkEnd w:id="44"/>
    <w:p>
      <w:pPr>
        <w:ind w:left="2901"/>
        <w:spacing w:after="0"/>
        <w:rPr>
          <w:sz w:val="20"/>
          <w:szCs w:val="20"/>
          <w:color w:val="auto"/>
        </w:rPr>
      </w:pPr>
      <w:r>
        <w:rPr>
          <w:rFonts w:ascii="Courier New" w:cs="Courier New" w:eastAsia="Courier New" w:hAnsi="Courier New"/>
          <w:sz w:val="16"/>
          <w:szCs w:val="16"/>
          <w:color w:val="auto"/>
        </w:rPr>
        <w:t>SELLING SHAREHOLDERS</w:t>
      </w:r>
    </w:p>
    <w:p>
      <w:pPr>
        <w:spacing w:after="0" w:line="378" w:lineRule="exact"/>
        <w:rPr>
          <w:sz w:val="20"/>
          <w:szCs w:val="20"/>
          <w:color w:val="auto"/>
        </w:rPr>
      </w:pPr>
    </w:p>
    <w:p>
      <w:pPr>
        <w:ind w:left="1" w:right="3680" w:firstLine="581"/>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June 30, 2003 by the selling shareholders in this offering.</w:t>
      </w:r>
    </w:p>
    <w:p>
      <w:pPr>
        <w:sectPr>
          <w:pgSz w:w="11900" w:h="16838" w:orient="portrait"/>
          <w:cols w:equalWidth="0" w:num="1">
            <w:col w:w="11241"/>
          </w:cols>
          <w:pgMar w:left="239" w:top="67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1" w:right="240"/>
        <w:spacing w:after="0" w:line="247" w:lineRule="auto"/>
        <w:rPr>
          <w:sz w:val="20"/>
          <w:szCs w:val="20"/>
          <w:color w:val="auto"/>
        </w:rPr>
      </w:pPr>
      <w:r>
        <w:rPr>
          <w:rFonts w:ascii="Courier New" w:cs="Courier New" w:eastAsia="Courier New" w:hAnsi="Courier New"/>
          <w:sz w:val="16"/>
          <w:szCs w:val="16"/>
          <w:color w:val="auto"/>
        </w:rPr>
        <w:t>NAME AND ADDRESS OF SELLING SHAREHOLDER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OWNED</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PRIOR TO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BEING</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SOLD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OWNED AFTER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(ASSUMING NO</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EXERCISE OF THE</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UNDERWRITERS'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 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BENEFICIALLY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OWNED AFTER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OFFERING(1) (ASSUMING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EXERCISE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OPTION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5">
            <w:col w:w="2381" w:space="720"/>
            <w:col w:w="1840" w:space="480"/>
            <w:col w:w="1260" w:space="200"/>
            <w:col w:w="1840" w:space="380"/>
            <w:col w:w="214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Dr. Ronan Lambe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2,408,720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1,183,720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w:t>
      </w:r>
    </w:p>
    <w:p>
      <w:pPr>
        <w:spacing w:after="0" w:line="16" w:lineRule="exact"/>
        <w:rPr>
          <w:sz w:val="20"/>
          <w:szCs w:val="20"/>
          <w:color w:val="auto"/>
        </w:rPr>
      </w:pPr>
    </w:p>
    <w:p>
      <w:pPr>
        <w:sectPr>
          <w:pgSz w:w="11900" w:h="16838" w:orient="portrait"/>
          <w:cols w:equalWidth="0" w:num="8">
            <w:col w:w="2801" w:space="300"/>
            <w:col w:w="880" w:space="580"/>
            <w:col w:w="480" w:space="580"/>
            <w:col w:w="880" w:space="380"/>
            <w:col w:w="880" w:space="580"/>
            <w:col w:w="480" w:space="380"/>
            <w:col w:w="880" w:space="680"/>
            <w:col w:w="48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ectPr>
          <w:pgSz w:w="11900" w:h="16838" w:orient="portrait"/>
          <w:cols w:equalWidth="0" w:num="1">
            <w:col w:w="11241"/>
          </w:cols>
          <w:pgMar w:left="239" w:top="676" w:right="419" w:bottom="1440" w:gutter="0" w:footer="0" w:header="0"/>
          <w:type w:val="continuous"/>
        </w:sectPr>
      </w:pP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Dr. John Climax(2)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1,914,120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14.3%</w:t>
      </w:r>
    </w:p>
    <w:p>
      <w:pPr>
        <w:spacing w:after="0" w:line="5" w:lineRule="exact"/>
        <w:rPr>
          <w:sz w:val="20"/>
          <w:szCs w:val="20"/>
          <w:color w:val="auto"/>
        </w:rPr>
      </w:pPr>
    </w:p>
    <w:p>
      <w:pPr>
        <w:sectPr>
          <w:pgSz w:w="11900" w:h="16838" w:orient="portrait"/>
          <w:cols w:equalWidth="0" w:num="8">
            <w:col w:w="2801" w:space="300"/>
            <w:col w:w="880" w:space="580"/>
            <w:col w:w="480" w:space="680"/>
            <w:col w:w="680" w:space="480"/>
            <w:col w:w="880" w:space="580"/>
            <w:col w:w="480" w:space="380"/>
            <w:col w:w="880" w:space="580"/>
            <w:col w:w="58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ectPr>
          <w:pgSz w:w="11900" w:h="16838" w:orient="portrait"/>
          <w:cols w:equalWidth="0" w:num="1">
            <w:col w:w="11241"/>
          </w:cols>
          <w:pgMar w:left="239" w:top="676" w:right="419" w:bottom="1440" w:gutter="0" w:footer="0" w:header="0"/>
          <w:type w:val="continuous"/>
        </w:sectPr>
      </w:pP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480" w:hanging="481"/>
        <w:spacing w:after="0" w:line="247"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85" w:lineRule="exact"/>
        <w:rPr>
          <w:rFonts w:ascii="Courier New" w:cs="Courier New" w:eastAsia="Courier New" w:hAnsi="Courier New"/>
          <w:sz w:val="16"/>
          <w:szCs w:val="16"/>
          <w:color w:val="auto"/>
        </w:rPr>
      </w:pPr>
    </w:p>
    <w:p>
      <w:pPr>
        <w:ind w:left="481" w:right="3880" w:hanging="481"/>
        <w:spacing w:after="0" w:line="247"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241"/>
          </w:cols>
          <w:pgMar w:left="239" w:top="676" w:right="419" w:bottom="1440" w:gutter="0" w:footer="0" w:header="0"/>
          <w:type w:val="continuous"/>
        </w:sectPr>
      </w:pPr>
    </w:p>
    <w:bookmarkStart w:id="45" w:name="page46"/>
    <w:bookmarkEnd w:id="45"/>
    <w:p>
      <w:pPr>
        <w:ind w:left="2520"/>
        <w:spacing w:after="0"/>
        <w:rPr>
          <w:sz w:val="20"/>
          <w:szCs w:val="20"/>
          <w:color w:val="auto"/>
        </w:rPr>
      </w:pPr>
      <w:r>
        <w:rPr>
          <w:rFonts w:ascii="Courier New" w:cs="Courier New" w:eastAsia="Courier New" w:hAnsi="Courier New"/>
          <w:sz w:val="16"/>
          <w:szCs w:val="16"/>
          <w:color w:val="auto"/>
        </w:rPr>
        <w:t>U.S.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19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197"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185" w:lineRule="exact"/>
        <w:rPr>
          <w:sz w:val="20"/>
          <w:szCs w:val="20"/>
          <w:color w:val="auto"/>
        </w:rPr>
      </w:pPr>
    </w:p>
    <w:p>
      <w:pPr>
        <w:ind w:left="1160" w:right="2559" w:hanging="579"/>
        <w:spacing w:after="0" w:line="247" w:lineRule="auto"/>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185" w:lineRule="exact"/>
        <w:rPr>
          <w:rFonts w:ascii="Courier New" w:cs="Courier New" w:eastAsia="Courier New" w:hAnsi="Courier New"/>
          <w:sz w:val="16"/>
          <w:szCs w:val="16"/>
          <w:color w:val="auto"/>
        </w:rPr>
      </w:pPr>
    </w:p>
    <w:p>
      <w:pPr>
        <w:ind w:left="1160" w:right="3039" w:hanging="579"/>
        <w:spacing w:after="0" w:line="248" w:lineRule="auto"/>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184"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2003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47" w:name="page48"/>
    <w:bookmarkEnd w:id="47"/>
    <w:p>
      <w:pPr>
        <w:ind w:right="2659"/>
        <w:spacing w:after="0" w:line="247"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186" w:lineRule="exact"/>
        <w:rPr>
          <w:sz w:val="20"/>
          <w:szCs w:val="20"/>
          <w:color w:val="auto"/>
        </w:rPr>
      </w:pPr>
    </w:p>
    <w:p>
      <w:pPr>
        <w:ind w:left="1160" w:right="2759" w:hanging="579"/>
        <w:spacing w:after="0" w:line="248"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spacing w:after="0" w:line="184" w:lineRule="exact"/>
        <w:rPr>
          <w:rFonts w:ascii="Courier New" w:cs="Courier New" w:eastAsia="Courier New" w:hAnsi="Courier New"/>
          <w:sz w:val="16"/>
          <w:szCs w:val="16"/>
          <w:color w:val="auto"/>
        </w:rPr>
      </w:pPr>
    </w:p>
    <w:p>
      <w:pPr>
        <w:ind w:left="1160" w:right="2759" w:hanging="579"/>
        <w:spacing w:after="0" w:line="24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18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1160" w:hanging="579"/>
        <w:spacing w:after="0"/>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1"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184" w:lineRule="exact"/>
        <w:rPr>
          <w:rFonts w:ascii="Courier New" w:cs="Courier New" w:eastAsia="Courier New" w:hAnsi="Courier New"/>
          <w:sz w:val="16"/>
          <w:szCs w:val="16"/>
          <w:color w:val="auto"/>
        </w:rPr>
      </w:pPr>
    </w:p>
    <w:p>
      <w:pPr>
        <w:ind w:left="1160" w:right="2459" w:hanging="579"/>
        <w:spacing w:after="0" w:line="247"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49" w:name="page50"/>
    <w:bookmarkEnd w:id="49"/>
    <w:p>
      <w:pPr>
        <w:ind w:left="1160" w:right="2459" w:hanging="579"/>
        <w:spacing w:after="0" w:line="24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86" w:lineRule="exact"/>
        <w:rPr>
          <w:sz w:val="20"/>
          <w:szCs w:val="20"/>
          <w:color w:val="auto"/>
        </w:rPr>
      </w:pPr>
    </w:p>
    <w:p>
      <w:pPr>
        <w:ind w:left="1160" w:right="2759" w:hanging="579"/>
        <w:spacing w:after="0" w:line="247"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185"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184" w:lineRule="exact"/>
        <w:rPr>
          <w:rFonts w:ascii="Courier New" w:cs="Courier New" w:eastAsia="Courier New" w:hAnsi="Courier New"/>
          <w:sz w:val="16"/>
          <w:szCs w:val="16"/>
          <w:color w:val="auto"/>
        </w:rPr>
      </w:pPr>
    </w:p>
    <w:p>
      <w:pPr>
        <w:ind w:left="1160" w:right="2659" w:hanging="579"/>
        <w:spacing w:after="0" w:line="247"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186" w:lineRule="exact"/>
        <w:rPr>
          <w:sz w:val="20"/>
          <w:szCs w:val="20"/>
          <w:color w:val="auto"/>
        </w:rPr>
      </w:pPr>
    </w:p>
    <w:p>
      <w:pPr>
        <w:ind w:left="1160" w:hanging="579"/>
        <w:spacing w:after="0"/>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1"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184" w:lineRule="exact"/>
        <w:rPr>
          <w:rFonts w:ascii="Courier New" w:cs="Courier New" w:eastAsia="Courier New" w:hAnsi="Courier New"/>
          <w:sz w:val="16"/>
          <w:szCs w:val="16"/>
          <w:color w:val="auto"/>
        </w:rPr>
      </w:pPr>
    </w:p>
    <w:p>
      <w:pPr>
        <w:ind w:left="1160" w:right="24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85"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185"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50" w:name="page51"/>
    <w:bookmarkEnd w:id="50"/>
    <w:p>
      <w:pPr>
        <w:ind w:right="2559"/>
        <w:spacing w:after="0" w:line="248"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193" w:lineRule="exact"/>
        <w:rPr>
          <w:sz w:val="20"/>
          <w:szCs w:val="20"/>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1160" w:right="3539" w:hanging="579"/>
        <w:spacing w:after="0" w:line="248"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pacing w:after="0" w:line="184" w:lineRule="exact"/>
        <w:rPr>
          <w:rFonts w:ascii="Courier New" w:cs="Courier New" w:eastAsia="Courier New" w:hAnsi="Courier New"/>
          <w:sz w:val="16"/>
          <w:szCs w:val="16"/>
          <w:color w:val="auto"/>
        </w:rPr>
      </w:pPr>
    </w:p>
    <w:p>
      <w:pPr>
        <w:ind w:left="1160" w:right="3039" w:hanging="579"/>
        <w:spacing w:after="0" w:line="248"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(euro)500,000.</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6" w:right="1440" w:bottom="1440" w:gutter="0" w:footer="0" w:header="0"/>
        </w:sectPr>
      </w:pPr>
    </w:p>
    <w:bookmarkStart w:id="51" w:name="page52"/>
    <w:bookmarkEnd w:id="51"/>
    <w:p>
      <w:pPr>
        <w:ind w:right="2459"/>
        <w:spacing w:after="0" w:line="247"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(euro)12.70 applies.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6" w:right="1440" w:bottom="1440" w:gutter="0" w:footer="0" w:header="0"/>
        </w:sectPr>
      </w:pPr>
    </w:p>
    <w:bookmarkStart w:id="52" w:name="page53"/>
    <w:bookmarkEnd w:id="52"/>
    <w:p>
      <w:pPr>
        <w:ind w:left="3300"/>
        <w:spacing w:after="0"/>
        <w:rPr>
          <w:sz w:val="20"/>
          <w:szCs w:val="20"/>
          <w:color w:val="auto"/>
        </w:rPr>
      </w:pPr>
      <w:r>
        <w:rPr>
          <w:rFonts w:ascii="Courier New" w:cs="Courier New" w:eastAsia="Courier New" w:hAnsi="Courier New"/>
          <w:sz w:val="16"/>
          <w:szCs w:val="16"/>
          <w:color w:val="auto"/>
        </w:rPr>
        <w:t>UNDERWRITING</w:t>
      </w:r>
    </w:p>
    <w:p>
      <w:pPr>
        <w:spacing w:after="0" w:line="191"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186" w:lineRule="exact"/>
        <w:rPr>
          <w:sz w:val="20"/>
          <w:szCs w:val="20"/>
          <w:color w:val="auto"/>
        </w:rPr>
      </w:pPr>
    </w:p>
    <w:p>
      <w:pPr>
        <w:ind w:left="3300"/>
        <w:spacing w:after="0"/>
        <w:tabs>
          <w:tab w:leader="none" w:pos="6080" w:val="left"/>
        </w:tabs>
        <w:rPr>
          <w:sz w:val="20"/>
          <w:szCs w:val="20"/>
          <w:color w:val="auto"/>
        </w:rPr>
      </w:pPr>
      <w:r>
        <w:rPr>
          <w:rFonts w:ascii="Courier New" w:cs="Courier New" w:eastAsia="Courier New" w:hAnsi="Courier New"/>
          <w:sz w:val="16"/>
          <w:szCs w:val="16"/>
          <w:color w:val="auto"/>
        </w:rPr>
        <w:t>Underwriters</w:t>
      </w:r>
      <w:r>
        <w:rPr>
          <w:sz w:val="20"/>
          <w:szCs w:val="20"/>
          <w:color w:val="auto"/>
        </w:rPr>
        <w:tab/>
      </w:r>
      <w:r>
        <w:rPr>
          <w:rFonts w:ascii="Courier New" w:cs="Courier New" w:eastAsia="Courier New" w:hAnsi="Courier New"/>
          <w:sz w:val="16"/>
          <w:szCs w:val="16"/>
          <w:color w:val="auto"/>
        </w:rPr>
        <w:t>Number of ADSs</w:t>
      </w:r>
    </w:p>
    <w:p>
      <w:pPr>
        <w:spacing w:after="0" w:line="5" w:lineRule="exact"/>
        <w:rPr>
          <w:sz w:val="20"/>
          <w:szCs w:val="20"/>
          <w:color w:val="auto"/>
        </w:rPr>
      </w:pPr>
    </w:p>
    <w:p>
      <w:pPr>
        <w:ind w:left="3300"/>
        <w:spacing w:after="0"/>
        <w:tabs>
          <w:tab w:leader="none" w:pos="6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Goldman, Sachs &amp; Co.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Blair &amp; Company, L.L.C.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Bear, Stearns &amp; Co. Inc.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J&amp;E Davy (trading as Davy Stockbrokers) ..............</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spacing w:after="0"/>
        <w:tabs>
          <w:tab w:leader="none" w:pos="628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3,000,000</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380" w:firstLine="581"/>
        <w:spacing w:after="0" w:line="247"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186" w:lineRule="exact"/>
        <w:rPr>
          <w:sz w:val="20"/>
          <w:szCs w:val="20"/>
          <w:color w:val="auto"/>
        </w:rPr>
      </w:pPr>
    </w:p>
    <w:p>
      <w:pPr>
        <w:ind w:right="280" w:firstLine="581"/>
        <w:spacing w:after="0" w:line="247"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185"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104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5" w:lineRule="exact"/>
        <w:rPr>
          <w:sz w:val="20"/>
          <w:szCs w:val="20"/>
          <w:color w:val="auto"/>
        </w:rPr>
      </w:pPr>
    </w:p>
    <w:p>
      <w:pPr>
        <w:ind w:left="960"/>
        <w:spacing w:after="0"/>
        <w:tabs>
          <w:tab w:leader="none" w:pos="6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tabs>
          <w:tab w:leader="none" w:pos="686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tabs>
          <w:tab w:leader="none" w:pos="686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right="180" w:firstLine="581"/>
        <w:spacing w:after="0" w:line="246" w:lineRule="auto"/>
        <w:rPr>
          <w:sz w:val="20"/>
          <w:szCs w:val="20"/>
          <w:color w:val="auto"/>
        </w:rPr>
      </w:pPr>
      <w:r>
        <w:rPr>
          <w:rFonts w:ascii="Courier New" w:cs="Courier New" w:eastAsia="Courier New" w:hAnsi="Courier New"/>
          <w:sz w:val="16"/>
          <w:szCs w:val="16"/>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 a discount of up to $ per ADS from the initial price to public. If all the ADSs are not sold at the initial price to public, the underwriters may change this offering price and the other selling terms.</w:t>
      </w:r>
    </w:p>
    <w:p>
      <w:pPr>
        <w:spacing w:after="0" w:line="191" w:lineRule="exact"/>
        <w:rPr>
          <w:sz w:val="20"/>
          <w:szCs w:val="20"/>
          <w:color w:val="auto"/>
        </w:rPr>
      </w:pPr>
    </w:p>
    <w:p>
      <w:pPr>
        <w:ind w:right="480" w:firstLine="581"/>
        <w:spacing w:after="0" w:line="248"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184" w:lineRule="exact"/>
        <w:rPr>
          <w:sz w:val="20"/>
          <w:szCs w:val="20"/>
          <w:color w:val="auto"/>
        </w:rPr>
      </w:pPr>
    </w:p>
    <w:p>
      <w:pPr>
        <w:ind w:right="180" w:firstLine="581"/>
        <w:spacing w:after="0" w:line="246" w:lineRule="auto"/>
        <w:rPr>
          <w:sz w:val="20"/>
          <w:szCs w:val="20"/>
          <w:color w:val="auto"/>
        </w:rPr>
      </w:pPr>
      <w:r>
        <w:rPr>
          <w:rFonts w:ascii="Courier New" w:cs="Courier New" w:eastAsia="Courier New" w:hAnsi="Courier New"/>
          <w:sz w:val="16"/>
          <w:szCs w:val="16"/>
          <w:color w:val="auto"/>
        </w:rPr>
        <w:t>We, and our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193"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6"/>
          <w:szCs w:val="16"/>
          <w:color w:val="auto"/>
        </w:rPr>
        <w:t>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940" w:space="480"/>
            <w:col w:w="1799"/>
          </w:cols>
          <w:pgMar w:left="240" w:top="676" w:right="1440" w:bottom="1440" w:gutter="0" w:footer="0" w:header="0"/>
        </w:sectPr>
      </w:pPr>
    </w:p>
    <w:bookmarkStart w:id="53" w:name="page54"/>
    <w:bookmarkEnd w:id="53"/>
    <w:p>
      <w:pPr>
        <w:ind w:right="2459"/>
        <w:spacing w:after="0" w:line="246"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1" w:lineRule="exact"/>
        <w:rPr>
          <w:sz w:val="20"/>
          <w:szCs w:val="20"/>
          <w:color w:val="auto"/>
        </w:rPr>
      </w:pPr>
    </w:p>
    <w:p>
      <w:pPr>
        <w:ind w:left="1160" w:right="2459" w:hanging="579"/>
        <w:spacing w:after="0" w:line="247" w:lineRule="auto"/>
        <w:tabs>
          <w:tab w:leader="none" w:pos="11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185" w:lineRule="exact"/>
        <w:rPr>
          <w:rFonts w:ascii="Courier New" w:cs="Courier New" w:eastAsia="Courier New" w:hAnsi="Courier New"/>
          <w:sz w:val="16"/>
          <w:szCs w:val="16"/>
          <w:color w:val="auto"/>
        </w:rPr>
      </w:pPr>
    </w:p>
    <w:p>
      <w:pPr>
        <w:ind w:left="1160" w:right="2659" w:hanging="579"/>
        <w:spacing w:after="0" w:line="247" w:lineRule="auto"/>
        <w:tabs>
          <w:tab w:leader="none" w:pos="11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6" w:right="1440" w:bottom="1440" w:gutter="0" w:footer="0" w:header="0"/>
        </w:sectPr>
      </w:pPr>
    </w:p>
    <w:bookmarkStart w:id="54" w:name="page55"/>
    <w:bookmarkEnd w:id="54"/>
    <w:p>
      <w:pPr>
        <w:ind w:right="3239"/>
        <w:spacing w:after="0" w:line="248"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185"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186" w:lineRule="exact"/>
        <w:rPr>
          <w:sz w:val="20"/>
          <w:szCs w:val="20"/>
          <w:color w:val="auto"/>
        </w:rPr>
      </w:pPr>
    </w:p>
    <w:p>
      <w:pPr>
        <w:ind w:right="3039" w:firstLine="581"/>
        <w:spacing w:after="0" w:line="247"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55" w:name="page56"/>
    <w:bookmarkEnd w:id="55"/>
    <w:p>
      <w:pPr>
        <w:ind w:right="2459" w:firstLine="581"/>
        <w:spacing w:after="0" w:line="247"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18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9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consolidated financial statements of ICON plc as of May 31, 2002 and 2001 and for each of the years in the three-year period ended May 31, 2002, have been incorporated by reference herein in reliance upon the report of KPMG, independent chartered accountants, incorporated by reference herein, and upon the authority of said firm as experts in accounting and auditing.</w:t>
      </w:r>
    </w:p>
    <w:p>
      <w:pPr>
        <w:spacing w:after="0" w:line="185" w:lineRule="exact"/>
        <w:rPr>
          <w:sz w:val="20"/>
          <w:szCs w:val="20"/>
          <w:color w:val="auto"/>
        </w:rPr>
      </w:pPr>
    </w:p>
    <w:p>
      <w:pPr>
        <w:jc w:val="both"/>
        <w:ind w:right="2959" w:firstLine="581"/>
        <w:spacing w:after="0" w:line="247"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6" w:right="1440" w:bottom="1440" w:gutter="0" w:footer="0" w:header="0"/>
        </w:sectPr>
      </w:pPr>
    </w:p>
    <w:bookmarkStart w:id="56" w:name="page57"/>
    <w:bookmarkEnd w:id="56"/>
    <w:p>
      <w:pPr>
        <w:ind w:left="214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Nasdaq National Market fees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Legal fees and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475,000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Accounting fees and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Printing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Transfer and Registrar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Miscellaneous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Subtotal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1,557,055</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 duty (Company only)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431,550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1,988,605</w:t>
            </w:r>
          </w:p>
        </w:tc>
      </w:tr>
    </w:tbl>
    <w:p>
      <w:pPr>
        <w:spacing w:after="0" w:line="19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199"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186" w:lineRule="exact"/>
        <w:rPr>
          <w:sz w:val="20"/>
          <w:szCs w:val="20"/>
          <w:color w:val="auto"/>
        </w:rPr>
      </w:pPr>
    </w:p>
    <w:p>
      <w:pPr>
        <w:ind w:right="3239" w:firstLine="581"/>
        <w:spacing w:after="0" w:line="248"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185" w:lineRule="exact"/>
        <w:rPr>
          <w:sz w:val="20"/>
          <w:szCs w:val="20"/>
          <w:color w:val="auto"/>
        </w:rPr>
      </w:pPr>
    </w:p>
    <w:p>
      <w:pPr>
        <w:jc w:val="both"/>
        <w:ind w:right="2459" w:firstLine="581"/>
        <w:spacing w:after="0" w:line="246"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2"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18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440" w:gutter="0" w:footer="0" w:header="0"/>
        </w:sectPr>
      </w:pPr>
    </w:p>
    <w:bookmarkStart w:id="58" w:name="page59"/>
    <w:bookmarkEnd w:id="58"/>
    <w:p>
      <w:pPr>
        <w:jc w:val="center"/>
        <w:ind w:right="235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185" w:lineRule="exact"/>
        <w:rPr>
          <w:sz w:val="20"/>
          <w:szCs w:val="20"/>
          <w:color w:val="auto"/>
        </w:rPr>
      </w:pPr>
    </w:p>
    <w:p>
      <w:pPr>
        <w:ind w:left="1160" w:right="28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spacing w:after="0" w:line="184"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spacing w:after="0" w:line="370"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July 21, 2003.</w:t>
      </w:r>
    </w:p>
    <w:p>
      <w:pPr>
        <w:spacing w:after="0" w:line="370"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spacing w:after="0" w:line="184" w:lineRule="exact"/>
        <w:rPr>
          <w:rFonts w:ascii="Courier New" w:cs="Courier New" w:eastAsia="Courier New" w:hAnsi="Courier New"/>
          <w:sz w:val="16"/>
          <w:szCs w:val="16"/>
          <w:color w:val="auto"/>
        </w:rPr>
      </w:pPr>
    </w:p>
    <w:p>
      <w:pPr>
        <w:ind w:left="1160" w:right="27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9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spacing w:after="0" w:line="184" w:lineRule="exact"/>
        <w:rPr>
          <w:rFonts w:ascii="Courier New" w:cs="Courier New" w:eastAsia="Courier New" w:hAnsi="Courier New"/>
          <w:sz w:val="16"/>
          <w:szCs w:val="16"/>
          <w:color w:val="auto"/>
        </w:rPr>
      </w:pPr>
    </w:p>
    <w:p>
      <w:pPr>
        <w:ind w:left="1160" w:right="25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372"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1-291-2000.</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jc w:val="right"/>
              <w:ind w:right="249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r>
      <w:tr>
        <w:trPr>
          <w:trHeight w:val="559"/>
        </w:trPr>
        <w:tc>
          <w:tcPr>
            <w:tcW w:w="7320" w:type="dxa"/>
            <w:vAlign w:val="bottom"/>
          </w:tcPr>
          <w:p>
            <w:pPr>
              <w:jc w:val="right"/>
              <w:ind w:right="2499"/>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r>
      <w:tr>
        <w:trPr>
          <w:trHeight w:val="559"/>
        </w:trPr>
        <w:tc>
          <w:tcPr>
            <w:tcW w:w="7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7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Recent Developments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[LOGO] ICON</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6" w:right="1440" w:bottom="0" w:gutter="0" w:footer="0" w:header="0"/>
        </w:sectPr>
      </w:pPr>
    </w:p>
    <w:bookmarkStart w:id="60" w:name="page61"/>
    <w:bookmarkEnd w:id="60"/>
    <w:p>
      <w:pPr>
        <w:ind w:left="2900"/>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73" w:right="1440" w:bottom="1440" w:gutter="0" w:footer="0" w:header="0"/>
        </w:sectPr>
      </w:pPr>
    </w:p>
    <w:bookmarkStart w:id="61" w:name="page62"/>
    <w:bookmarkEnd w:id="61"/>
    <w:p>
      <w:pPr>
        <w:jc w:val="center"/>
        <w:ind w:right="2359"/>
        <w:spacing w:after="0"/>
        <w:rPr>
          <w:sz w:val="20"/>
          <w:szCs w:val="20"/>
          <w:color w:val="auto"/>
        </w:rPr>
      </w:pPr>
      <w:r>
        <w:rPr>
          <w:rFonts w:ascii="Courier New" w:cs="Courier New" w:eastAsia="Courier New" w:hAnsi="Courier New"/>
          <w:sz w:val="16"/>
          <w:szCs w:val="16"/>
          <w:color w:val="auto"/>
        </w:rPr>
        <w:t>PART 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8.INDEMNIFICATION OF DIRECTORS AND OFFICERS.</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Paragraph 139 of the Articles of Association of ICON provides as follows:</w:t>
      </w:r>
    </w:p>
    <w:p>
      <w:pPr>
        <w:spacing w:after="0" w:line="191" w:lineRule="exact"/>
        <w:rPr>
          <w:sz w:val="20"/>
          <w:szCs w:val="20"/>
          <w:color w:val="auto"/>
        </w:rPr>
      </w:pPr>
    </w:p>
    <w:p>
      <w:pPr>
        <w:ind w:left="1741" w:right="2459" w:firstLine="581"/>
        <w:spacing w:after="0" w:line="246" w:lineRule="auto"/>
        <w:rPr>
          <w:sz w:val="20"/>
          <w:szCs w:val="20"/>
          <w:color w:val="auto"/>
        </w:rPr>
      </w:pPr>
      <w:r>
        <w:rPr>
          <w:rFonts w:ascii="Courier New" w:cs="Courier New" w:eastAsia="Courier New" w:hAnsi="Courier New"/>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5" w:lineRule="exact"/>
        <w:rPr>
          <w:sz w:val="20"/>
          <w:szCs w:val="20"/>
          <w:color w:val="auto"/>
        </w:rPr>
      </w:pPr>
    </w:p>
    <w:p>
      <w:pPr>
        <w:ind w:left="1741" w:right="2459" w:firstLine="581"/>
        <w:spacing w:after="0" w:line="247" w:lineRule="auto"/>
        <w:rPr>
          <w:sz w:val="20"/>
          <w:szCs w:val="20"/>
          <w:color w:val="auto"/>
        </w:rPr>
      </w:pPr>
      <w:r>
        <w:rPr>
          <w:rFonts w:ascii="Courier New" w:cs="Courier New" w:eastAsia="Courier New" w:hAnsi="Courier New"/>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85"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9.EXHIBITS.</w:t>
      </w:r>
    </w:p>
    <w:p>
      <w:pPr>
        <w:spacing w:after="0" w:line="191" w:lineRule="exact"/>
        <w:rPr>
          <w:sz w:val="20"/>
          <w:szCs w:val="20"/>
          <w:color w:val="auto"/>
        </w:rPr>
      </w:pPr>
    </w:p>
    <w:p>
      <w:pPr>
        <w:ind w:left="381" w:right="2959" w:hanging="381"/>
        <w:spacing w:after="0" w:line="248" w:lineRule="auto"/>
        <w:tabs>
          <w:tab w:leader="none" w:pos="3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filed herewith, or incorporated by reference herein:</w:t>
      </w:r>
    </w:p>
    <w:p>
      <w:pPr>
        <w:sectPr>
          <w:pgSz w:w="11900" w:h="16838" w:orient="portrait"/>
          <w:cols w:equalWidth="0" w:num="1">
            <w:col w:w="10220"/>
          </w:cols>
          <w:pgMar w:left="239" w:top="676" w:right="1440" w:bottom="1440" w:gutter="0" w:footer="0" w:header="0"/>
        </w:sectPr>
      </w:pP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Underwriting Agreement</w:t>
      </w:r>
    </w:p>
    <w:p>
      <w:pPr>
        <w:spacing w:after="0" w:line="191" w:lineRule="exact"/>
        <w:rPr>
          <w:sz w:val="20"/>
          <w:szCs w:val="20"/>
          <w:color w:val="auto"/>
        </w:rPr>
      </w:pPr>
    </w:p>
    <w:p>
      <w:pPr>
        <w:sectPr>
          <w:pgSz w:w="11900" w:h="16838" w:orient="portrait"/>
          <w:cols w:equalWidth="0" w:num="2">
            <w:col w:w="881" w:space="48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br w:type="column"/>
      </w:r>
    </w:p>
    <w:p>
      <w:pPr>
        <w:ind w:right="2559"/>
        <w:spacing w:after="0" w:line="247" w:lineRule="auto"/>
        <w:rPr>
          <w:sz w:val="20"/>
          <w:szCs w:val="20"/>
          <w:color w:val="auto"/>
        </w:rPr>
      </w:pPr>
      <w:r>
        <w:rPr>
          <w:rFonts w:ascii="Courier New" w:cs="Courier New" w:eastAsia="Courier New" w:hAnsi="Courier New"/>
          <w:sz w:val="16"/>
          <w:szCs w:val="16"/>
          <w:color w:val="auto"/>
        </w:rPr>
        <w:t>Deposit Agreement, dated as of May 20, 1998, between the Company, The Bank of New York and the holders from time to time of the Company's ADRs</w:t>
      </w:r>
    </w:p>
    <w:p>
      <w:pPr>
        <w:spacing w:after="0" w:line="186"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Ordinary Share certificate.</w:t>
      </w:r>
    </w:p>
    <w:p>
      <w:pPr>
        <w:spacing w:after="0" w:line="191"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ADR certificate (included in Exhibit 4.1).</w:t>
      </w:r>
    </w:p>
    <w:p>
      <w:pPr>
        <w:spacing w:after="0" w:line="191"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Registration Rights Agreement, dated as of December 12, 1997.</w:t>
      </w:r>
    </w:p>
    <w:p>
      <w:pPr>
        <w:spacing w:after="0" w:line="200"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spacing w:after="0" w:line="364" w:lineRule="exact"/>
        <w:rPr>
          <w:sz w:val="20"/>
          <w:szCs w:val="20"/>
          <w:color w:val="auto"/>
        </w:rPr>
      </w:pPr>
    </w:p>
    <w:p>
      <w:pPr>
        <w:ind w:left="3681"/>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0"/>
          </w:cols>
          <w:pgMar w:left="239" w:top="676" w:right="1440" w:bottom="1440" w:gutter="0" w:footer="0" w:header="0"/>
          <w:type w:val="continuous"/>
        </w:sectPr>
      </w:pPr>
    </w:p>
    <w:bookmarkStart w:id="62" w:name="page63"/>
    <w:bookmarkEnd w:id="62"/>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540" w:type="dxa"/>
            <w:vAlign w:val="bottom"/>
          </w:tcPr>
          <w:p>
            <w:pPr>
              <w:spacing w:after="0"/>
              <w:rPr>
                <w:sz w:val="15"/>
                <w:szCs w:val="15"/>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matters and the validity of the ordinary shares.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certain matters of</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U.S. 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361" w:right="2559" w:hanging="1361"/>
        <w:spacing w:after="0" w:line="247" w:lineRule="auto"/>
        <w:tabs>
          <w:tab w:leader="none" w:pos="13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6" w:lineRule="exact"/>
        <w:rPr>
          <w:sz w:val="20"/>
          <w:szCs w:val="20"/>
          <w:color w:val="auto"/>
        </w:rPr>
      </w:pPr>
    </w:p>
    <w:p>
      <w:pPr>
        <w:ind w:left="1361" w:hanging="1361"/>
        <w:spacing w:after="0"/>
        <w:tabs>
          <w:tab w:leader="none" w:pos="13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pacing w:after="0" w:line="378"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10.</w:t>
        <w:tab/>
        <w:t>UNDERTAKINGS.</w:t>
      </w:r>
    </w:p>
    <w:p>
      <w:pPr>
        <w:spacing w:after="0" w:line="191" w:lineRule="exact"/>
        <w:rPr>
          <w:sz w:val="20"/>
          <w:szCs w:val="20"/>
          <w:color w:val="auto"/>
        </w:rPr>
      </w:pPr>
    </w:p>
    <w:p>
      <w:pPr>
        <w:ind w:left="581" w:hanging="581"/>
        <w:spacing w:after="0"/>
        <w:tabs>
          <w:tab w:leader="none" w:pos="5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1161" w:right="2459" w:hanging="579"/>
        <w:spacing w:after="0" w:line="247"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1161" w:right="2459" w:hanging="579"/>
        <w:spacing w:after="0" w:line="246"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91" w:lineRule="exact"/>
        <w:rPr>
          <w:rFonts w:ascii="Courier New" w:cs="Courier New" w:eastAsia="Courier New" w:hAnsi="Courier New"/>
          <w:sz w:val="16"/>
          <w:szCs w:val="16"/>
          <w:color w:val="auto"/>
        </w:rPr>
      </w:pPr>
    </w:p>
    <w:p>
      <w:pPr>
        <w:ind w:left="1161" w:right="2459" w:hanging="579"/>
        <w:spacing w:after="0" w:line="246"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379"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862" w:right="1440" w:bottom="1440" w:gutter="0" w:footer="0" w:header="0"/>
        </w:sectPr>
      </w:pPr>
    </w:p>
    <w:bookmarkStart w:id="63" w:name="page64"/>
    <w:bookmarkEnd w:id="63"/>
    <w:p>
      <w:pPr>
        <w:ind w:left="1160" w:right="2459" w:hanging="579"/>
        <w:spacing w:after="0" w:line="247" w:lineRule="auto"/>
        <w:tabs>
          <w:tab w:leader="none" w:pos="11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76" w:right="1440" w:bottom="1440" w:gutter="0" w:footer="0" w:header="0"/>
        </w:sectPr>
      </w:pPr>
    </w:p>
    <w:bookmarkStart w:id="64" w:name="page65"/>
    <w:bookmarkEnd w:id="64"/>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378"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21st day of July, 2003.</w:t>
      </w:r>
    </w:p>
    <w:p>
      <w:pPr>
        <w:spacing w:after="0" w:line="372"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ICON PLC</w:t>
      </w:r>
    </w:p>
    <w:p>
      <w:pPr>
        <w:spacing w:after="0" w:line="37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Sean Leech</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364" w:lineRule="exact"/>
        <w:rPr>
          <w:sz w:val="20"/>
          <w:szCs w:val="20"/>
          <w:color w:val="auto"/>
        </w:rPr>
      </w:pPr>
    </w:p>
    <w:p>
      <w:pPr>
        <w:ind w:left="1" w:right="323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their respective capacities on the 21st day of July, 2003.</w:t>
      </w:r>
    </w:p>
    <w:p>
      <w:pPr>
        <w:sectPr>
          <w:pgSz w:w="11900" w:h="16838" w:orient="portrait"/>
          <w:cols w:equalWidth="0" w:num="1">
            <w:col w:w="10220"/>
          </w:cols>
          <w:pgMar w:left="239" w:top="676" w:right="1440" w:bottom="1440" w:gutter="0" w:footer="0" w:header="0"/>
        </w:sectPr>
      </w:pP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841" w:space="720"/>
            <w:col w:w="5659"/>
          </w:cols>
          <w:pgMar w:left="239" w:top="676"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Director</w:t>
      </w:r>
    </w:p>
    <w:p>
      <w:pPr>
        <w:spacing w:after="0" w:line="5" w:lineRule="exact"/>
        <w:rPr>
          <w:sz w:val="20"/>
          <w:szCs w:val="20"/>
          <w:color w:val="auto"/>
        </w:rPr>
      </w:pPr>
    </w:p>
    <w:p>
      <w:pPr>
        <w:sectPr>
          <w:pgSz w:w="11900" w:h="16838" w:orient="portrait"/>
          <w:cols w:equalWidth="0" w:num="2">
            <w:col w:w="2181" w:space="720"/>
            <w:col w:w="7319"/>
          </w:cols>
          <w:pgMar w:left="239" w:top="676" w:right="1440" w:bottom="1440" w:gutter="0" w:footer="0" w:header="0"/>
          <w:type w:val="continuous"/>
        </w:sectPr>
      </w:pPr>
    </w:p>
    <w:p>
      <w:pPr>
        <w:ind w:left="201" w:hanging="201"/>
        <w:spacing w:after="0"/>
        <w:tabs>
          <w:tab w:leader="none" w:pos="20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John Climax</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Chief Executive Officer, Director</w:t>
      </w:r>
    </w:p>
    <w:p>
      <w:pPr>
        <w:spacing w:after="0" w:line="5" w:lineRule="exact"/>
        <w:rPr>
          <w:sz w:val="20"/>
          <w:szCs w:val="20"/>
          <w:color w:val="auto"/>
        </w:rPr>
      </w:pPr>
    </w:p>
    <w:p>
      <w:pPr>
        <w:ind w:left="201" w:hanging="201"/>
        <w:spacing w:after="0"/>
        <w:tabs>
          <w:tab w:leader="none" w:pos="20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Gray</w:t>
      </w:r>
    </w:p>
    <w:p>
      <w:pPr>
        <w:spacing w:after="0" w:line="191"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/s/ Sean Leech</w:t>
      </w:r>
      <w:r>
        <w:rPr>
          <w:sz w:val="20"/>
          <w:szCs w:val="20"/>
          <w:color w:val="auto"/>
        </w:rPr>
        <w:tab/>
      </w:r>
      <w:r>
        <w:rPr>
          <w:rFonts w:ascii="Courier New" w:cs="Courier New" w:eastAsia="Courier New" w:hAnsi="Courier New"/>
          <w:sz w:val="16"/>
          <w:szCs w:val="16"/>
          <w:color w:val="auto"/>
        </w:rPr>
        <w:t>Chief Financial Officer, Chief Accounting Officer</w:t>
      </w:r>
    </w:p>
    <w:p>
      <w:pPr>
        <w:spacing w:after="0" w:line="5" w:lineRule="exact"/>
        <w:rPr>
          <w:sz w:val="20"/>
          <w:szCs w:val="20"/>
          <w:color w:val="auto"/>
        </w:rPr>
      </w:pPr>
    </w:p>
    <w:p>
      <w:pPr>
        <w:ind w:left="201" w:hanging="201"/>
        <w:spacing w:after="0"/>
        <w:tabs>
          <w:tab w:leader="none" w:pos="2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Sean Leech</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Ronan Lambe</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Lynch</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Roberts</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Lee Jones</w:t>
      </w:r>
    </w:p>
    <w:p>
      <w:pPr>
        <w:spacing w:after="0" w:line="191"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/s/ William Taaffe</w:t>
      </w:r>
      <w:r>
        <w:rPr>
          <w:sz w:val="20"/>
          <w:szCs w:val="20"/>
          <w:color w:val="auto"/>
        </w:rPr>
        <w:tab/>
      </w:r>
      <w:r>
        <w:rPr>
          <w:rFonts w:ascii="Courier New" w:cs="Courier New" w:eastAsia="Courier New" w:hAnsi="Courier New"/>
          <w:sz w:val="16"/>
          <w:szCs w:val="16"/>
          <w:color w:val="auto"/>
        </w:rPr>
        <w:t>Authorized Representative in the United States</w:t>
      </w:r>
    </w:p>
    <w:p>
      <w:pPr>
        <w:spacing w:after="0" w:line="5" w:lineRule="exact"/>
        <w:rPr>
          <w:sz w:val="20"/>
          <w:szCs w:val="20"/>
          <w:color w:val="auto"/>
        </w:r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Taaffe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Signed by Sean Leech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0"/>
          </w:cols>
          <w:pgMar w:left="239" w:top="676" w:right="1440" w:bottom="1440" w:gutter="0" w:footer="0" w:header="0"/>
          <w:type w:val="continuous"/>
        </w:sectPr>
      </w:pPr>
    </w:p>
    <w:bookmarkStart w:id="65" w:name="page66"/>
    <w:bookmarkEnd w:id="65"/>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6540" w:type="dxa"/>
            <w:vAlign w:val="bottom"/>
          </w:tcPr>
          <w:p>
            <w:pPr>
              <w:ind w:left="2080"/>
              <w:spacing w:after="0"/>
              <w:rPr>
                <w:sz w:val="20"/>
                <w:szCs w:val="20"/>
                <w:color w:val="auto"/>
              </w:rPr>
            </w:pPr>
            <w:r>
              <w:rPr>
                <w:rFonts w:ascii="Courier New" w:cs="Courier New" w:eastAsia="Courier New" w:hAnsi="Courier New"/>
                <w:sz w:val="16"/>
                <w:szCs w:val="16"/>
                <w:color w:val="auto"/>
              </w:rPr>
              <w:t>EXHIBIT INDEX</w:t>
            </w:r>
          </w:p>
        </w:tc>
      </w:tr>
      <w:tr>
        <w:trPr>
          <w:trHeight w:val="559"/>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540" w:type="dxa"/>
            <w:vAlign w:val="bottom"/>
          </w:tcPr>
          <w:p>
            <w:pPr>
              <w:spacing w:after="0"/>
              <w:rPr>
                <w:sz w:val="24"/>
                <w:szCs w:val="24"/>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 dated as of May 20, 1998, between the Company,</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The Bank of New York and the holders from time to time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Company's ADRs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Ordinary Share certificate.</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ADR certificate (included in Exhibit 4.1).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Registration Rights Agreement, dated as of December 12, 1997.</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matters.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&amp;Reindel LLP as to certain matters of</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U.S. 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&amp;Reindel LLP (included in Exhibit 8.1).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361" w:right="2559" w:hanging="1361"/>
        <w:spacing w:after="0" w:line="247" w:lineRule="auto"/>
        <w:tabs>
          <w:tab w:leader="none" w:pos="13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6"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Filed previously.</w:t>
      </w:r>
    </w:p>
    <w:p>
      <w:pPr>
        <w:sectPr>
          <w:pgSz w:w="11900" w:h="16838" w:orient="portrait"/>
          <w:cols w:equalWidth="0" w:num="1">
            <w:col w:w="10220"/>
          </w:cols>
          <w:pgMar w:left="239" w:top="676"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[LOGO] KPMG</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CHARTERED ACCOUNTANTS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5 George's Dock</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Telephone</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1 410 1000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IFSC</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Fax</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1 412 1470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Dublin 1</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Internet</w:t>
            </w:r>
          </w:p>
        </w:tc>
        <w:tc>
          <w:tcPr>
            <w:tcW w:w="1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www.kpmg.ie</w:t>
            </w:r>
          </w:p>
        </w:tc>
      </w:tr>
    </w:tbl>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Ireland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p1c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consent to the use of our report dated July 26, 2002, with respect to the consolidated balance sheets of ICON plc as of May 31, 2001 and 2002, and the related consolidated statements of operations, shareholders' equity and comprehensive income and cash flows for each of the years n the three-year period ended May 31, 2002, incorporated herein by reference and to the reference to our firm under the heading "Experts" in Amendment No. 4 to Form F-3 (Registration number 333-102893).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Member Firm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KPMG International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4"/>
    </w:lvl>
  </w:abstractNum>
  <w:abstractNum w:abstractNumId="3">
    <w:nsid w:val="436C6125"/>
    <w:multiLevelType w:val="hybridMultilevel"/>
    <w:lvl w:ilvl="0">
      <w:lvlJc w:val="left"/>
      <w:lvlText w:val="o"/>
      <w:numFmt w:val="bullet"/>
      <w:start w:val="1"/>
    </w:lvl>
  </w:abstractNum>
  <w:abstractNum w:abstractNumId="4">
    <w:nsid w:val="628C895D"/>
    <w:multiLevelType w:val="hybridMultilevel"/>
    <w:lvl w:ilvl="0">
      <w:lvlJc w:val="left"/>
      <w:lvlText w:val="o"/>
      <w:numFmt w:val="bullet"/>
      <w:start w:val="1"/>
    </w:lvl>
  </w:abstractNum>
  <w:abstractNum w:abstractNumId="5">
    <w:nsid w:val="333AB105"/>
    <w:multiLevelType w:val="hybridMultilevel"/>
    <w:lvl w:ilvl="0">
      <w:lvlJc w:val="left"/>
      <w:lvlText w:val="o"/>
      <w:numFmt w:val="bullet"/>
      <w:start w:val="1"/>
    </w:lvl>
  </w:abstractNum>
  <w:abstractNum w:abstractNumId="6">
    <w:nsid w:val="721DA317"/>
    <w:multiLevelType w:val="hybridMultilevel"/>
    <w:lvl w:ilvl="0">
      <w:lvlJc w:val="left"/>
      <w:lvlText w:val="-"/>
      <w:numFmt w:val="bullet"/>
      <w:start w:val="1"/>
    </w:lvl>
    <w:lvl w:ilvl="1">
      <w:lvlJc w:val="left"/>
      <w:lvlText w:val="(%2)"/>
      <w:numFmt w:val="decimal"/>
      <w:start w:val="1"/>
    </w:lvl>
  </w:abstractNum>
  <w:abstractNum w:abstractNumId="7">
    <w:nsid w:val="2443A858"/>
    <w:multiLevelType w:val="hybridMultilevel"/>
    <w:lvl w:ilvl="0">
      <w:lvlJc w:val="left"/>
      <w:lvlText w:val="-"/>
      <w:numFmt w:val="bullet"/>
      <w:start w:val="1"/>
    </w:lvl>
    <w:lvl w:ilvl="1">
      <w:lvlJc w:val="left"/>
      <w:lvlText w:val="(%2)"/>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o"/>
      <w:numFmt w:val="bullet"/>
      <w:start w:val="1"/>
    </w:lvl>
  </w:abstractNum>
  <w:abstractNum w:abstractNumId="11">
    <w:nsid w:val="8EDBDAB"/>
    <w:multiLevelType w:val="hybridMultilevel"/>
    <w:lvl w:ilvl="0">
      <w:lvlJc w:val="left"/>
      <w:lvlText w:val="o"/>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o"/>
      <w:numFmt w:val="bullet"/>
      <w:start w:val="1"/>
    </w:lvl>
  </w:abstractNum>
  <w:abstractNum w:abstractNumId="15">
    <w:nsid w:val="189A769B"/>
    <w:multiLevelType w:val="hybridMultilevel"/>
    <w:lvl w:ilvl="0">
      <w:lvlJc w:val="left"/>
      <w:lvlText w:val="o"/>
      <w:numFmt w:val="bullet"/>
      <w:start w:val="1"/>
    </w:lvl>
  </w:abstractNum>
  <w:abstractNum w:abstractNumId="16">
    <w:nsid w:val="54E49EB4"/>
    <w:multiLevelType w:val="hybridMultilevel"/>
    <w:lvl w:ilvl="0">
      <w:lvlJc w:val="left"/>
      <w:lvlText w:val="o"/>
      <w:numFmt w:val="bullet"/>
      <w:start w:val="1"/>
    </w:lvl>
  </w:abstractNum>
  <w:abstractNum w:abstractNumId="17">
    <w:nsid w:val="71F32454"/>
    <w:multiLevelType w:val="hybridMultilevel"/>
    <w:lvl w:ilvl="0">
      <w:lvlJc w:val="left"/>
      <w:lvlText w:val="o"/>
      <w:numFmt w:val="bullet"/>
      <w:start w:val="1"/>
    </w:lvl>
  </w:abstractNum>
  <w:abstractNum w:abstractNumId="18">
    <w:nsid w:val="2CA88611"/>
    <w:multiLevelType w:val="hybridMultilevel"/>
    <w:lvl w:ilvl="0">
      <w:lvlJc w:val="left"/>
      <w:lvlText w:val="o"/>
      <w:numFmt w:val="bullet"/>
      <w:start w:val="1"/>
    </w:lvl>
  </w:abstractNum>
  <w:abstractNum w:abstractNumId="19">
    <w:nsid w:val="836C40E"/>
    <w:multiLevelType w:val="hybridMultilevel"/>
    <w:lvl w:ilvl="0">
      <w:lvlJc w:val="left"/>
      <w:lvlText w:val="o"/>
      <w:numFmt w:val="bullet"/>
      <w:start w:val="1"/>
    </w:lvl>
  </w:abstractNum>
  <w:abstractNum w:abstractNumId="20">
    <w:nsid w:val="2901D82"/>
    <w:multiLevelType w:val="hybridMultilevel"/>
    <w:lvl w:ilvl="0">
      <w:lvlJc w:val="left"/>
      <w:lvlText w:val="o"/>
      <w:numFmt w:val="bullet"/>
      <w:start w:val="1"/>
    </w:lvl>
  </w:abstractNum>
  <w:abstractNum w:abstractNumId="21">
    <w:nsid w:val="3A95F874"/>
    <w:multiLevelType w:val="hybridMultilevel"/>
    <w:lvl w:ilvl="0">
      <w:lvlJc w:val="left"/>
      <w:lvlText w:val="o"/>
      <w:numFmt w:val="bullet"/>
      <w:start w:val="1"/>
    </w:lvl>
  </w:abstractNum>
  <w:abstractNum w:abstractNumId="22">
    <w:nsid w:val="8138641"/>
    <w:multiLevelType w:val="hybridMultilevel"/>
    <w:lvl w:ilvl="0">
      <w:lvlJc w:val="left"/>
      <w:lvlText w:val="o"/>
      <w:numFmt w:val="bullet"/>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upperLetter"/>
      <w:start w:val="1"/>
    </w:lvl>
    <w:lvl w:ilvl="1">
      <w:lvlJc w:val="left"/>
      <w:lvlText w:val="%2."/>
      <w:numFmt w:val="decimal"/>
      <w:start w:val="1"/>
    </w:lvl>
  </w:abstractNum>
  <w:abstractNum w:abstractNumId="27">
    <w:nsid w:val="22221A70"/>
    <w:multiLevelType w:val="hybridMultilevel"/>
    <w:lvl w:ilvl="0">
      <w:lvlJc w:val="left"/>
      <w:lvlText w:val="%1."/>
      <w:numFmt w:val="decimal"/>
      <w:start w:val="4"/>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2019-12-14T19:21:37Z</dcterms:created>
  <dcterms:modified xsi:type="dcterms:W3CDTF">2019-12-14T19:21:37Z</dcterms:modified>
</cp:coreProperties>
</file>