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6"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the month ended August, 2018</w:t>
      </w:r>
    </w:p>
    <w:p>
      <w:pPr>
        <w:spacing w:after="0" w:line="193" w:lineRule="exact"/>
        <w:rPr>
          <w:sz w:val="24"/>
          <w:szCs w:val="24"/>
          <w:color w:val="auto"/>
        </w:rPr>
      </w:pPr>
    </w:p>
    <w:p>
      <w:pPr>
        <w:ind w:left="508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25"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4"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ectPr>
          <w:pgSz w:w="11900" w:h="16838" w:orient="portrait"/>
          <w:cols w:equalWidth="0" w:num="1">
            <w:col w:w="10620"/>
          </w:cols>
          <w:pgMar w:left="280" w:top="67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2018 we had approximately 13,650 employees, in 93 locations in 37 countries. During the six months ended June 30, 2018, we derived approximately 35.4%, 54.5% and 10.1% of our revenue in the United States, Europe and Rest of World respectively.</w:t>
      </w:r>
    </w:p>
    <w:p>
      <w:pPr>
        <w:spacing w:after="0" w:line="2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011-353-1-291-2000.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Board composition and executive leadership transition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the Board approved the appointment of Mr. Ciaran Murray (Executive Chairman) as non-Executive Chairman of ICON plc with effect from May 12,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27, 2017, a subsidiary of the Company, ICON Clinical Research Limited acquired Mapi Development SAS ('Mapi') and its subsidiaries ("Mapi Group"). Mapi Group has over 40 years of experience supporting life-science companies as a world leading patient-centered research company in commercializing novel treatments through real-world evidence, strategic regulatory services, pharmacovigilance, market access and language services. Mapi Group is the premier provider of health research and commercialization services to life-science companies enabling market authorization, market access and market adoption of novel therapeutics. Total cash outflows on acquisition were $145.8 million. The acquisition of Mapi Group strengthens ICON’s existing commercialization and outcomes research business adding significant commercialization presence, analytics, real world evidence generation and strategic regulatory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resolution was passed at the Company’s Annual General Meeting (“AGM”) on July 22, 2016, which authorizes the Directors to purchase (buyback) up to 10% of the outstanding shares in the Company. On October 3, 2016, the Company commenced the share buyback program of up to $400 million. At December 31, 2017, a total of 3,018,414 ordinary shares were redeemed by the Company under the buyback program for a total consideration of $243.1 million. At June 30, 2018 a total of 3,482,469 ordinary shares were redeemed by the Company under this buyback program for a total consideration of $297.3 million. 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3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new revenue recognition standard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was released in 2014 and became effective for ICON plc with effect from January 1, 2018. ICON has elected to adopt the new standard (ASC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under the cumulative effect transition method. Under this transition method, the new standard is applied from January 1, 2018 without restatement of comparative period amounts. The cumulative effect of initially applying the new standard is reflected as an adjustment to opening equity at the date of application ($48.1 million). Results for the three months and six months ended June 2017 are therefore presented under the previous revenue recognition accounting principles,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See 'Note 13-Impact of change in accounting policies' for details of implications of adoption.</w:t>
      </w:r>
    </w:p>
    <w:p>
      <w:pPr>
        <w:spacing w:after="0" w:line="2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ASU 2016-16, ' Income Taxes (Topic 740): Intra-Entity Transfers of Assets Other Than Inventory' was issued in October 2016 and requires entities to recognize at the transaction date the income tax consequences of intercompany asset transfers other than inventory. The effective date of the standard for public companies is for fiscal years beginning after December 15, 2017 and interim periods within those fiscal years. The Company has adopted the modified retrospective approach, as required by the standard, in determining the cumulative impact in retained earnings at January 1, 2018. The cumulative impact recognized in retained earnings as at January 1, 2018 is nil and the new guidance has no impact on the financial statements as at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2018 AND DECEMBER 31, 2017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(Unaudited)</w:t>
            </w: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(Audited)</w:t>
            </w:r>
          </w:p>
        </w:tc>
      </w:tr>
      <w:tr>
        <w:trPr>
          <w:trHeight w:val="203"/>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gridSpan w:val="3"/>
          </w:tcPr>
          <w:p>
            <w:pPr>
              <w:ind w:left="60"/>
              <w:spacing w:after="0" w:line="196" w:lineRule="exact"/>
              <w:rPr>
                <w:sz w:val="20"/>
                <w:szCs w:val="20"/>
                <w:color w:val="auto"/>
              </w:rPr>
            </w:pPr>
            <w:r>
              <w:rPr>
                <w:rFonts w:ascii="Arial" w:cs="Arial" w:eastAsia="Arial" w:hAnsi="Arial"/>
                <w:sz w:val="18"/>
                <w:szCs w:val="18"/>
                <w:b w:val="1"/>
                <w:bCs w:val="1"/>
                <w:color w:val="auto"/>
              </w:rPr>
              <w:t>June 30, 2018</w:t>
            </w:r>
          </w:p>
        </w:tc>
        <w:tc>
          <w:tcPr>
            <w:tcW w:w="22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r>
      <w:tr>
        <w:trPr>
          <w:trHeight w:val="48"/>
        </w:trPr>
        <w:tc>
          <w:tcPr>
            <w:tcW w:w="7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7"/>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289,219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282,859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Short term investments - available for sale</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83,777</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77,589</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404,572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379,501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274,501</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268,509</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48,068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33,798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Prepayments and other current assets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24,038</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34,377</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24,475</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1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1,148,650</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1,101,018</w:t>
            </w:r>
          </w:p>
        </w:tc>
        <w:tc>
          <w:tcPr>
            <w:tcW w:w="100" w:type="dxa"/>
            <w:vAlign w:val="bottom"/>
            <w:tcBorders>
              <w:top w:val="single" w:sz="8" w:color="auto"/>
            </w:tcBorders>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7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155,020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163,051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759,137</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769,058</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15,715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15,393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income taxes receivable</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18,180</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18,396</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asset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17,420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60,374</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71,628</w:t>
            </w:r>
          </w:p>
        </w:tc>
        <w:tc>
          <w:tcPr>
            <w:tcW w:w="100" w:type="dxa"/>
            <w:vAlign w:val="bottom"/>
          </w:tcPr>
          <w:p>
            <w:pPr>
              <w:spacing w:after="0"/>
              <w:rPr>
                <w:sz w:val="21"/>
                <w:szCs w:val="21"/>
                <w:color w:val="auto"/>
              </w:rPr>
            </w:pP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2,174,496</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2,146,618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15,123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18,590</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account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326,741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298,992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192,339</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233,503</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14,049</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14,973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1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548,252</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566,058</w:t>
            </w:r>
          </w:p>
        </w:tc>
        <w:tc>
          <w:tcPr>
            <w:tcW w:w="100" w:type="dxa"/>
            <w:vAlign w:val="bottom"/>
            <w:tcBorders>
              <w:top w:val="single" w:sz="8" w:color="auto"/>
            </w:tcBorders>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bank credit lines and loan facilities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349,074</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348,888</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other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16,179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government grants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payable</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13,622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14,879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deferred tax liability</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7,713</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1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1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935,748</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955,618</w:t>
            </w:r>
          </w:p>
        </w:tc>
        <w:tc>
          <w:tcPr>
            <w:tcW w:w="100" w:type="dxa"/>
            <w:vAlign w:val="bottom"/>
            <w:tcBorders>
              <w:top w:val="single" w:sz="8" w:color="auto"/>
            </w:tcBorders>
          </w:tcPr>
          <w:p>
            <w:pPr>
              <w:spacing w:after="0"/>
              <w:rPr>
                <w:sz w:val="21"/>
                <w:szCs w:val="21"/>
                <w:color w:val="auto"/>
              </w:rPr>
            </w:pP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54,327,869 shares issued and outstanding at June 30, 2018 and</w:t>
            </w: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54,081,601 shares issued and outstanding at December 31, 2017</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4,684</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4,664</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508,195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481,337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undenominated capital</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945</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(65,522)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(38,713)</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790,446</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742,800</w:t>
            </w:r>
          </w:p>
        </w:tc>
        <w:tc>
          <w:tcPr>
            <w:tcW w:w="100" w:type="dxa"/>
            <w:vAlign w:val="bottom"/>
          </w:tcPr>
          <w:p>
            <w:pPr>
              <w:spacing w:after="0"/>
              <w:rPr>
                <w:sz w:val="21"/>
                <w:szCs w:val="21"/>
                <w:color w:val="auto"/>
              </w:rPr>
            </w:pP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1,238,748</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1,191,000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2,174,496</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2,146,618</w:t>
            </w:r>
          </w:p>
        </w:tc>
        <w:tc>
          <w:tcPr>
            <w:tcW w:w="100" w:type="dxa"/>
            <w:vAlign w:val="bottom"/>
            <w:tcBorders>
              <w:top w:val="single" w:sz="8" w:color="auto"/>
            </w:tcBorders>
          </w:tcPr>
          <w:p>
            <w:pPr>
              <w:spacing w:after="0"/>
              <w:rPr>
                <w:sz w:val="21"/>
                <w:szCs w:val="2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2018 AND JUNE 30, 2017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60" w:type="dxa"/>
            <w:vAlign w:val="bottom"/>
            <w:gridSpan w:val="8"/>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20" w:type="dxa"/>
            <w:vAlign w:val="bottom"/>
            <w:gridSpan w:val="6"/>
            <w:shd w:val="clear" w:color="auto" w:fill="CCEEFF"/>
          </w:tcPr>
          <w:p>
            <w:pPr>
              <w:jc w:val="right"/>
              <w:ind w:right="700"/>
              <w:spacing w:after="0"/>
              <w:rPr>
                <w:sz w:val="20"/>
                <w:szCs w:val="20"/>
                <w:color w:val="auto"/>
              </w:rPr>
            </w:pPr>
            <w:r>
              <w:rPr>
                <w:rFonts w:ascii="Arial" w:cs="Arial" w:eastAsia="Arial" w:hAnsi="Arial"/>
                <w:sz w:val="18"/>
                <w:szCs w:val="18"/>
                <w:b w:val="1"/>
                <w:bCs w:val="1"/>
                <w:color w:val="auto"/>
                <w:w w:val="89"/>
              </w:rPr>
              <w:t>Six Months Ended</w:t>
            </w: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240" w:type="dxa"/>
            <w:vAlign w:val="bottom"/>
          </w:tcPr>
          <w:p>
            <w:pPr>
              <w:spacing w:after="0"/>
              <w:rPr>
                <w:sz w:val="17"/>
                <w:szCs w:val="17"/>
                <w:color w:val="auto"/>
              </w:rPr>
            </w:pPr>
          </w:p>
        </w:tc>
        <w:tc>
          <w:tcPr>
            <w:tcW w:w="12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90"/>
              </w:rPr>
              <w:t>June 30, 2017</w:t>
            </w:r>
          </w:p>
        </w:tc>
        <w:tc>
          <w:tcPr>
            <w:tcW w:w="220" w:type="dxa"/>
            <w:vAlign w:val="bottom"/>
          </w:tcPr>
          <w:p>
            <w:pPr>
              <w:spacing w:after="0"/>
              <w:rPr>
                <w:sz w:val="17"/>
                <w:szCs w:val="17"/>
                <w:color w:val="auto"/>
              </w:rPr>
            </w:pP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92"/>
              </w:rPr>
              <w:t>June 30, 2018</w:t>
            </w:r>
          </w:p>
        </w:tc>
        <w:tc>
          <w:tcPr>
            <w:tcW w:w="260" w:type="dxa"/>
            <w:vAlign w:val="bottom"/>
          </w:tcPr>
          <w:p>
            <w:pPr>
              <w:spacing w:after="0"/>
              <w:rPr>
                <w:sz w:val="17"/>
                <w:szCs w:val="17"/>
                <w:color w:val="auto"/>
              </w:rPr>
            </w:pPr>
          </w:p>
        </w:tc>
        <w:tc>
          <w:tcPr>
            <w:tcW w:w="116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w w:val="88"/>
              </w:rPr>
              <w:t>June 30, 2017</w:t>
            </w:r>
          </w:p>
        </w:tc>
      </w:tr>
      <w:tr>
        <w:trPr>
          <w:trHeight w:val="48"/>
        </w:trPr>
        <w:tc>
          <w:tcPr>
            <w:tcW w:w="4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9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1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Revenue:</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641,610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591,781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1,261,735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1,169,847</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Reimbursable expenses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(160,758)</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(306,870)</w:t>
            </w:r>
          </w:p>
        </w:tc>
      </w:tr>
      <w:tr>
        <w:trPr>
          <w:trHeight w:val="34"/>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0"/>
        </w:trPr>
        <w:tc>
          <w:tcPr>
            <w:tcW w:w="49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4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431,023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862,977</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24"/>
        </w:trPr>
        <w:tc>
          <w:tcPr>
            <w:tcW w:w="4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Direct costs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520"/>
              <w:spacing w:after="0"/>
              <w:rPr>
                <w:sz w:val="20"/>
                <w:szCs w:val="20"/>
                <w:color w:val="auto"/>
              </w:rPr>
            </w:pPr>
            <w:r>
              <w:rPr>
                <w:rFonts w:ascii="Arial" w:cs="Arial" w:eastAsia="Arial" w:hAnsi="Arial"/>
                <w:sz w:val="18"/>
                <w:szCs w:val="18"/>
                <w:color w:val="auto"/>
              </w:rPr>
              <w:t>- Reimbursable expenses</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169,313</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328,066</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Other direct costs</w:t>
            </w:r>
          </w:p>
        </w:tc>
        <w:tc>
          <w:tcPr>
            <w:tcW w:w="9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279,913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250,044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551,752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500,503</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80,936</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80,833</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161,851</w:t>
            </w: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162,222</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17,046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14,395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33,944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28,843</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12,490</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7,753</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12,490</w:t>
            </w: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7,753</w:t>
            </w:r>
          </w:p>
        </w:tc>
      </w:tr>
      <w:tr>
        <w:trPr>
          <w:trHeight w:val="34"/>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559,698</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353,025</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1,088,103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699,321</w:t>
            </w:r>
          </w:p>
        </w:tc>
      </w:tr>
      <w:tr>
        <w:trPr>
          <w:trHeight w:val="34"/>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81,912</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77,998</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173,632</w:t>
            </w: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163,656</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1,840</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(3,302)</w:t>
            </w:r>
          </w:p>
        </w:tc>
        <w:tc>
          <w:tcPr>
            <w:tcW w:w="240" w:type="dxa"/>
            <w:vAlign w:val="bottom"/>
          </w:tcPr>
          <w:p>
            <w:pPr>
              <w:spacing w:after="0"/>
              <w:rPr>
                <w:sz w:val="21"/>
                <w:szCs w:val="21"/>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(3,179)</w:t>
            </w:r>
          </w:p>
        </w:tc>
        <w:tc>
          <w:tcPr>
            <w:tcW w:w="220" w:type="dxa"/>
            <w:vAlign w:val="bottom"/>
          </w:tcPr>
          <w:p>
            <w:pPr>
              <w:spacing w:after="0"/>
              <w:rPr>
                <w:sz w:val="21"/>
                <w:szCs w:val="21"/>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(7,097)</w:t>
            </w:r>
          </w:p>
        </w:tc>
        <w:tc>
          <w:tcPr>
            <w:tcW w:w="26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(6,358)</w:t>
            </w:r>
          </w:p>
        </w:tc>
      </w:tr>
      <w:tr>
        <w:trPr>
          <w:trHeight w:val="34"/>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79,627</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75,398</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168,375</w:t>
            </w: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158,432</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(7,759)</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(10,581)</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(18,409)</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(22,206)</w:t>
            </w:r>
          </w:p>
        </w:tc>
      </w:tr>
      <w:tr>
        <w:trPr>
          <w:trHeight w:val="270"/>
        </w:trPr>
        <w:tc>
          <w:tcPr>
            <w:tcW w:w="49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71,868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64,817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149,966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136,226</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Ordinary Share:</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4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Ordinary Shares outstanding:</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4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54,109,702</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53,846,544</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54,017,631</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54,109,800</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9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54,852,453</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54,530,805</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54,875,451</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54,923,019</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JUNE 30, 2017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9" w:lineRule="exact"/>
        <w:rPr>
          <w:sz w:val="20"/>
          <w:szCs w:val="20"/>
          <w:color w:val="auto"/>
        </w:rPr>
      </w:pPr>
    </w:p>
    <w:p>
      <w:pPr>
        <w:ind w:left="9300"/>
        <w:spacing w:after="0"/>
        <w:rPr>
          <w:sz w:val="20"/>
          <w:szCs w:val="20"/>
          <w:color w:val="auto"/>
        </w:rPr>
      </w:pPr>
      <w:r>
        <w:rPr>
          <w:rFonts w:ascii="Arial" w:cs="Arial" w:eastAsia="Arial" w:hAnsi="Arial"/>
          <w:sz w:val="18"/>
          <w:szCs w:val="18"/>
          <w:b w:val="1"/>
          <w:bCs w:val="1"/>
          <w:u w:val="single" w:color="auto"/>
          <w:color w:val="auto"/>
        </w:rPr>
        <w:t>Six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June 30, 2018</w:t>
            </w:r>
          </w:p>
        </w:tc>
        <w:tc>
          <w:tcPr>
            <w:tcW w:w="2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June 30, 2017</w:t>
            </w:r>
          </w:p>
        </w:tc>
      </w:tr>
      <w:tr>
        <w:trPr>
          <w:trHeight w:val="48"/>
        </w:trPr>
        <w:tc>
          <w:tcPr>
            <w:tcW w:w="73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5"/>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149,966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136,226</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on disposal of property, plant and equipment</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138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23,779</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20,387</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 of intangibles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10,165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Amortization of government grants</w:t>
            </w:r>
          </w:p>
        </w:tc>
        <w:tc>
          <w:tcPr>
            <w:tcW w:w="1380" w:type="dxa"/>
            <w:vAlign w:val="bottom"/>
          </w:tcPr>
          <w:p>
            <w:pPr>
              <w:spacing w:after="0"/>
              <w:rPr>
                <w:sz w:val="21"/>
                <w:szCs w:val="21"/>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on short term investments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Stock compensation expense</w:t>
            </w:r>
          </w:p>
        </w:tc>
        <w:tc>
          <w:tcPr>
            <w:tcW w:w="138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16,430</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18,701</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 of gain on interest rate hedge</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Amortization of financing costs</w:t>
            </w:r>
          </w:p>
        </w:tc>
        <w:tc>
          <w:tcPr>
            <w:tcW w:w="138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taxes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(Increase)/decrease in accounts receivable</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(26,685)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59,812</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Increase in unbilled revenue</w:t>
            </w:r>
          </w:p>
        </w:tc>
        <w:tc>
          <w:tcPr>
            <w:tcW w:w="1380" w:type="dxa"/>
            <w:vAlign w:val="bottom"/>
          </w:tcPr>
          <w:p>
            <w:pPr>
              <w:spacing w:after="0"/>
              <w:rPr>
                <w:sz w:val="21"/>
                <w:szCs w:val="21"/>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(51,052)</w:t>
            </w: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(55,081)</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 in other receivables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(6,234)</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Decrease/(increase) in prepayments and other current assets</w:t>
            </w:r>
          </w:p>
        </w:tc>
        <w:tc>
          <w:tcPr>
            <w:tcW w:w="138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9,777</w:t>
            </w: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(3,677)</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 in other non-current assets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Increase/(decrease) in payments on account</w:t>
            </w:r>
          </w:p>
        </w:tc>
        <w:tc>
          <w:tcPr>
            <w:tcW w:w="138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2,616</w:t>
            </w: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(11,463)</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(Decrease)/increase in other current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(38,547)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Decrease in other non-current liabilities</w:t>
            </w:r>
          </w:p>
        </w:tc>
        <w:tc>
          <w:tcPr>
            <w:tcW w:w="1380" w:type="dxa"/>
            <w:vAlign w:val="bottom"/>
          </w:tcPr>
          <w:p>
            <w:pPr>
              <w:spacing w:after="0"/>
              <w:rPr>
                <w:sz w:val="21"/>
                <w:szCs w:val="21"/>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(1,083)</w:t>
            </w: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(4,442)</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(Decrease)/increase in income taxes payable</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Decrease in accounts payable</w:t>
            </w:r>
          </w:p>
        </w:tc>
        <w:tc>
          <w:tcPr>
            <w:tcW w:w="1380" w:type="dxa"/>
            <w:vAlign w:val="bottom"/>
          </w:tcPr>
          <w:p>
            <w:pPr>
              <w:spacing w:after="0"/>
              <w:rPr>
                <w:sz w:val="21"/>
                <w:szCs w:val="21"/>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(3,241)</w:t>
            </w: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(920)</w:t>
            </w:r>
          </w:p>
        </w:tc>
      </w:tr>
      <w:tr>
        <w:trPr>
          <w:trHeight w:val="34"/>
        </w:trPr>
        <w:tc>
          <w:tcPr>
            <w:tcW w:w="7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79,671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168,418</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 of property, plant and equipment</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(17,219)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(15,179)</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Purchase of subsidiary undertakings</w:t>
            </w:r>
          </w:p>
        </w:tc>
        <w:tc>
          <w:tcPr>
            <w:tcW w:w="1380" w:type="dxa"/>
            <w:vAlign w:val="bottom"/>
          </w:tcPr>
          <w:p>
            <w:pPr>
              <w:spacing w:after="0"/>
              <w:rPr>
                <w:sz w:val="21"/>
                <w:szCs w:val="21"/>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(1,645)</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 of short term investments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(55,608)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(24,919)</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Sale of short term investments</w:t>
            </w:r>
          </w:p>
        </w:tc>
        <w:tc>
          <w:tcPr>
            <w:tcW w:w="138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49,708</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6,950</w:t>
            </w:r>
          </w:p>
        </w:tc>
      </w:tr>
      <w:tr>
        <w:trPr>
          <w:trHeight w:val="34"/>
        </w:trPr>
        <w:tc>
          <w:tcPr>
            <w:tcW w:w="7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(24,764)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(33,148)</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Financing costs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Proceeds from exercise of equity compensation</w:t>
            </w:r>
          </w:p>
        </w:tc>
        <w:tc>
          <w:tcPr>
            <w:tcW w:w="138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10,334</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5,914</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 issue costs</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Repurchase of ordinary shares</w:t>
            </w:r>
          </w:p>
        </w:tc>
        <w:tc>
          <w:tcPr>
            <w:tcW w:w="1380" w:type="dxa"/>
            <w:vAlign w:val="bottom"/>
          </w:tcPr>
          <w:p>
            <w:pPr>
              <w:spacing w:after="0"/>
              <w:rPr>
                <w:sz w:val="21"/>
                <w:szCs w:val="21"/>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(54,172)</w:t>
            </w: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(108,106)</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 repurchase costs</w:t>
            </w:r>
          </w:p>
        </w:tc>
        <w:tc>
          <w:tcPr>
            <w:tcW w:w="1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43"/>
        </w:trPr>
        <w:tc>
          <w:tcPr>
            <w:tcW w:w="7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(44,714)</w:t>
            </w: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(102,288)</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movements on cash</w:t>
            </w:r>
          </w:p>
        </w:tc>
        <w:tc>
          <w:tcPr>
            <w:tcW w:w="1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(3,833)</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w:t>
            </w:r>
          </w:p>
        </w:tc>
      </w:tr>
      <w:tr>
        <w:trPr>
          <w:trHeight w:val="243"/>
        </w:trPr>
        <w:tc>
          <w:tcPr>
            <w:tcW w:w="7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6,360</w:t>
            </w: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35,713</w:t>
            </w:r>
          </w:p>
        </w:tc>
      </w:tr>
      <w:tr>
        <w:trPr>
          <w:trHeight w:val="27"/>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282,859</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192,541</w:t>
            </w:r>
          </w:p>
        </w:tc>
      </w:tr>
      <w:tr>
        <w:trPr>
          <w:trHeight w:val="243"/>
        </w:trPr>
        <w:tc>
          <w:tcPr>
            <w:tcW w:w="7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289,219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228,254</w:t>
            </w:r>
          </w:p>
        </w:tc>
      </w:tr>
      <w:tr>
        <w:trPr>
          <w:trHeight w:val="27"/>
        </w:trPr>
        <w:tc>
          <w:tcPr>
            <w:tcW w:w="7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Additional</w:t>
            </w:r>
          </w:p>
        </w:tc>
        <w:tc>
          <w:tcPr>
            <w:tcW w:w="140" w:type="dxa"/>
            <w:vAlign w:val="bottom"/>
            <w:tcBorders>
              <w:bottom w:val="single" w:sz="8" w:color="CCEEFF"/>
            </w:tcBorders>
            <w:vMerge w:val="restart"/>
            <w:shd w:val="clear" w:color="auto" w:fill="CCEEFF"/>
          </w:tcPr>
          <w:p>
            <w:pPr>
              <w:spacing w:after="0"/>
              <w:rPr>
                <w:sz w:val="16"/>
                <w:szCs w:val="16"/>
                <w:color w:val="auto"/>
              </w:rPr>
            </w:pP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Other</w:t>
            </w: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Accumulated</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b w:val="1"/>
                <w:bCs w:val="1"/>
                <w:color w:val="auto"/>
                <w:w w:val="92"/>
              </w:rPr>
              <w:t>Other</w:t>
            </w:r>
          </w:p>
        </w:tc>
        <w:tc>
          <w:tcPr>
            <w:tcW w:w="340" w:type="dxa"/>
            <w:vAlign w:val="bottom"/>
            <w:tcBorders>
              <w:right w:val="single" w:sz="8" w:color="CCEEFF"/>
            </w:tcBorders>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86"/>
              </w:rPr>
              <w:t>Retained</w:t>
            </w: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vMerge w:val="continue"/>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shd w:val="clear" w:color="auto" w:fill="CCEEFF"/>
          </w:tcPr>
          <w:p>
            <w:pPr>
              <w:spacing w:after="0"/>
              <w:rPr>
                <w:sz w:val="15"/>
                <w:szCs w:val="15"/>
                <w:color w:val="auto"/>
              </w:rPr>
            </w:pPr>
          </w:p>
        </w:tc>
        <w:tc>
          <w:tcPr>
            <w:tcW w:w="11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Shares</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0"/>
              </w:rPr>
              <w:t>Amount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91"/>
              </w:rPr>
              <w:t>Paid-in</w:t>
            </w:r>
          </w:p>
        </w:tc>
        <w:tc>
          <w:tcPr>
            <w:tcW w:w="1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18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90"/>
              </w:rPr>
              <w:t>Undenominated</w:t>
            </w:r>
          </w:p>
        </w:tc>
        <w:tc>
          <w:tcPr>
            <w:tcW w:w="1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80" w:type="dxa"/>
            <w:vAlign w:val="bottom"/>
            <w:gridSpan w:val="5"/>
            <w:shd w:val="clear" w:color="auto" w:fill="CCEEFF"/>
          </w:tcPr>
          <w:p>
            <w:pPr>
              <w:jc w:val="right"/>
              <w:ind w:right="140"/>
              <w:spacing w:after="0" w:line="183" w:lineRule="exact"/>
              <w:rPr>
                <w:sz w:val="20"/>
                <w:szCs w:val="20"/>
                <w:color w:val="auto"/>
              </w:rPr>
            </w:pPr>
            <w:r>
              <w:rPr>
                <w:rFonts w:ascii="Arial" w:cs="Arial" w:eastAsia="Arial" w:hAnsi="Arial"/>
                <w:sz w:val="17"/>
                <w:szCs w:val="17"/>
                <w:b w:val="1"/>
                <w:bCs w:val="1"/>
                <w:color w:val="auto"/>
                <w:w w:val="87"/>
              </w:rPr>
              <w:t>Comprehensive</w:t>
            </w:r>
          </w:p>
        </w:tc>
        <w:tc>
          <w:tcPr>
            <w:tcW w:w="340" w:type="dxa"/>
            <w:vAlign w:val="bottom"/>
            <w:tcBorders>
              <w:right w:val="single" w:sz="8" w:color="CCEEFF"/>
            </w:tcBorders>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120" w:type="dxa"/>
            <w:vAlign w:val="bottom"/>
            <w:gridSpan w:val="3"/>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gridSpan w:val="2"/>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shd w:val="clear" w:color="auto" w:fill="CCEEFF"/>
          </w:tcPr>
          <w:p>
            <w:pPr>
              <w:spacing w:after="0"/>
              <w:rPr>
                <w:sz w:val="15"/>
                <w:szCs w:val="15"/>
                <w:color w:val="auto"/>
              </w:rPr>
            </w:pPr>
          </w:p>
        </w:tc>
        <w:tc>
          <w:tcPr>
            <w:tcW w:w="11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91"/>
              </w:rPr>
              <w:t>Capital</w:t>
            </w:r>
          </w:p>
        </w:tc>
        <w:tc>
          <w:tcPr>
            <w:tcW w:w="1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18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Capital</w:t>
            </w:r>
          </w:p>
        </w:tc>
        <w:tc>
          <w:tcPr>
            <w:tcW w:w="1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87"/>
              </w:rPr>
              <w:t>Income</w:t>
            </w:r>
          </w:p>
        </w:tc>
        <w:tc>
          <w:tcPr>
            <w:tcW w:w="14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w w:val="85"/>
              </w:rPr>
              <w:t>Earnings</w:t>
            </w:r>
          </w:p>
        </w:tc>
        <w:tc>
          <w:tcPr>
            <w:tcW w:w="280" w:type="dxa"/>
            <w:vAlign w:val="bottom"/>
            <w:shd w:val="clear" w:color="auto" w:fill="CCEEFF"/>
          </w:tcPr>
          <w:p>
            <w:pPr>
              <w:spacing w:after="0"/>
              <w:rPr>
                <w:sz w:val="15"/>
                <w:szCs w:val="15"/>
                <w:color w:val="auto"/>
              </w:rPr>
            </w:pPr>
          </w:p>
        </w:tc>
        <w:tc>
          <w:tcPr>
            <w:tcW w:w="9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7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40" w:type="dxa"/>
            <w:vAlign w:val="bottom"/>
            <w:gridSpan w:val="13"/>
          </w:tcPr>
          <w:p>
            <w:pPr>
              <w:jc w:val="right"/>
              <w:ind w:right="480"/>
              <w:spacing w:after="0"/>
              <w:rPr>
                <w:sz w:val="20"/>
                <w:szCs w:val="20"/>
                <w:color w:val="auto"/>
              </w:rPr>
            </w:pPr>
            <w:r>
              <w:rPr>
                <w:rFonts w:ascii="Arial" w:cs="Arial" w:eastAsia="Arial" w:hAnsi="Arial"/>
                <w:sz w:val="18"/>
                <w:szCs w:val="18"/>
                <w:b w:val="1"/>
                <w:bCs w:val="1"/>
                <w:color w:val="auto"/>
                <w:w w:val="95"/>
              </w:rPr>
              <w:t>(dollars in thousands, except share data)</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54,081,601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481,337</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32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(38,713)</w:t>
            </w:r>
          </w:p>
        </w:tc>
        <w:tc>
          <w:tcPr>
            <w:tcW w:w="34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742,800</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1,191,000</w:t>
            </w:r>
          </w:p>
        </w:tc>
        <w:tc>
          <w:tcPr>
            <w:tcW w:w="0" w:type="dxa"/>
            <w:vAlign w:val="bottom"/>
          </w:tcPr>
          <w:p>
            <w:pPr>
              <w:spacing w:after="0"/>
              <w:rPr>
                <w:sz w:val="1"/>
                <w:szCs w:val="1"/>
                <w:color w:val="auto"/>
              </w:rPr>
            </w:pPr>
          </w:p>
        </w:tc>
      </w:tr>
      <w:tr>
        <w:trPr>
          <w:trHeight w:val="324"/>
        </w:trPr>
        <w:tc>
          <w:tcPr>
            <w:tcW w:w="2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Cumulative effect adjustment from</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adoption of ASC 606</w:t>
            </w:r>
          </w:p>
        </w:tc>
        <w:tc>
          <w:tcPr>
            <w:tcW w:w="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(48,104)</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(48,104)</w:t>
            </w:r>
          </w:p>
        </w:tc>
        <w:tc>
          <w:tcPr>
            <w:tcW w:w="0" w:type="dxa"/>
            <w:vAlign w:val="bottom"/>
          </w:tcPr>
          <w:p>
            <w:pPr>
              <w:spacing w:after="0"/>
              <w:rPr>
                <w:sz w:val="1"/>
                <w:szCs w:val="1"/>
                <w:color w:val="auto"/>
              </w:rPr>
            </w:pPr>
          </w:p>
        </w:tc>
      </w:tr>
      <w:tr>
        <w:trPr>
          <w:trHeight w:val="277"/>
        </w:trPr>
        <w:tc>
          <w:tcPr>
            <w:tcW w:w="2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54,081,601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481,337</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32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(38,713)</w:t>
            </w:r>
          </w:p>
        </w:tc>
        <w:tc>
          <w:tcPr>
            <w:tcW w:w="34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694,696</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1,142,896</w:t>
            </w:r>
          </w:p>
        </w:tc>
        <w:tc>
          <w:tcPr>
            <w:tcW w:w="0" w:type="dxa"/>
            <w:vAlign w:val="bottom"/>
          </w:tcPr>
          <w:p>
            <w:pPr>
              <w:spacing w:after="0"/>
              <w:rPr>
                <w:sz w:val="1"/>
                <w:szCs w:val="1"/>
                <w:color w:val="auto"/>
              </w:rPr>
            </w:pPr>
          </w:p>
        </w:tc>
      </w:tr>
      <w:tr>
        <w:trPr>
          <w:trHeight w:val="324"/>
        </w:trPr>
        <w:tc>
          <w:tcPr>
            <w:tcW w:w="2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149,966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149,966</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(20,813)</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(20,813)</w:t>
            </w:r>
          </w:p>
        </w:tc>
        <w:tc>
          <w:tcPr>
            <w:tcW w:w="0" w:type="dxa"/>
            <w:vAlign w:val="bottom"/>
          </w:tcPr>
          <w:p>
            <w:pPr>
              <w:spacing w:after="0"/>
              <w:rPr>
                <w:sz w:val="1"/>
                <w:szCs w:val="1"/>
                <w:color w:val="auto"/>
              </w:rPr>
            </w:pP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Currency impact of long term</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funding (net of tax)</w:t>
            </w:r>
          </w:p>
        </w:tc>
        <w:tc>
          <w:tcPr>
            <w:tcW w:w="4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gridSpan w:val="5"/>
          </w:tcPr>
          <w:p>
            <w:pPr>
              <w:jc w:val="right"/>
              <w:ind w:right="80"/>
              <w:spacing w:after="0"/>
              <w:rPr>
                <w:sz w:val="20"/>
                <w:szCs w:val="20"/>
                <w:color w:val="auto"/>
              </w:rPr>
            </w:pPr>
            <w:r>
              <w:rPr>
                <w:rFonts w:ascii="Arial" w:cs="Arial" w:eastAsia="Arial" w:hAnsi="Arial"/>
                <w:sz w:val="18"/>
                <w:szCs w:val="18"/>
                <w:color w:val="auto"/>
              </w:rPr>
              <w:t>(3,055)</w:t>
            </w:r>
          </w:p>
        </w:tc>
        <w:tc>
          <w:tcPr>
            <w:tcW w:w="3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capital gain –</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w w:val="96"/>
              </w:rPr>
              <w:t>Amortization of interest rate hedge</w:t>
            </w:r>
          </w:p>
        </w:tc>
        <w:tc>
          <w:tcPr>
            <w:tcW w:w="4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gridSpan w:val="5"/>
          </w:tcPr>
          <w:p>
            <w:pPr>
              <w:jc w:val="right"/>
              <w:ind w:right="80"/>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Fair value of cash flow hedge (net</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(2,055)</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331"/>
        </w:trPr>
        <w:tc>
          <w:tcPr>
            <w:tcW w:w="2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4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(26,809)</w:t>
            </w: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149,966</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123,157</w:t>
            </w:r>
          </w:p>
        </w:tc>
        <w:tc>
          <w:tcPr>
            <w:tcW w:w="0" w:type="dxa"/>
            <w:vAlign w:val="bottom"/>
          </w:tcPr>
          <w:p>
            <w:pPr>
              <w:spacing w:after="0"/>
              <w:rPr>
                <w:sz w:val="1"/>
                <w:szCs w:val="1"/>
                <w:color w:val="auto"/>
              </w:rPr>
            </w:pPr>
          </w:p>
        </w:tc>
      </w:tr>
      <w:tr>
        <w:trPr>
          <w:trHeight w:val="324"/>
        </w:trPr>
        <w:tc>
          <w:tcPr>
            <w:tcW w:w="2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share options</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226,888</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10,284</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Issue of restricted share units</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483,435</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stock compensation</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16,583</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Share issuance costs</w:t>
            </w:r>
          </w:p>
        </w:tc>
        <w:tc>
          <w:tcPr>
            <w:tcW w:w="4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(464,055)</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(54,172)</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Share repurchase costs</w:t>
            </w:r>
          </w:p>
        </w:tc>
        <w:tc>
          <w:tcPr>
            <w:tcW w:w="4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27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right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right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54,327,869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4,684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508,195</w:t>
            </w:r>
          </w:p>
        </w:tc>
        <w:tc>
          <w:tcPr>
            <w:tcW w:w="1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945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5"/>
          </w:tcPr>
          <w:p>
            <w:pPr>
              <w:jc w:val="right"/>
              <w:ind w:right="80"/>
              <w:spacing w:after="0"/>
              <w:rPr>
                <w:sz w:val="20"/>
                <w:szCs w:val="20"/>
                <w:color w:val="auto"/>
              </w:rPr>
            </w:pPr>
            <w:r>
              <w:rPr>
                <w:rFonts w:ascii="Arial" w:cs="Arial" w:eastAsia="Arial" w:hAnsi="Arial"/>
                <w:sz w:val="18"/>
                <w:szCs w:val="18"/>
                <w:color w:val="auto"/>
              </w:rPr>
              <w:t>(65,522)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790,446</w:t>
            </w:r>
          </w:p>
        </w:tc>
        <w:tc>
          <w:tcPr>
            <w:tcW w:w="16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1,238,748</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2017. Operating results for the six months ended June 30, 2018 are not necessarily indicative of the results that may be expected for the fiscal period ending December 31, 2018.</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with a date of initial application of January 1, 2018. The revenue recognition accounting policy applied in preparation of the results for the six months ended June 30, 2018 therefore reflect application of ASC 606. ICON has elected to adopt the standard using the cumulative effect transition method. Under this transition method, ICON has applied the new standard as at the date of initial application (i.e. January 1, 2018), without restatement of comparative period amounts. The cumulative effect of initially applying the new standard (to revenue, costs and tax) is recorded as an adjustment to the opening balance of equity at the date of initial application. See 'Note 13 - Impact of change in accounting policies' for details. The comparative information has not been adjusted and therefore continues to be reported under ASC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We have concluded that under the new standard, a clinical trial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trial.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therefore based on on an input measure being total project costs (inclusive of third party costs) at each reporting period.</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13 - Impact of change in accounting policies' for details of the impact of application of the provisions of ASC 606 in the six months ended June 30, 2018 and in respect of the position at June 30, 2018.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customer profile is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900" w:type="dxa"/>
            <w:vAlign w:val="bottom"/>
            <w:gridSpan w:val="2"/>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0" w:type="dxa"/>
            <w:vAlign w:val="bottom"/>
            <w:gridSpan w:val="7"/>
            <w:shd w:val="clear" w:color="auto" w:fill="CCEEFF"/>
          </w:tcPr>
          <w:p>
            <w:pPr>
              <w:jc w:val="right"/>
              <w:ind w:right="980"/>
              <w:spacing w:after="0"/>
              <w:rPr>
                <w:sz w:val="20"/>
                <w:szCs w:val="20"/>
                <w:color w:val="auto"/>
              </w:rPr>
            </w:pPr>
            <w:r>
              <w:rPr>
                <w:rFonts w:ascii="Arial" w:cs="Arial" w:eastAsia="Arial" w:hAnsi="Arial"/>
                <w:sz w:val="18"/>
                <w:szCs w:val="18"/>
                <w:b w:val="1"/>
                <w:bCs w:val="1"/>
                <w:color w:val="auto"/>
                <w:w w:val="89"/>
              </w:rPr>
              <w:t>Six Months Ended</w:t>
            </w:r>
          </w:p>
        </w:tc>
      </w:tr>
      <w:tr>
        <w:trPr>
          <w:trHeight w:val="48"/>
        </w:trPr>
        <w:tc>
          <w:tcPr>
            <w:tcW w:w="27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4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260" w:type="dxa"/>
            <w:vAlign w:val="bottom"/>
          </w:tcPr>
          <w:p>
            <w:pPr>
              <w:spacing w:after="0"/>
              <w:rPr>
                <w:sz w:val="17"/>
                <w:szCs w:val="17"/>
                <w:color w:val="auto"/>
              </w:rPr>
            </w:pPr>
          </w:p>
        </w:tc>
        <w:tc>
          <w:tcPr>
            <w:tcW w:w="1500" w:type="dxa"/>
            <w:vAlign w:val="bottom"/>
            <w:gridSpan w:val="4"/>
          </w:tcPr>
          <w:p>
            <w:pPr>
              <w:jc w:val="right"/>
              <w:ind w:right="340"/>
              <w:spacing w:after="0" w:line="202" w:lineRule="exact"/>
              <w:rPr>
                <w:sz w:val="20"/>
                <w:szCs w:val="20"/>
                <w:color w:val="auto"/>
              </w:rPr>
            </w:pPr>
            <w:r>
              <w:rPr>
                <w:rFonts w:ascii="Arial" w:cs="Arial" w:eastAsia="Arial" w:hAnsi="Arial"/>
                <w:sz w:val="18"/>
                <w:szCs w:val="18"/>
                <w:b w:val="1"/>
                <w:bCs w:val="1"/>
                <w:color w:val="auto"/>
                <w:w w:val="97"/>
              </w:rPr>
              <w:t>June 30, 2017</w:t>
            </w:r>
          </w:p>
        </w:tc>
        <w:tc>
          <w:tcPr>
            <w:tcW w:w="420" w:type="dxa"/>
            <w:vAlign w:val="bottom"/>
          </w:tcPr>
          <w:p>
            <w:pPr>
              <w:spacing w:after="0"/>
              <w:rPr>
                <w:sz w:val="17"/>
                <w:szCs w:val="17"/>
                <w:color w:val="auto"/>
              </w:rPr>
            </w:pPr>
          </w:p>
        </w:tc>
        <w:tc>
          <w:tcPr>
            <w:tcW w:w="134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260" w:type="dxa"/>
            <w:vAlign w:val="bottom"/>
          </w:tcPr>
          <w:p>
            <w:pPr>
              <w:spacing w:after="0"/>
              <w:rPr>
                <w:sz w:val="17"/>
                <w:szCs w:val="17"/>
                <w:color w:val="auto"/>
              </w:rPr>
            </w:pPr>
          </w:p>
        </w:tc>
        <w:tc>
          <w:tcPr>
            <w:tcW w:w="1480" w:type="dxa"/>
            <w:vAlign w:val="bottom"/>
            <w:gridSpan w:val="4"/>
          </w:tcPr>
          <w:p>
            <w:pPr>
              <w:jc w:val="right"/>
              <w:ind w:right="320"/>
              <w:spacing w:after="0" w:line="202" w:lineRule="exact"/>
              <w:rPr>
                <w:sz w:val="20"/>
                <w:szCs w:val="20"/>
                <w:color w:val="auto"/>
              </w:rPr>
            </w:pPr>
            <w:r>
              <w:rPr>
                <w:rFonts w:ascii="Arial" w:cs="Arial" w:eastAsia="Arial" w:hAnsi="Arial"/>
                <w:sz w:val="18"/>
                <w:szCs w:val="18"/>
                <w:b w:val="1"/>
                <w:bCs w:val="1"/>
                <w:color w:val="auto"/>
                <w:w w:val="97"/>
              </w:rPr>
              <w:t>June 30, 2017</w:t>
            </w:r>
          </w:p>
        </w:tc>
      </w:tr>
      <w:tr>
        <w:trPr>
          <w:trHeight w:val="48"/>
        </w:trPr>
        <w:tc>
          <w:tcPr>
            <w:tcW w:w="27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27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gridSpan w:val="7"/>
            <w:shd w:val="clear" w:color="auto" w:fill="CCEEFF"/>
          </w:tcPr>
          <w:p>
            <w:pPr>
              <w:jc w:val="right"/>
              <w:ind w:right="118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7"/>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w w:val="99"/>
              </w:rPr>
              <w:t>(in thousands)</w:t>
            </w:r>
          </w:p>
        </w:tc>
      </w:tr>
      <w:tr>
        <w:trPr>
          <w:trHeight w:val="270"/>
        </w:trPr>
        <w:tc>
          <w:tcPr>
            <w:tcW w:w="27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client</w:t>
            </w: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90,526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86,239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156,344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190,922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Clients 2-5</w:t>
            </w:r>
          </w:p>
        </w:tc>
        <w:tc>
          <w:tcPr>
            <w:tcW w:w="2080" w:type="dxa"/>
            <w:vAlign w:val="bottom"/>
          </w:tcPr>
          <w:p>
            <w:pPr>
              <w:spacing w:after="0"/>
              <w:rPr>
                <w:sz w:val="21"/>
                <w:szCs w:val="21"/>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168,305</w:t>
            </w:r>
          </w:p>
        </w:tc>
        <w:tc>
          <w:tcPr>
            <w:tcW w:w="260" w:type="dxa"/>
            <w:vAlign w:val="bottom"/>
          </w:tcPr>
          <w:p>
            <w:pPr>
              <w:spacing w:after="0"/>
              <w:rPr>
                <w:sz w:val="21"/>
                <w:szCs w:val="21"/>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8"/>
                <w:szCs w:val="18"/>
                <w:color w:val="auto"/>
              </w:rPr>
              <w:t>92,852</w:t>
            </w:r>
          </w:p>
        </w:tc>
        <w:tc>
          <w:tcPr>
            <w:tcW w:w="42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336,773</w:t>
            </w:r>
          </w:p>
        </w:tc>
        <w:tc>
          <w:tcPr>
            <w:tcW w:w="260" w:type="dxa"/>
            <w:vAlign w:val="bottom"/>
          </w:tcPr>
          <w:p>
            <w:pPr>
              <w:spacing w:after="0"/>
              <w:rPr>
                <w:sz w:val="21"/>
                <w:szCs w:val="21"/>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183,163</w:t>
            </w:r>
          </w:p>
        </w:tc>
      </w:tr>
      <w:tr>
        <w:trPr>
          <w:trHeight w:val="27"/>
        </w:trPr>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Clients 6-10</w:t>
            </w:r>
          </w:p>
        </w:tc>
        <w:tc>
          <w:tcPr>
            <w:tcW w:w="20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104,301</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52,853</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221,366</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106,283</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Clients 11-25</w:t>
            </w:r>
          </w:p>
        </w:tc>
        <w:tc>
          <w:tcPr>
            <w:tcW w:w="2080" w:type="dxa"/>
            <w:vAlign w:val="bottom"/>
          </w:tcPr>
          <w:p>
            <w:pPr>
              <w:spacing w:after="0"/>
              <w:rPr>
                <w:sz w:val="21"/>
                <w:szCs w:val="21"/>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125,758</w:t>
            </w:r>
          </w:p>
        </w:tc>
        <w:tc>
          <w:tcPr>
            <w:tcW w:w="260" w:type="dxa"/>
            <w:vAlign w:val="bottom"/>
          </w:tcPr>
          <w:p>
            <w:pPr>
              <w:spacing w:after="0"/>
              <w:rPr>
                <w:sz w:val="21"/>
                <w:szCs w:val="21"/>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8"/>
                <w:szCs w:val="18"/>
                <w:color w:val="auto"/>
              </w:rPr>
              <w:t>79,633</w:t>
            </w:r>
          </w:p>
        </w:tc>
        <w:tc>
          <w:tcPr>
            <w:tcW w:w="42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246,065</w:t>
            </w:r>
          </w:p>
        </w:tc>
        <w:tc>
          <w:tcPr>
            <w:tcW w:w="260" w:type="dxa"/>
            <w:vAlign w:val="bottom"/>
          </w:tcPr>
          <w:p>
            <w:pPr>
              <w:spacing w:after="0"/>
              <w:rPr>
                <w:sz w:val="21"/>
                <w:szCs w:val="21"/>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149,008</w:t>
            </w:r>
          </w:p>
        </w:tc>
      </w:tr>
      <w:tr>
        <w:trPr>
          <w:trHeight w:val="27"/>
        </w:trPr>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82"/>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152,720</w:t>
            </w:r>
          </w:p>
        </w:tc>
        <w:tc>
          <w:tcPr>
            <w:tcW w:w="2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119,446</w:t>
            </w: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301,187</w:t>
            </w:r>
          </w:p>
        </w:tc>
        <w:tc>
          <w:tcPr>
            <w:tcW w:w="2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233,601</w:t>
            </w:r>
          </w:p>
        </w:tc>
      </w:tr>
      <w:tr>
        <w:trPr>
          <w:trHeight w:val="270"/>
        </w:trPr>
        <w:tc>
          <w:tcPr>
            <w:tcW w:w="2740" w:type="dxa"/>
            <w:vAlign w:val="bottom"/>
            <w:tcBorders>
              <w:top w:val="single" w:sz="8" w:color="auto"/>
            </w:tcBorders>
          </w:tcPr>
          <w:p>
            <w:pPr>
              <w:spacing w:after="0"/>
              <w:rPr>
                <w:sz w:val="23"/>
                <w:szCs w:val="23"/>
                <w:color w:val="auto"/>
              </w:rPr>
            </w:pPr>
          </w:p>
        </w:tc>
        <w:tc>
          <w:tcPr>
            <w:tcW w:w="20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r>
      <w:tr>
        <w:trPr>
          <w:trHeight w:val="275"/>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641,610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431,023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1,261,735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862,977</w:t>
            </w:r>
          </w:p>
        </w:tc>
      </w:tr>
      <w:tr>
        <w:trPr>
          <w:trHeight w:val="20"/>
        </w:trPr>
        <w:tc>
          <w:tcPr>
            <w:tcW w:w="27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2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w w:val="87"/>
              </w:rPr>
              <w:t>4. Trade accounts receivable, unbilled services and payments on account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Trade accounts receivables and unbilled revenue are as follows: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5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w w:val="88"/>
              </w:rPr>
              <w:t>June 30, 2018</w:t>
            </w:r>
          </w:p>
        </w:tc>
        <w:tc>
          <w:tcPr>
            <w:tcW w:w="2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7"/>
                <w:szCs w:val="17"/>
                <w:color w:val="auto"/>
              </w:rPr>
            </w:pPr>
          </w:p>
        </w:tc>
      </w:tr>
      <w:tr>
        <w:trPr>
          <w:trHeight w:val="48"/>
        </w:trPr>
        <w:tc>
          <w:tcPr>
            <w:tcW w:w="5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5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Billed services (accounts receivable)</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412,933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388,431</w:t>
            </w:r>
          </w:p>
        </w:tc>
        <w:tc>
          <w:tcPr>
            <w:tcW w:w="10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 services (unbilled revenue)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274,501</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268,509</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5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Trade accounts receivable and unbilled revenue</w:t>
            </w: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687,434</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656,940</w:t>
            </w:r>
          </w:p>
        </w:tc>
        <w:tc>
          <w:tcPr>
            <w:tcW w:w="100" w:type="dxa"/>
            <w:vAlign w:val="bottom"/>
            <w:tcBorders>
              <w:top w:val="single" w:sz="8" w:color="auto"/>
            </w:tcBorders>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(8,361)</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(8,930)</w:t>
            </w:r>
          </w:p>
        </w:tc>
      </w:tr>
      <w:tr>
        <w:trPr>
          <w:trHeight w:val="324"/>
        </w:trPr>
        <w:tc>
          <w:tcPr>
            <w:tcW w:w="55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accounts receivable and unbilled revenue, net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679,073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648,010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5540" w:type="dxa"/>
            <w:vAlign w:val="bottom"/>
          </w:tcPr>
          <w:p>
            <w:pPr>
              <w:spacing w:after="0"/>
              <w:rPr>
                <w:sz w:val="20"/>
                <w:szCs w:val="20"/>
                <w:color w:val="auto"/>
              </w:rPr>
            </w:pPr>
            <w:r>
              <w:rPr>
                <w:rFonts w:ascii="Arial" w:cs="Arial" w:eastAsia="Arial" w:hAnsi="Arial"/>
                <w:sz w:val="18"/>
                <w:szCs w:val="18"/>
                <w:color w:val="auto"/>
              </w:rPr>
              <w:t>Unbilled services and payments on account were as follows: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5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87"/>
              </w:rPr>
              <w:t>December 31,</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55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 thousands, except percentages)</w:t>
            </w:r>
          </w:p>
        </w:tc>
        <w:tc>
          <w:tcPr>
            <w:tcW w:w="18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CCEEFF"/>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w w:val="88"/>
              </w:rPr>
              <w:t>June 30, 2018</w:t>
            </w:r>
          </w:p>
        </w:tc>
        <w:tc>
          <w:tcPr>
            <w:tcW w:w="2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gridSpan w:val="4"/>
            <w:shd w:val="clear" w:color="auto" w:fill="CCEEFF"/>
          </w:tcPr>
          <w:p>
            <w:pPr>
              <w:jc w:val="right"/>
              <w:ind w:right="500"/>
              <w:spacing w:after="0" w:line="196" w:lineRule="exact"/>
              <w:rPr>
                <w:sz w:val="20"/>
                <w:szCs w:val="20"/>
                <w:color w:val="auto"/>
              </w:rPr>
            </w:pPr>
            <w:r>
              <w:rPr>
                <w:rFonts w:ascii="Arial" w:cs="Arial" w:eastAsia="Arial" w:hAnsi="Arial"/>
                <w:sz w:val="18"/>
                <w:szCs w:val="18"/>
                <w:b w:val="1"/>
                <w:bCs w:val="1"/>
                <w:color w:val="auto"/>
                <w:w w:val="86"/>
              </w:rPr>
              <w:t>$ Change</w:t>
            </w:r>
          </w:p>
        </w:tc>
        <w:tc>
          <w:tcPr>
            <w:tcW w:w="2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Change</w:t>
            </w:r>
          </w:p>
        </w:tc>
      </w:tr>
      <w:tr>
        <w:trPr>
          <w:trHeight w:val="324"/>
        </w:trPr>
        <w:tc>
          <w:tcPr>
            <w:tcW w:w="55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services (unbilled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274,501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268,509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5,992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2.2 %</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Unearned revenue (payments on account)</w:t>
            </w:r>
          </w:p>
        </w:tc>
        <w:tc>
          <w:tcPr>
            <w:tcW w:w="1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(326,741)</w:t>
            </w:r>
          </w:p>
        </w:tc>
        <w:tc>
          <w:tcPr>
            <w:tcW w:w="280" w:type="dxa"/>
            <w:vAlign w:val="bottom"/>
          </w:tcPr>
          <w:p>
            <w:pPr>
              <w:spacing w:after="0"/>
              <w:rPr>
                <w:sz w:val="21"/>
                <w:szCs w:val="21"/>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(298,992)</w:t>
            </w:r>
          </w:p>
        </w:tc>
        <w:tc>
          <w:tcPr>
            <w:tcW w:w="38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(27,749)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9.3 %</w:t>
            </w:r>
          </w:p>
        </w:tc>
      </w:tr>
      <w:tr>
        <w:trPr>
          <w:trHeight w:val="34"/>
        </w:trPr>
        <w:tc>
          <w:tcPr>
            <w:tcW w:w="5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324"/>
        </w:trPr>
        <w:tc>
          <w:tcPr>
            <w:tcW w:w="5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Net balance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(52,240)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(30,483)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(21,757)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(71.4)%</w:t>
            </w:r>
          </w:p>
        </w:tc>
      </w:tr>
      <w:tr>
        <w:trPr>
          <w:trHeight w:val="27"/>
        </w:trPr>
        <w:tc>
          <w:tcPr>
            <w:tcW w:w="5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Unbilled services as at June 30, 2018 increased by $6.0 million as compared to December 31, 2017. Adoption of ASC 606 as at January 1, 2018 resulted in a net reduction in unbilled revenue of $42 million. Unbilled services/revenue balances arise where invoicing or billing is based on the timing of agreed milestones related to service contracts for clinical research. Payments on account increased by $27.7 million over the same period resulting in a decrease of $21.8 million in the net balance of unbilled services and payments on account between December 31, 2017 and June 30, 2018. These fluctuations are primarily due to timing of payments and invoicing related to the Group's clinical trial management contracts.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bad debt expense recognized on the Group's receivables and unbilled services was de minimis for the three and six months ended June 30, 2018.</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approximately $5.0 billion of revenue is expected to be recognized in the future in respect of unrealized performance obligations. The Company expects to recognize revenue on approximately 40% of the unrealized performance obligation over the next 12 months, with the remainder recognized thereafter over the duration of the customer contracts.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5. Goodwill</w:t>
            </w:r>
          </w:p>
        </w:tc>
        <w:tc>
          <w:tcPr>
            <w:tcW w:w="3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62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6"/>
              </w:rPr>
              <w:t>Six months</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Year ended</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44"/>
        </w:trPr>
        <w:tc>
          <w:tcPr>
            <w:tcW w:w="562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ended</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5620" w:type="dxa"/>
            <w:vAlign w:val="bottom"/>
            <w:tcBorders>
              <w:top w:val="single" w:sz="8" w:color="CCEEFF"/>
            </w:tcBorders>
          </w:tcPr>
          <w:p>
            <w:pPr>
              <w:spacing w:after="0"/>
              <w:rPr>
                <w:sz w:val="17"/>
                <w:szCs w:val="17"/>
                <w:color w:val="auto"/>
              </w:rPr>
            </w:pPr>
          </w:p>
        </w:tc>
        <w:tc>
          <w:tcPr>
            <w:tcW w:w="3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60" w:type="dxa"/>
            <w:vAlign w:val="bottom"/>
            <w:tcBorders>
              <w:top w:val="single" w:sz="8" w:color="CCEEFF"/>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top w:val="single" w:sz="8" w:color="CCEEFF"/>
            </w:tcBorders>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6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w w:val="92"/>
              </w:rPr>
              <w:t>June 30, 2018</w:t>
            </w:r>
          </w:p>
        </w:tc>
        <w:tc>
          <w:tcPr>
            <w:tcW w:w="220" w:type="dxa"/>
            <w:vAlign w:val="bottom"/>
          </w:tcPr>
          <w:p>
            <w:pPr>
              <w:spacing w:after="0"/>
              <w:rPr>
                <w:sz w:val="17"/>
                <w:szCs w:val="17"/>
                <w:color w:val="auto"/>
              </w:rPr>
            </w:pPr>
          </w:p>
        </w:tc>
        <w:tc>
          <w:tcPr>
            <w:tcW w:w="11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r>
      <w:tr>
        <w:trPr>
          <w:trHeight w:val="48"/>
        </w:trPr>
        <w:tc>
          <w:tcPr>
            <w:tcW w:w="56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8"/>
            <w:shd w:val="clear" w:color="auto" w:fill="CCEEFF"/>
          </w:tcPr>
          <w:p>
            <w:pPr>
              <w:ind w:left="8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Opening balance</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5"/>
          </w:tcPr>
          <w:p>
            <w:pPr>
              <w:jc w:val="right"/>
              <w:ind w:right="160"/>
              <w:spacing w:after="0"/>
              <w:rPr>
                <w:sz w:val="20"/>
                <w:szCs w:val="20"/>
                <w:color w:val="auto"/>
              </w:rPr>
            </w:pPr>
            <w:r>
              <w:rPr>
                <w:rFonts w:ascii="Arial" w:cs="Arial" w:eastAsia="Arial" w:hAnsi="Arial"/>
                <w:sz w:val="18"/>
                <w:szCs w:val="18"/>
                <w:color w:val="auto"/>
              </w:rPr>
              <w:t>769,058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616,088</w:t>
            </w:r>
          </w:p>
        </w:tc>
        <w:tc>
          <w:tcPr>
            <w:tcW w:w="1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period acquisitions (Note 6)</w:t>
            </w:r>
          </w:p>
        </w:tc>
        <w:tc>
          <w:tcPr>
            <w:tcW w:w="3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129,222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Prior period acquisitions (Note 6)</w:t>
            </w:r>
          </w:p>
        </w:tc>
        <w:tc>
          <w:tcPr>
            <w:tcW w:w="3120" w:type="dxa"/>
            <w:vAlign w:val="bottom"/>
          </w:tcPr>
          <w:p>
            <w:pPr>
              <w:spacing w:after="0"/>
              <w:rPr>
                <w:sz w:val="21"/>
                <w:szCs w:val="21"/>
                <w:color w:val="auto"/>
              </w:rPr>
            </w:pPr>
          </w:p>
        </w:tc>
        <w:tc>
          <w:tcPr>
            <w:tcW w:w="1260" w:type="dxa"/>
            <w:vAlign w:val="bottom"/>
            <w:gridSpan w:val="5"/>
          </w:tcPr>
          <w:p>
            <w:pPr>
              <w:jc w:val="right"/>
              <w:ind w:right="16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movement</w:t>
            </w:r>
          </w:p>
        </w:tc>
        <w:tc>
          <w:tcPr>
            <w:tcW w:w="3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(10,043)</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97"/>
        </w:trPr>
        <w:tc>
          <w:tcPr>
            <w:tcW w:w="562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balance</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759,137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769,058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96"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Business Combinations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Mapi Group</w:t>
      </w:r>
    </w:p>
    <w:p>
      <w:pPr>
        <w:spacing w:after="0" w:line="3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27, 2017, a subsidiary of the Company, ICON Clinical Research Limited, acquired Mapi Group. Mapi Group is a leading patient-centered health outcomes research and commercialization company. Cash outflows on acquisition were $145.8 million. The acquisition agreement provided for working capital targets to be achieved. On March 26, 2018, the Company paid $1.6 million in respect of these targets on completion of the working capital review.</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 of Mapi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July 27, 2017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6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8"/>
              </w:rPr>
              <w:t>(in thousands)</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19,649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4,872</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129,344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80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32,330</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15,874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6,984</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80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1,430</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4,262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Pr>
          <w:p>
            <w:pPr>
              <w:spacing w:after="0"/>
              <w:rPr>
                <w:sz w:val="21"/>
                <w:szCs w:val="21"/>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(2,994)</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account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(31,445)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tcPr>
          <w:p>
            <w:pPr>
              <w:spacing w:after="0"/>
              <w:rPr>
                <w:sz w:val="21"/>
                <w:szCs w:val="21"/>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(24,952)</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other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3800" w:type="dxa"/>
            <w:vAlign w:val="bottom"/>
          </w:tcPr>
          <w:p>
            <w:pPr>
              <w:spacing w:after="0"/>
              <w:rPr>
                <w:sz w:val="21"/>
                <w:szCs w:val="21"/>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(11,104)</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04"/>
        </w:trPr>
        <w:tc>
          <w:tcPr>
            <w:tcW w:w="6280" w:type="dxa"/>
            <w:vAlign w:val="bottom"/>
            <w:tcBorders>
              <w:bottom w:val="single" w:sz="8" w:color="auto"/>
            </w:tcBorders>
            <w:shd w:val="clear" w:color="auto" w:fill="CCEEFF"/>
          </w:tcPr>
          <w:p>
            <w:pPr>
              <w:spacing w:after="0"/>
              <w:rPr>
                <w:sz w:val="24"/>
                <w:szCs w:val="24"/>
                <w:color w:val="auto"/>
              </w:rPr>
            </w:pPr>
          </w:p>
        </w:tc>
        <w:tc>
          <w:tcPr>
            <w:tcW w:w="38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145,776</w:t>
            </w:r>
          </w:p>
        </w:tc>
      </w:tr>
      <w:tr>
        <w:trPr>
          <w:trHeight w:val="67"/>
        </w:trPr>
        <w:tc>
          <w:tcPr>
            <w:tcW w:w="62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78"/>
        </w:trPr>
        <w:tc>
          <w:tcPr>
            <w:tcW w:w="628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outflows</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144,131</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adjustment</w:t>
            </w:r>
          </w:p>
        </w:tc>
        <w:tc>
          <w:tcPr>
            <w:tcW w:w="38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r>
      <w:tr>
        <w:trPr>
          <w:trHeight w:val="243"/>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consideration</w:t>
            </w:r>
          </w:p>
        </w:tc>
        <w:tc>
          <w:tcPr>
            <w:tcW w:w="3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145,776</w:t>
            </w:r>
          </w:p>
        </w:tc>
      </w:tr>
      <w:tr>
        <w:trPr>
          <w:trHeight w:val="27"/>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represents the acquisition of an established workforce with experience in late phase commercialization, analytics, real world evidence generation and strategic regulatory services in clinical trial services for biologics, drugs and devices. Goodwill related to the business acquired is not tax deductible. **The Company has made an initial estimate of separate intangible assets acquired of $32.3 million, being customer relationships and order book assets. This assessment is under review and will be finalized within 12 months of the date of acquisition.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Acquisitions – ClinicalRM</w:t>
      </w:r>
    </w:p>
    <w:p>
      <w:pPr>
        <w:spacing w:after="0" w:line="3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15, 2016, a subsidiary of the Company, ICON US Holdings Inc. acquired Clinical Research Management, Inc. (''ClinicalRM'') which resulted in net cash outflow of $52.4 million (including certain payments made on behalf of ClinicalRM totaling $9.2 million). 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testing and the response to bio-threats. They have worked in collaboration with government and commercial customers to respond to the threat of global viral epidemics. Further consideration of up to $12.0 million was payable if certain performance milestones are achieved in respect of periods up to December 31, 2017. The fair value of the contingent consideration on acquisition and at March 31, 2017 was estimated at $6 million The evaluation of the performance and forecast performance of ClinicalRM against performance milestones was updated as required at June 30, 2017. Arising from that evaluation, the fair value of the contingent consideration liability was determined as $Nil, resulting in a net credit of $6 million being recorded within selling, general &amp; administrative expenses in the Statement of Operations. The fair value of the contingent consideration at June 31, 2018 is $Nil.</w:t>
      </w:r>
    </w:p>
    <w:p>
      <w:pPr>
        <w:spacing w:after="0" w:line="2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acquisition of ClinicalRM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table following summarizes the fair values of the assets acquired and liabilities assumed: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September 15,</w:t>
            </w:r>
          </w:p>
        </w:tc>
      </w:tr>
      <w:tr>
        <w:trPr>
          <w:trHeight w:val="196"/>
        </w:trPr>
        <w:tc>
          <w:tcPr>
            <w:tcW w:w="628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CCEEFF"/>
            </w:tcBorders>
            <w:shd w:val="clear" w:color="auto" w:fill="CCEEFF"/>
          </w:tcPr>
          <w:p>
            <w:pPr>
              <w:spacing w:after="0"/>
              <w:rPr>
                <w:sz w:val="17"/>
                <w:szCs w:val="17"/>
                <w:color w:val="auto"/>
              </w:rPr>
            </w:pPr>
          </w:p>
        </w:tc>
      </w:tr>
      <w:tr>
        <w:trPr>
          <w:trHeight w:val="48"/>
        </w:trPr>
        <w:tc>
          <w:tcPr>
            <w:tcW w:w="628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(in thousands)</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35,969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8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3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Brand</w:t>
            </w:r>
          </w:p>
        </w:tc>
        <w:tc>
          <w:tcPr>
            <w:tcW w:w="38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Pr>
          <w:p>
            <w:pPr>
              <w:spacing w:after="0"/>
              <w:rPr>
                <w:sz w:val="21"/>
                <w:szCs w:val="21"/>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(165)</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(5,569)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other liabilities</w:t>
            </w:r>
          </w:p>
        </w:tc>
        <w:tc>
          <w:tcPr>
            <w:tcW w:w="3800" w:type="dxa"/>
            <w:vAlign w:val="bottom"/>
          </w:tcPr>
          <w:p>
            <w:pPr>
              <w:spacing w:after="0"/>
              <w:rPr>
                <w:sz w:val="21"/>
                <w:szCs w:val="21"/>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04"/>
        </w:trPr>
        <w:tc>
          <w:tcPr>
            <w:tcW w:w="6280" w:type="dxa"/>
            <w:vAlign w:val="bottom"/>
            <w:tcBorders>
              <w:bottom w:val="single" w:sz="8" w:color="auto"/>
            </w:tcBorders>
            <w:shd w:val="clear" w:color="auto" w:fill="CCEEFF"/>
          </w:tcPr>
          <w:p>
            <w:pPr>
              <w:spacing w:after="0"/>
              <w:rPr>
                <w:sz w:val="24"/>
                <w:szCs w:val="24"/>
                <w:color w:val="auto"/>
              </w:rPr>
            </w:pPr>
          </w:p>
        </w:tc>
        <w:tc>
          <w:tcPr>
            <w:tcW w:w="38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58,396</w:t>
            </w:r>
          </w:p>
        </w:tc>
        <w:tc>
          <w:tcPr>
            <w:tcW w:w="100" w:type="dxa"/>
            <w:vAlign w:val="bottom"/>
          </w:tcPr>
          <w:p>
            <w:pPr>
              <w:spacing w:after="0"/>
              <w:rPr>
                <w:sz w:val="21"/>
                <w:szCs w:val="21"/>
                <w:color w:val="auto"/>
              </w:rPr>
            </w:pPr>
          </w:p>
        </w:tc>
      </w:tr>
      <w:tr>
        <w:trPr>
          <w:trHeight w:val="67"/>
        </w:trPr>
        <w:tc>
          <w:tcPr>
            <w:tcW w:w="62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78"/>
        </w:trPr>
        <w:tc>
          <w:tcPr>
            <w:tcW w:w="628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58,396</w:t>
            </w:r>
          </w:p>
        </w:tc>
        <w:tc>
          <w:tcPr>
            <w:tcW w:w="100" w:type="dxa"/>
            <w:vAlign w:val="bottom"/>
          </w:tcPr>
          <w:p>
            <w:pPr>
              <w:spacing w:after="0"/>
              <w:rPr>
                <w:sz w:val="21"/>
                <w:szCs w:val="21"/>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 In finalizing the goodwill on acquisition of CRM in the twelve month period from acquisition, fair value adjustments were made which resulted in an increase to unbilled revenue ($1.1 million) and other liabilities ($1.1 million) and in a decrease to accounts receivable ($0.3 million) and accounts payable ($0.5 million). Customer list, order backlog and brand intangible asset values were also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Restructuring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restructuring charge of $12.5 million was recognized during the three months ended June 30, 2018 under a restructuring plan adopted a review following a review of operations. The restructuring plan reflected resource rationalization across the business to improve resource utilizations, resulting in a charge of $9.7 million and office consolidation resulting in the recognition of an onerous lease obligation of $2.8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restructuring charge recognized in the three and six months ended June, 30 2018 are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8"/>
                <w:szCs w:val="18"/>
                <w:b w:val="1"/>
                <w:bCs w:val="1"/>
                <w:color w:val="auto"/>
                <w:w w:val="90"/>
              </w:rPr>
              <w:t>Three Months Ended</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Six Months Ended</w:t>
            </w:r>
          </w:p>
        </w:tc>
        <w:tc>
          <w:tcPr>
            <w:tcW w:w="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03"/>
        </w:trPr>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100" w:type="dxa"/>
            <w:vAlign w:val="bottom"/>
          </w:tcPr>
          <w:p>
            <w:pPr>
              <w:spacing w:after="0"/>
              <w:rPr>
                <w:sz w:val="17"/>
                <w:szCs w:val="17"/>
                <w:color w:val="auto"/>
              </w:rPr>
            </w:pPr>
          </w:p>
        </w:tc>
        <w:tc>
          <w:tcPr>
            <w:tcW w:w="1140" w:type="dxa"/>
            <w:vAlign w:val="bottom"/>
            <w:gridSpan w:val="4"/>
          </w:tcPr>
          <w:p>
            <w:pPr>
              <w:jc w:val="right"/>
              <w:ind w:right="8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120" w:type="dxa"/>
            <w:vAlign w:val="bottom"/>
          </w:tcPr>
          <w:p>
            <w:pPr>
              <w:spacing w:after="0"/>
              <w:rPr>
                <w:sz w:val="17"/>
                <w:szCs w:val="17"/>
                <w:color w:val="auto"/>
              </w:rPr>
            </w:pP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120" w:type="dxa"/>
            <w:vAlign w:val="bottom"/>
          </w:tcPr>
          <w:p>
            <w:pPr>
              <w:spacing w:after="0"/>
              <w:rPr>
                <w:sz w:val="17"/>
                <w:szCs w:val="17"/>
                <w:color w:val="auto"/>
              </w:rPr>
            </w:pP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w w:val="87"/>
              </w:rPr>
              <w:t>June 30, 2017</w:t>
            </w:r>
          </w:p>
        </w:tc>
      </w:tr>
      <w:tr>
        <w:trPr>
          <w:trHeight w:val="48"/>
        </w:trPr>
        <w:tc>
          <w:tcPr>
            <w:tcW w:w="29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2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12,490</w:t>
            </w: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7,753</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12,490</w:t>
            </w:r>
          </w:p>
        </w:tc>
        <w:tc>
          <w:tcPr>
            <w:tcW w:w="7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7,753</w:t>
            </w:r>
          </w:p>
        </w:tc>
      </w:tr>
      <w:tr>
        <w:trPr>
          <w:trHeight w:val="27"/>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29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12,490</w:t>
            </w: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7,753</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12,490</w:t>
            </w:r>
          </w:p>
        </w:tc>
        <w:tc>
          <w:tcPr>
            <w:tcW w:w="7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7,753</w:t>
            </w:r>
          </w:p>
        </w:tc>
      </w:tr>
      <w:tr>
        <w:trPr>
          <w:trHeight w:val="27"/>
        </w:trPr>
        <w:tc>
          <w:tcPr>
            <w:tcW w:w="2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Details of the movement in the restructuring charge recognized in the three and six months ended June 30, 2018 are as follows:</w:t>
      </w:r>
    </w:p>
    <w:p>
      <w:pPr>
        <w:spacing w:after="0" w:line="200" w:lineRule="exact"/>
        <w:rPr>
          <w:sz w:val="20"/>
          <w:szCs w:val="20"/>
          <w:color w:val="auto"/>
        </w:rPr>
      </w:pPr>
    </w:p>
    <w:p>
      <w:pPr>
        <w:spacing w:after="0" w:line="283" w:lineRule="exact"/>
        <w:rPr>
          <w:sz w:val="20"/>
          <w:szCs w:val="20"/>
          <w:color w:val="auto"/>
        </w:rPr>
      </w:pPr>
    </w:p>
    <w:tbl>
      <w:tblPr>
        <w:tblLayout w:type="fixed"/>
        <w:tblInd w:w="1120" w:type="dxa"/>
        <w:tblCellMar>
          <w:top w:w="0" w:type="dxa"/>
          <w:left w:w="0" w:type="dxa"/>
          <w:bottom w:w="0" w:type="dxa"/>
          <w:right w:w="0" w:type="dxa"/>
        </w:tblCellMar>
      </w:tblPr>
      <w:tr>
        <w:trPr>
          <w:trHeight w:val="225"/>
        </w:trPr>
        <w:tc>
          <w:tcPr>
            <w:tcW w:w="40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8"/>
              </w:rPr>
              <w:t>Workforce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Onerous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40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Lease</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3"/>
        </w:trPr>
        <w:tc>
          <w:tcPr>
            <w:tcW w:w="40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(in thousands)</w:t>
            </w: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restructuring charge recorded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9,684</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12,490</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4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8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movement</w:t>
            </w:r>
          </w:p>
        </w:tc>
        <w:tc>
          <w:tcPr>
            <w:tcW w:w="16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Provision at June 30, 2018</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9,194</w:t>
            </w: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2,806</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12,000</w:t>
            </w:r>
          </w:p>
        </w:tc>
      </w:tr>
      <w:tr>
        <w:trPr>
          <w:trHeight w:val="27"/>
        </w:trPr>
        <w:tc>
          <w:tcPr>
            <w:tcW w:w="4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restructuring charge of $7.8 million was recognized during the year ended December 31, 2017 under a restructuring plan adopted following a review of operations. The restructuring plan reflected resource rationalization across the business to improve resource utilization.</w:t>
      </w:r>
    </w:p>
    <w:p>
      <w:pPr>
        <w:spacing w:after="0" w:line="200" w:lineRule="exact"/>
        <w:rPr>
          <w:sz w:val="20"/>
          <w:szCs w:val="20"/>
          <w:color w:val="auto"/>
        </w:rPr>
      </w:pP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25"/>
        </w:trPr>
        <w:tc>
          <w:tcPr>
            <w:tcW w:w="518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Workforce</w:t>
            </w:r>
          </w:p>
        </w:tc>
      </w:tr>
      <w:tr>
        <w:trPr>
          <w:trHeight w:val="241"/>
        </w:trPr>
        <w:tc>
          <w:tcPr>
            <w:tcW w:w="518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Reductions</w:t>
            </w:r>
          </w:p>
        </w:tc>
      </w:tr>
      <w:tr>
        <w:trPr>
          <w:trHeight w:val="243"/>
        </w:trPr>
        <w:tc>
          <w:tcPr>
            <w:tcW w:w="5180" w:type="dxa"/>
            <w:vAlign w:val="bottom"/>
          </w:tcPr>
          <w:p>
            <w:pPr>
              <w:spacing w:after="0"/>
              <w:rPr>
                <w:sz w:val="21"/>
                <w:szCs w:val="21"/>
                <w:color w:val="auto"/>
              </w:rPr>
            </w:pPr>
          </w:p>
        </w:tc>
        <w:tc>
          <w:tcPr>
            <w:tcW w:w="4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recognized</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7,753</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Utilized</w:t>
            </w:r>
          </w:p>
        </w:tc>
        <w:tc>
          <w:tcPr>
            <w:tcW w:w="30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(4,656)</w:t>
            </w:r>
          </w:p>
        </w:tc>
      </w:tr>
      <w:tr>
        <w:trPr>
          <w:trHeight w:val="34"/>
        </w:trPr>
        <w:tc>
          <w:tcPr>
            <w:tcW w:w="51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2017</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3,097</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Utilized</w:t>
            </w:r>
          </w:p>
        </w:tc>
        <w:tc>
          <w:tcPr>
            <w:tcW w:w="30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34"/>
        </w:trPr>
        <w:tc>
          <w:tcPr>
            <w:tcW w:w="51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June 30, 2018</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r>
      <w:tr>
        <w:trPr>
          <w:trHeight w:val="20"/>
        </w:trPr>
        <w:tc>
          <w:tcPr>
            <w:tcW w:w="5180" w:type="dxa"/>
            <w:vAlign w:val="bottom"/>
            <w:tcBorders>
              <w:top w:val="single" w:sz="8" w:color="auto"/>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resulting in a charge of $6.2 million and office consolidation resulting in the recognition of an onerous lease obligation of $2.0 million during the twelve months ended December 31, 2016.</w:t>
      </w:r>
    </w:p>
    <w:p>
      <w:pPr>
        <w:sectPr>
          <w:pgSz w:w="11900" w:h="16838" w:orient="portrait"/>
          <w:cols w:equalWidth="0" w:num="1">
            <w:col w:w="11420"/>
          </w:cols>
          <w:pgMar w:left="240" w:top="742"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42"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5"/>
        </w:trPr>
        <w:tc>
          <w:tcPr>
            <w:tcW w:w="45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Workforce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Onerous</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456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Reductions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Lease</w:t>
            </w:r>
          </w:p>
        </w:tc>
        <w:tc>
          <w:tcPr>
            <w:tcW w:w="5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3"/>
        </w:trPr>
        <w:tc>
          <w:tcPr>
            <w:tcW w:w="45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recognized</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1,969</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8,159</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Utilized</w:t>
            </w:r>
          </w:p>
        </w:tc>
        <w:tc>
          <w:tcPr>
            <w:tcW w:w="25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(5,734)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(6,305)</w:t>
            </w:r>
          </w:p>
        </w:tc>
      </w:tr>
      <w:tr>
        <w:trPr>
          <w:trHeight w:val="27"/>
        </w:trPr>
        <w:tc>
          <w:tcPr>
            <w:tcW w:w="4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25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December 31, 2016</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1,398</w:t>
            </w:r>
          </w:p>
        </w:tc>
        <w:tc>
          <w:tcPr>
            <w:tcW w:w="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1,791</w:t>
            </w:r>
          </w:p>
        </w:tc>
      </w:tr>
      <w:tr>
        <w:trPr>
          <w:trHeight w:val="27"/>
        </w:trPr>
        <w:tc>
          <w:tcPr>
            <w:tcW w:w="4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Utilized</w:t>
            </w:r>
          </w:p>
        </w:tc>
        <w:tc>
          <w:tcPr>
            <w:tcW w:w="25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5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43"/>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December 31, 2017</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317</w:t>
            </w:r>
          </w:p>
        </w:tc>
        <w:tc>
          <w:tcPr>
            <w:tcW w:w="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4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Utilized</w:t>
            </w:r>
          </w:p>
        </w:tc>
        <w:tc>
          <w:tcPr>
            <w:tcW w:w="25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5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June 30, 2018</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5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We expect this to be paid by 2024.</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5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Onerous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Asset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5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Lease</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Impairment</w:t>
            </w: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43"/>
        </w:trPr>
        <w:tc>
          <w:tcPr>
            <w:tcW w:w="4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recognized</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Asset write off</w:t>
            </w:r>
          </w:p>
        </w:tc>
        <w:tc>
          <w:tcPr>
            <w:tcW w:w="25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(5,629)</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(5,629)</w:t>
            </w:r>
          </w:p>
        </w:tc>
      </w:tr>
      <w:tr>
        <w:trPr>
          <w:trHeight w:val="34"/>
        </w:trPr>
        <w:tc>
          <w:tcPr>
            <w:tcW w:w="4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2014</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3,167</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34"/>
        </w:trPr>
        <w:tc>
          <w:tcPr>
            <w:tcW w:w="4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2015</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(1,359)</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34"/>
        </w:trPr>
        <w:tc>
          <w:tcPr>
            <w:tcW w:w="4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2016</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34"/>
        </w:trPr>
        <w:tc>
          <w:tcPr>
            <w:tcW w:w="4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2017</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4"/>
        </w:trPr>
        <w:tc>
          <w:tcPr>
            <w:tcW w:w="4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June 30, 2018</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$13.1 million is included within other liabilities and $1.1 million within non-current other liabilities.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9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Income Taxes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recognized during the three and six months ended June 30, 2018, comprise: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60" w:type="dxa"/>
            <w:vAlign w:val="bottom"/>
            <w:gridSpan w:val="8"/>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20" w:type="dxa"/>
            <w:vAlign w:val="bottom"/>
            <w:gridSpan w:val="6"/>
            <w:shd w:val="clear" w:color="auto" w:fill="CCEEFF"/>
          </w:tcPr>
          <w:p>
            <w:pPr>
              <w:jc w:val="right"/>
              <w:ind w:right="700"/>
              <w:spacing w:after="0"/>
              <w:rPr>
                <w:sz w:val="20"/>
                <w:szCs w:val="20"/>
                <w:color w:val="auto"/>
              </w:rPr>
            </w:pPr>
            <w:r>
              <w:rPr>
                <w:rFonts w:ascii="Arial" w:cs="Arial" w:eastAsia="Arial" w:hAnsi="Arial"/>
                <w:sz w:val="18"/>
                <w:szCs w:val="18"/>
                <w:b w:val="1"/>
                <w:bCs w:val="1"/>
                <w:color w:val="auto"/>
                <w:w w:val="89"/>
              </w:rPr>
              <w:t>Six Months Ended</w:t>
            </w:r>
          </w:p>
        </w:tc>
      </w:tr>
      <w:tr>
        <w:trPr>
          <w:trHeight w:val="48"/>
        </w:trPr>
        <w:tc>
          <w:tcPr>
            <w:tcW w:w="50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5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240" w:type="dxa"/>
            <w:vAlign w:val="bottom"/>
          </w:tcPr>
          <w:p>
            <w:pPr>
              <w:spacing w:after="0"/>
              <w:rPr>
                <w:sz w:val="17"/>
                <w:szCs w:val="17"/>
                <w:color w:val="auto"/>
              </w:rPr>
            </w:pPr>
          </w:p>
        </w:tc>
        <w:tc>
          <w:tcPr>
            <w:tcW w:w="12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90"/>
              </w:rPr>
              <w:t>June 30, 2017</w:t>
            </w:r>
          </w:p>
        </w:tc>
        <w:tc>
          <w:tcPr>
            <w:tcW w:w="220" w:type="dxa"/>
            <w:vAlign w:val="bottom"/>
          </w:tcPr>
          <w:p>
            <w:pPr>
              <w:spacing w:after="0"/>
              <w:rPr>
                <w:sz w:val="17"/>
                <w:szCs w:val="17"/>
                <w:color w:val="auto"/>
              </w:rPr>
            </w:pP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92"/>
              </w:rPr>
              <w:t>June 30, 2018</w:t>
            </w:r>
          </w:p>
        </w:tc>
        <w:tc>
          <w:tcPr>
            <w:tcW w:w="260" w:type="dxa"/>
            <w:vAlign w:val="bottom"/>
          </w:tcPr>
          <w:p>
            <w:pPr>
              <w:spacing w:after="0"/>
              <w:rPr>
                <w:sz w:val="17"/>
                <w:szCs w:val="17"/>
                <w:color w:val="auto"/>
              </w:rPr>
            </w:pPr>
          </w:p>
        </w:tc>
        <w:tc>
          <w:tcPr>
            <w:tcW w:w="116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w w:val="88"/>
              </w:rPr>
              <w:t>June 30, 2017</w:t>
            </w:r>
          </w:p>
        </w:tc>
      </w:tr>
      <w:tr>
        <w:trPr>
          <w:trHeight w:val="48"/>
        </w:trPr>
        <w:tc>
          <w:tcPr>
            <w:tcW w:w="5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7"/>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6"/>
            <w:shd w:val="clear" w:color="auto" w:fill="CCEEFF"/>
          </w:tcPr>
          <w:p>
            <w:pPr>
              <w:jc w:val="right"/>
              <w:ind w:right="860"/>
              <w:spacing w:after="0"/>
              <w:rPr>
                <w:sz w:val="20"/>
                <w:szCs w:val="20"/>
                <w:color w:val="auto"/>
              </w:rPr>
            </w:pPr>
            <w:r>
              <w:rPr>
                <w:rFonts w:ascii="Arial" w:cs="Arial" w:eastAsia="Arial" w:hAnsi="Arial"/>
                <w:sz w:val="18"/>
                <w:szCs w:val="18"/>
                <w:b w:val="1"/>
                <w:bCs w:val="1"/>
                <w:color w:val="auto"/>
                <w:w w:val="99"/>
              </w:rPr>
              <w:t>(in thousands)</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9,212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11,550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19,862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23,175</w:t>
            </w:r>
          </w:p>
        </w:tc>
      </w:tr>
      <w:tr>
        <w:trPr>
          <w:trHeight w:val="27"/>
        </w:trPr>
        <w:tc>
          <w:tcPr>
            <w:tcW w:w="5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impact of restructuring and other items</w:t>
            </w:r>
          </w:p>
        </w:tc>
        <w:tc>
          <w:tcPr>
            <w:tcW w:w="8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(1,453)</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(969)</w:t>
            </w:r>
          </w:p>
        </w:tc>
      </w:tr>
      <w:tr>
        <w:trPr>
          <w:trHeight w:val="243"/>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for income taxes after restructuring and other items</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7,759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10,581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18,409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22,206</w:t>
            </w:r>
          </w:p>
        </w:tc>
      </w:tr>
      <w:tr>
        <w:trPr>
          <w:trHeight w:val="27"/>
        </w:trPr>
        <w:tc>
          <w:tcPr>
            <w:tcW w:w="50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at June 30, 2018 the Company maintains a $27.6 million liability (December 31, 2017: $26.1 million) for unrecognized tax benefit, which is comprised of $25.1 million (December 31, 2017: $23.7 million) related to items generating unrecognized tax benefits and $2.5 million (December 31, 2017: $2.4 million) for interest and related penalties to such items. The Company recognizes interest accrued on unrecognized tax benefits as an additional income tax expense.</w:t>
      </w:r>
    </w:p>
    <w:p>
      <w:pPr>
        <w:spacing w:after="0" w:line="25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2013 through 2017 tax years. The Company does not believe that the outcome of any examination will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income per ordinary share</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60" w:type="dxa"/>
            <w:vAlign w:val="bottom"/>
            <w:gridSpan w:val="6"/>
            <w:shd w:val="clear" w:color="auto" w:fill="CCEEFF"/>
          </w:tcPr>
          <w:p>
            <w:pPr>
              <w:jc w:val="right"/>
              <w:ind w:right="920"/>
              <w:spacing w:after="0"/>
              <w:rPr>
                <w:sz w:val="20"/>
                <w:szCs w:val="20"/>
                <w:color w:val="auto"/>
              </w:rPr>
            </w:pPr>
            <w:r>
              <w:rPr>
                <w:rFonts w:ascii="Arial" w:cs="Arial" w:eastAsia="Arial" w:hAnsi="Arial"/>
                <w:sz w:val="18"/>
                <w:szCs w:val="18"/>
                <w:b w:val="1"/>
                <w:bCs w:val="1"/>
                <w:color w:val="auto"/>
                <w:w w:val="90"/>
              </w:rPr>
              <w:t>Three Months Ended</w:t>
            </w:r>
          </w:p>
        </w:tc>
        <w:tc>
          <w:tcPr>
            <w:tcW w:w="2620" w:type="dxa"/>
            <w:vAlign w:val="bottom"/>
            <w:gridSpan w:val="6"/>
            <w:shd w:val="clear" w:color="auto" w:fill="CCEEFF"/>
          </w:tcPr>
          <w:p>
            <w:pPr>
              <w:ind w:left="520"/>
              <w:spacing w:after="0"/>
              <w:rPr>
                <w:sz w:val="20"/>
                <w:szCs w:val="20"/>
                <w:color w:val="auto"/>
              </w:rPr>
            </w:pPr>
            <w:r>
              <w:rPr>
                <w:rFonts w:ascii="Arial" w:cs="Arial" w:eastAsia="Arial" w:hAnsi="Arial"/>
                <w:sz w:val="18"/>
                <w:szCs w:val="18"/>
                <w:b w:val="1"/>
                <w:bCs w:val="1"/>
                <w:color w:val="auto"/>
              </w:rPr>
              <w:t>Six Months Ended</w:t>
            </w:r>
          </w:p>
        </w:tc>
      </w:tr>
      <w:tr>
        <w:trPr>
          <w:trHeight w:val="48"/>
        </w:trPr>
        <w:tc>
          <w:tcPr>
            <w:tcW w:w="5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5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1700" w:type="dxa"/>
            <w:vAlign w:val="bottom"/>
            <w:gridSpan w:val="4"/>
          </w:tcPr>
          <w:p>
            <w:pPr>
              <w:jc w:val="right"/>
              <w:ind w:right="440"/>
              <w:spacing w:after="0" w:line="202" w:lineRule="exact"/>
              <w:rPr>
                <w:sz w:val="20"/>
                <w:szCs w:val="20"/>
                <w:color w:val="auto"/>
              </w:rPr>
            </w:pPr>
            <w:r>
              <w:rPr>
                <w:rFonts w:ascii="Arial" w:cs="Arial" w:eastAsia="Arial" w:hAnsi="Arial"/>
                <w:sz w:val="18"/>
                <w:szCs w:val="18"/>
                <w:b w:val="1"/>
                <w:bCs w:val="1"/>
                <w:color w:val="auto"/>
              </w:rPr>
              <w:t>June 30, 2017</w:t>
            </w:r>
          </w:p>
        </w:tc>
        <w:tc>
          <w:tcPr>
            <w:tcW w:w="14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June 30, 2018</w:t>
            </w:r>
          </w:p>
        </w:tc>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7"/>
              </w:rPr>
              <w:t>June 30, 2017</w:t>
            </w:r>
          </w:p>
        </w:tc>
      </w:tr>
      <w:tr>
        <w:trPr>
          <w:trHeight w:val="48"/>
        </w:trPr>
        <w:tc>
          <w:tcPr>
            <w:tcW w:w="5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Weighted average number of ordinary shares outstanding for basic net</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ordinary share</w:t>
            </w:r>
          </w:p>
        </w:tc>
        <w:tc>
          <w:tcPr>
            <w:tcW w:w="16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54,109,702</w:t>
            </w:r>
          </w:p>
        </w:tc>
        <w:tc>
          <w:tcPr>
            <w:tcW w:w="1700" w:type="dxa"/>
            <w:vAlign w:val="bottom"/>
            <w:tcBorders>
              <w:bottom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53,846,544</w:t>
            </w:r>
          </w:p>
        </w:tc>
        <w:tc>
          <w:tcPr>
            <w:tcW w:w="14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54,017,631</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54,109,800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Effect of dilutive share options outstanding</w:t>
            </w: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742,751</w:t>
            </w:r>
          </w:p>
        </w:tc>
        <w:tc>
          <w:tcPr>
            <w:tcW w:w="1700" w:type="dxa"/>
            <w:vAlign w:val="bottom"/>
            <w:gridSpan w:val="4"/>
          </w:tcPr>
          <w:p>
            <w:pPr>
              <w:jc w:val="right"/>
              <w:ind w:right="440"/>
              <w:spacing w:after="0"/>
              <w:rPr>
                <w:sz w:val="20"/>
                <w:szCs w:val="20"/>
                <w:color w:val="auto"/>
              </w:rPr>
            </w:pPr>
            <w:r>
              <w:rPr>
                <w:rFonts w:ascii="Arial" w:cs="Arial" w:eastAsia="Arial" w:hAnsi="Arial"/>
                <w:sz w:val="18"/>
                <w:szCs w:val="18"/>
                <w:color w:val="auto"/>
              </w:rPr>
              <w:t>684,261</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857,820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813,219</w:t>
            </w:r>
          </w:p>
        </w:tc>
      </w:tr>
      <w:tr>
        <w:trPr>
          <w:trHeight w:val="34"/>
        </w:trPr>
        <w:tc>
          <w:tcPr>
            <w:tcW w:w="5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 average number of ordinary shares outstanding for diluted net</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2"/>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ordinary share</w:t>
            </w:r>
          </w:p>
        </w:tc>
        <w:tc>
          <w:tcPr>
            <w:tcW w:w="16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54,852,453</w:t>
            </w:r>
          </w:p>
        </w:tc>
        <w:tc>
          <w:tcPr>
            <w:tcW w:w="1700" w:type="dxa"/>
            <w:vAlign w:val="bottom"/>
            <w:tcBorders>
              <w:bottom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54,530,805</w:t>
            </w:r>
          </w:p>
        </w:tc>
        <w:tc>
          <w:tcPr>
            <w:tcW w:w="14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54,875,451</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54,923,019</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54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Share-based Awards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3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1.0 million and to extend the date for options to be granted under the 2008 Option Plans.</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Share options typically vest over a period of five years from date of grant and expire eight years from date of grant. Share option awards granted to non-Executive Directors during the six months ended June 30, 2018 vest one year from the date of grant. The maximum contractual term of options outstanding at June 30, 2018 is eight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six months ended June 30, 2018:</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Weighted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5"/>
              </w:rPr>
              <w:t>Average Grant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Exercise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Date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Contractual</w:t>
            </w:r>
          </w:p>
        </w:tc>
      </w:tr>
      <w:tr>
        <w:trPr>
          <w:trHeight w:val="241"/>
        </w:trPr>
        <w:tc>
          <w:tcPr>
            <w:tcW w:w="406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Life</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1,171,393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17.15</w:t>
            </w:r>
          </w:p>
        </w:tc>
        <w:tc>
          <w:tcPr>
            <w:tcW w:w="1320" w:type="dxa"/>
            <w:vAlign w:val="bottom"/>
          </w:tcPr>
          <w:p>
            <w:pPr>
              <w:spacing w:after="0"/>
              <w:rPr>
                <w:sz w:val="21"/>
                <w:szCs w:val="21"/>
                <w:color w:val="auto"/>
              </w:rPr>
            </w:pPr>
          </w:p>
        </w:tc>
      </w:tr>
      <w:tr>
        <w:trPr>
          <w:trHeight w:val="34"/>
        </w:trPr>
        <w:tc>
          <w:tcPr>
            <w:tcW w:w="40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167,557</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36.84</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(226,888)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14.59</w:t>
            </w:r>
          </w:p>
        </w:tc>
        <w:tc>
          <w:tcPr>
            <w:tcW w:w="132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2"/>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(6,580)</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12.32</w:t>
            </w:r>
          </w:p>
        </w:tc>
        <w:tc>
          <w:tcPr>
            <w:tcW w:w="1320" w:type="dxa"/>
            <w:vAlign w:val="bottom"/>
            <w:tcBorders>
              <w:bottom w:val="single" w:sz="8" w:color="CCEEFF"/>
            </w:tcBorders>
            <w:shd w:val="clear" w:color="auto" w:fill="CCEEFF"/>
          </w:tcPr>
          <w:p>
            <w:pPr>
              <w:spacing w:after="0"/>
              <w:rPr>
                <w:sz w:val="24"/>
                <w:szCs w:val="24"/>
                <w:color w:val="auto"/>
              </w:rPr>
            </w:pPr>
          </w:p>
        </w:tc>
      </w:tr>
      <w:tr>
        <w:trPr>
          <w:trHeight w:val="297"/>
        </w:trPr>
        <w:tc>
          <w:tcPr>
            <w:tcW w:w="40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1,105,482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20.69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2018</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562,223</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15.39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2" w:right="239" w:bottom="1440" w:gutter="0" w:footer="0" w:header="0"/>
          <w:type w:val="continuous"/>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$8.53 to $39.96 per option or a weighted average fair value of $13.2 per option. The Company issues ordinary shares for all options exercised. The total amount of fully vested share options which remained outstanding at June 30, 2018 was 562,223. Fully vested share options at June 30, 2018 have an average remaining contractual term of 3.80 years, an average exercise price of $48.81 and a total intrinsic value of $47.1 million. The total intrinsic value of options exercised during the six months ended June 30, 2018 was $18.5 million (June 30, 2017: $14.0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six months ended June 30, 2018:</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shd w:val="clear" w:color="auto" w:fill="CCEEFF"/>
          </w:tcPr>
          <w:p>
            <w:pPr>
              <w:spacing w:after="0"/>
              <w:rPr>
                <w:sz w:val="19"/>
                <w:szCs w:val="19"/>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Grant Date Fair</w:t>
            </w:r>
          </w:p>
        </w:tc>
      </w:tr>
      <w:tr>
        <w:trPr>
          <w:trHeight w:val="241"/>
        </w:trPr>
        <w:tc>
          <w:tcPr>
            <w:tcW w:w="528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Exercise Price</w:t>
            </w: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Value</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December 31, 2017</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694,727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68.06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20.03</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Granted</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167,557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118.90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36.84</w:t>
            </w:r>
          </w:p>
        </w:tc>
      </w:tr>
      <w:tr>
        <w:trPr>
          <w:trHeight w:val="27"/>
        </w:trPr>
        <w:tc>
          <w:tcPr>
            <w:tcW w:w="5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61.76</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000" w:type="dxa"/>
            <w:vAlign w:val="bottom"/>
          </w:tcPr>
          <w:p>
            <w:pPr>
              <w:jc w:val="right"/>
              <w:ind w:right="10"/>
              <w:spacing w:after="0"/>
              <w:rPr>
                <w:sz w:val="20"/>
                <w:szCs w:val="20"/>
                <w:color w:val="auto"/>
              </w:rPr>
            </w:pPr>
            <w:r>
              <w:rPr>
                <w:rFonts w:ascii="Arial" w:cs="Arial" w:eastAsia="Arial" w:hAnsi="Arial"/>
                <w:sz w:val="18"/>
                <w:szCs w:val="18"/>
                <w:color w:val="auto"/>
              </w:rPr>
              <w:t>(2,705)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56.58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16.84</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June 30, 2018</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543,259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87.46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26.17</w:t>
            </w:r>
          </w:p>
        </w:tc>
      </w:tr>
      <w:tr>
        <w:trPr>
          <w:trHeight w:val="27"/>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six months ended June 30, 2018 and June 30, 2017 was calculated using the Black-Scholes option pricing model. The weighted average grant date fair values and assumptions used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120"/>
        <w:spacing w:after="0"/>
        <w:rPr>
          <w:sz w:val="20"/>
          <w:szCs w:val="20"/>
          <w:color w:val="auto"/>
        </w:rPr>
      </w:pPr>
      <w:r>
        <w:rPr>
          <w:rFonts w:ascii="Arial" w:cs="Arial" w:eastAsia="Arial" w:hAnsi="Arial"/>
          <w:sz w:val="18"/>
          <w:szCs w:val="18"/>
          <w:b w:val="1"/>
          <w:bCs w:val="1"/>
          <w:u w:val="single" w:color="auto"/>
          <w:color w:val="auto"/>
        </w:rPr>
        <w:t>Six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June 30, 2018</w:t>
            </w:r>
          </w:p>
        </w:tc>
        <w:tc>
          <w:tcPr>
            <w:tcW w:w="3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June 30, 2017</w:t>
            </w: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82"/>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3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w:t>
            </w:r>
          </w:p>
        </w:tc>
      </w:tr>
      <w:tr>
        <w:trPr>
          <w:trHeight w:val="203"/>
        </w:trPr>
        <w:tc>
          <w:tcPr>
            <w:tcW w:w="5520" w:type="dxa"/>
            <w:vAlign w:val="bottom"/>
            <w:tcBorders>
              <w:top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Assumptions:</w:t>
            </w:r>
          </w:p>
        </w:tc>
        <w:tc>
          <w:tcPr>
            <w:tcW w:w="30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Dividend yield</w:t>
            </w:r>
          </w:p>
        </w:tc>
        <w:tc>
          <w:tcPr>
            <w:tcW w:w="30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Expected life</w:t>
            </w:r>
          </w:p>
        </w:tc>
        <w:tc>
          <w:tcPr>
            <w:tcW w:w="30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 years</w:t>
            </w:r>
          </w:p>
        </w:tc>
        <w:tc>
          <w:tcPr>
            <w:tcW w:w="3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 years</w:t>
            </w:r>
          </w:p>
        </w:tc>
      </w:tr>
      <w:tr>
        <w:trPr>
          <w:trHeight w:val="27"/>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six months ended June 30, 2018:</w:t>
      </w:r>
    </w:p>
    <w:p>
      <w:pPr>
        <w:sectPr>
          <w:pgSz w:w="11900" w:h="16838" w:orient="portrait"/>
          <w:cols w:equalWidth="0" w:num="1">
            <w:col w:w="11420"/>
          </w:cols>
          <w:pgMar w:left="240" w:top="746" w:right="239" w:bottom="676"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6" w:right="239" w:bottom="676"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6"/>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PSU</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RSU</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PSU</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Weighted</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RSU</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Weighted</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PSU</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Average</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RSU</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Average</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Outstanding</w:t>
            </w:r>
          </w:p>
        </w:tc>
        <w:tc>
          <w:tcPr>
            <w:tcW w:w="154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Remaining</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Outstanding</w:t>
            </w:r>
          </w:p>
        </w:tc>
        <w:tc>
          <w:tcPr>
            <w:tcW w:w="150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Remaining</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Number of</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Contractual</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Number of</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Contractual</w:t>
            </w:r>
          </w:p>
        </w:tc>
      </w:tr>
      <w:tr>
        <w:trPr>
          <w:trHeight w:val="233"/>
        </w:trPr>
        <w:tc>
          <w:tcPr>
            <w:tcW w:w="3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Shares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Life</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Life</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511,026</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72.07</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0.93</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715,970</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72.65</w:t>
            </w: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71,906</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116.02</w:t>
            </w:r>
          </w:p>
        </w:tc>
        <w:tc>
          <w:tcPr>
            <w:tcW w:w="13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158,775</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123.27</w:t>
            </w:r>
          </w:p>
        </w:tc>
        <w:tc>
          <w:tcPr>
            <w:tcW w:w="118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(215,826)</w:t>
            </w:r>
          </w:p>
        </w:tc>
        <w:tc>
          <w:tcPr>
            <w:tcW w:w="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68.28</w:t>
            </w:r>
          </w:p>
        </w:tc>
        <w:tc>
          <w:tcPr>
            <w:tcW w:w="1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(270,362)</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67.92</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(116,053)</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70.89</w:t>
            </w:r>
          </w:p>
        </w:tc>
        <w:tc>
          <w:tcPr>
            <w:tcW w:w="1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(34,044)</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74.45</w:t>
            </w:r>
          </w:p>
        </w:tc>
        <w:tc>
          <w:tcPr>
            <w:tcW w:w="1180" w:type="dxa"/>
            <w:vAlign w:val="bottom"/>
          </w:tcPr>
          <w:p>
            <w:pPr>
              <w:spacing w:after="0"/>
              <w:rPr>
                <w:sz w:val="21"/>
                <w:szCs w:val="21"/>
                <w:color w:val="auto"/>
              </w:rPr>
            </w:pP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June 30, 2018</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251,053</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85.95</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1.47</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570,339</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88.88</w:t>
            </w: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six months ended June 30, 2018 totaled $18.4 million (full year 2017: $16.6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PSUs vested for the six months ended June 30, 2018 totaled $14.7 million (full year 2017 was $15.0 million).</w:t>
      </w:r>
    </w:p>
    <w:p>
      <w:pPr>
        <w:spacing w:after="0" w:line="3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PSUs vest based on service and specified EPS targets over the period 2015 – 2018, 2016 – 2019, 2017 – 2020 and 2018 – 2021. Since 2013, 147,630 PSUs (net of forfeitures) have been granted. Depending on the amount of EPS from 2015 to 2021, up to an additional 103,423 PSUs may also be granted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six months ended June 30, 2018 has been allocated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5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w w:val="90"/>
              </w:rPr>
              <w:t>Three Months Ended</w:t>
            </w:r>
          </w:p>
        </w:tc>
        <w:tc>
          <w:tcPr>
            <w:tcW w:w="38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gridSpan w:val="7"/>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c>
          <w:tcPr>
            <w:tcW w:w="440" w:type="dxa"/>
            <w:vAlign w:val="bottom"/>
            <w:tcBorders>
              <w:bottom w:val="single" w:sz="8" w:color="CCEEFF"/>
            </w:tcBorders>
            <w:gridSpan w:val="2"/>
            <w:shd w:val="clear" w:color="auto" w:fill="CCEEFF"/>
          </w:tcPr>
          <w:p>
            <w:pPr>
              <w:spacing w:after="0"/>
              <w:rPr>
                <w:sz w:val="22"/>
                <w:szCs w:val="22"/>
                <w:color w:val="auto"/>
              </w:rPr>
            </w:pPr>
          </w:p>
        </w:tc>
      </w:tr>
      <w:tr>
        <w:trPr>
          <w:trHeight w:val="203"/>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85"/>
              </w:rPr>
              <w:t>June 30,</w:t>
            </w:r>
          </w:p>
        </w:tc>
        <w:tc>
          <w:tcPr>
            <w:tcW w:w="600" w:type="dxa"/>
            <w:vAlign w:val="bottom"/>
          </w:tcPr>
          <w:p>
            <w:pPr>
              <w:spacing w:after="0"/>
              <w:rPr>
                <w:sz w:val="17"/>
                <w:szCs w:val="17"/>
                <w:color w:val="auto"/>
              </w:rPr>
            </w:pPr>
          </w:p>
        </w:tc>
        <w:tc>
          <w:tcPr>
            <w:tcW w:w="76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5"/>
              </w:rPr>
              <w:t>June 30,</w:t>
            </w:r>
          </w:p>
        </w:tc>
        <w:tc>
          <w:tcPr>
            <w:tcW w:w="360" w:type="dxa"/>
            <w:vAlign w:val="bottom"/>
          </w:tcPr>
          <w:p>
            <w:pPr>
              <w:spacing w:after="0"/>
              <w:rPr>
                <w:sz w:val="17"/>
                <w:szCs w:val="17"/>
                <w:color w:val="auto"/>
              </w:rPr>
            </w:pPr>
          </w:p>
        </w:tc>
        <w:tc>
          <w:tcPr>
            <w:tcW w:w="900" w:type="dxa"/>
            <w:vAlign w:val="bottom"/>
            <w:gridSpan w:val="5"/>
          </w:tcPr>
          <w:p>
            <w:pPr>
              <w:jc w:val="right"/>
              <w:ind w:right="140"/>
              <w:spacing w:after="0" w:line="202" w:lineRule="exact"/>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7"/>
                <w:szCs w:val="17"/>
                <w:color w:val="auto"/>
              </w:rPr>
            </w:pPr>
          </w:p>
        </w:tc>
        <w:tc>
          <w:tcPr>
            <w:tcW w:w="880" w:type="dxa"/>
            <w:vAlign w:val="bottom"/>
            <w:gridSpan w:val="5"/>
          </w:tcPr>
          <w:p>
            <w:pPr>
              <w:ind w:left="140"/>
              <w:spacing w:after="0" w:line="202" w:lineRule="exact"/>
              <w:rPr>
                <w:sz w:val="20"/>
                <w:szCs w:val="20"/>
                <w:color w:val="auto"/>
              </w:rPr>
            </w:pPr>
            <w:r>
              <w:rPr>
                <w:rFonts w:ascii="Arial" w:cs="Arial" w:eastAsia="Arial" w:hAnsi="Arial"/>
                <w:sz w:val="18"/>
                <w:szCs w:val="18"/>
                <w:b w:val="1"/>
                <w:bCs w:val="1"/>
                <w:color w:val="auto"/>
                <w:w w:val="99"/>
              </w:rPr>
              <w:t>June 30,</w:t>
            </w: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7"/>
                <w:szCs w:val="17"/>
                <w:color w:val="auto"/>
              </w:rPr>
            </w:pPr>
          </w:p>
        </w:tc>
        <w:tc>
          <w:tcPr>
            <w:tcW w:w="76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7"/>
                <w:szCs w:val="17"/>
                <w:color w:val="auto"/>
              </w:rPr>
            </w:pPr>
          </w:p>
        </w:tc>
        <w:tc>
          <w:tcPr>
            <w:tcW w:w="7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45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5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7"/>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9"/>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2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3,878</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5,450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9,053</w:t>
            </w:r>
          </w:p>
        </w:tc>
        <w:tc>
          <w:tcPr>
            <w:tcW w:w="14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10,304</w:t>
            </w:r>
          </w:p>
        </w:tc>
      </w:tr>
      <w:tr>
        <w:trPr>
          <w:trHeight w:val="27"/>
        </w:trPr>
        <w:tc>
          <w:tcPr>
            <w:tcW w:w="4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6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4,442</w:t>
            </w:r>
          </w:p>
        </w:tc>
        <w:tc>
          <w:tcPr>
            <w:tcW w:w="3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8,397</w:t>
            </w:r>
          </w:p>
        </w:tc>
      </w:tr>
      <w:tr>
        <w:trPr>
          <w:trHeight w:val="270"/>
        </w:trPr>
        <w:tc>
          <w:tcPr>
            <w:tcW w:w="4540" w:type="dxa"/>
            <w:vAlign w:val="bottom"/>
            <w:tcBorders>
              <w:top w:val="single" w:sz="8" w:color="auto"/>
            </w:tcBorders>
          </w:tcPr>
          <w:p>
            <w:pPr>
              <w:spacing w:after="0"/>
              <w:rPr>
                <w:sz w:val="23"/>
                <w:szCs w:val="23"/>
                <w:color w:val="auto"/>
              </w:rPr>
            </w:pPr>
          </w:p>
        </w:tc>
        <w:tc>
          <w:tcPr>
            <w:tcW w:w="22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454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9,892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16,430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18,701</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non-cash stock compensation expense not yet recognized at June 30, 2018 amounted to $60.2 million. The weighted average period over which this is expected to be recognized is 2.5 years.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amendments required by Accounting Standards Update (‘ASU’) 2016-09 ‘Improvements to Employee Share-Based Payment Accounting’ require the Company to record all tax effects related to share-based payments through the income statement rather than additional paid in capital. The Company applied the updated standard prospectively during the year ended December 31, 2017.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9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Share Capital</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 2016, the Company commenced a previously announced share buyback program of up to $400 million. The Company can acquire up to 10% of its outstanding ordinary shares (by way of redemption), in accordance with Irish law, the United States securities laws, and the Company’s constitutional documents through open market share acquisitions.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buyback program gives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six months ended June 30, 2018 464,055 ordinary shares were redeemed by the Company under this buyback program for a total consideration of $54.2 million. At June 30, 2018 a total of 3,482,469 ordinary shares were redeemed by the Company under this buyback program for a total consideration of $297.3 million. All ordinary shares that were redeemed under the buyback program were canceled in accordance with the Constitution of the Company and the nominal value of these shares transferred to an other undenominated capital reserve as required under Irish Company Law.</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 Information</w:t>
      </w:r>
    </w:p>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operating decision maker, together the (‘CODM’) in accordance with FASB ASC 280-10 </w:t>
      </w:r>
      <w:r>
        <w:rPr>
          <w:rFonts w:ascii="Arial" w:cs="Arial" w:eastAsia="Arial" w:hAnsi="Arial"/>
          <w:sz w:val="18"/>
          <w:szCs w:val="18"/>
          <w:i w:val="1"/>
          <w:iCs w:val="1"/>
          <w:color w:val="auto"/>
        </w:rPr>
        <w:t>Disclosures about Segments of an Enterprises and Related Information</w:t>
      </w:r>
      <w:r>
        <w:rPr>
          <w:rFonts w:ascii="Arial" w:cs="Arial" w:eastAsia="Arial" w:hAnsi="Arial"/>
          <w:sz w:val="18"/>
          <w:szCs w:val="18"/>
          <w:color w:val="auto"/>
        </w:rPr>
        <w:t>. The Chief Executive Officer, Chief Financial Officer and Chief Operating Officer, were together considered the Company’s CODM in the period up to and including March 1, 2017. On March 1, 2017, Mr. Ciaran Murray transitioned from his role as Chief Executive Officer to the role of Executive Chairman of the Board of Directors and Dr. Steve Cutler was appointed as Chief Executive Officer. As of March 1, 2017, the Company determined that the CODM was comprised of the Chief Executive Officer and the Chief Financial Officer.</w:t>
      </w:r>
    </w:p>
    <w:p>
      <w:pPr>
        <w:spacing w:after="0" w:line="3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 up policy is reviewed annually to ensure that it is market appropriate.</w:t>
      </w:r>
    </w:p>
    <w:p>
      <w:pPr>
        <w:sectPr>
          <w:pgSz w:w="11900" w:h="16838" w:orient="portrait"/>
          <w:cols w:equalWidth="0" w:num="1">
            <w:col w:w="11420"/>
          </w:cols>
          <w:pgMar w:left="240" w:top="742"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2" w:right="239" w:bottom="1440" w:gutter="0" w:footer="0" w:header="0"/>
          <w:type w:val="continuous"/>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areas of operation outside of Ireland include the United States, United Kingdom, Belgium, France, Germany, Italy, Spain, The Netherlands, Sweden, Turkey, Poland, Czech Republic, Latvia, Russia, Ukraine, Hungary, Israel, Romania, Canada, Mexico, Brazil, Colombia, Argentina, Chile, Peru, India, China, South Korea, Japan, Thailand, Taiwan, Singapore, The Philippines, Australia, New Zealand, and South Africa.</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geographical distribution of the Company’s segment measures as at June 30, 2018 and December 31, 2017 and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June 30, 2017 is as follows: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distribution of revenue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20" w:type="dxa"/>
            <w:vAlign w:val="bottom"/>
            <w:gridSpan w:val="7"/>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0" w:type="dxa"/>
            <w:vAlign w:val="bottom"/>
            <w:gridSpan w:val="7"/>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90"/>
              </w:rPr>
              <w:t>Six Months Ended</w:t>
            </w:r>
          </w:p>
        </w:tc>
      </w:tr>
      <w:tr>
        <w:trPr>
          <w:trHeight w:val="48"/>
        </w:trPr>
        <w:tc>
          <w:tcPr>
            <w:tcW w:w="360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136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17"/>
                <w:szCs w:val="17"/>
                <w:color w:val="auto"/>
              </w:rPr>
            </w:pPr>
          </w:p>
        </w:tc>
        <w:tc>
          <w:tcPr>
            <w:tcW w:w="116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200" w:type="dxa"/>
            <w:vAlign w:val="bottom"/>
          </w:tcPr>
          <w:p>
            <w:pPr>
              <w:spacing w:after="0"/>
              <w:rPr>
                <w:sz w:val="17"/>
                <w:szCs w:val="17"/>
                <w:color w:val="auto"/>
              </w:rPr>
            </w:pPr>
          </w:p>
        </w:tc>
        <w:tc>
          <w:tcPr>
            <w:tcW w:w="11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7"/>
              </w:rPr>
              <w:t>June 30, 2017</w:t>
            </w:r>
          </w:p>
        </w:tc>
      </w:tr>
      <w:tr>
        <w:trPr>
          <w:trHeight w:val="48"/>
        </w:trPr>
        <w:tc>
          <w:tcPr>
            <w:tcW w:w="36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7"/>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Ireland</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260,120</w:t>
            </w:r>
          </w:p>
        </w:tc>
        <w:tc>
          <w:tcPr>
            <w:tcW w:w="120" w:type="dxa"/>
            <w:vAlign w:val="bottom"/>
          </w:tcPr>
          <w:p>
            <w:pPr>
              <w:spacing w:after="0"/>
              <w:rPr>
                <w:sz w:val="21"/>
                <w:szCs w:val="21"/>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231,315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495,230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463,663</w:t>
            </w:r>
          </w:p>
        </w:tc>
      </w:tr>
      <w:tr>
        <w:trPr>
          <w:trHeight w:val="27"/>
        </w:trPr>
        <w:tc>
          <w:tcPr>
            <w:tcW w:w="3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96,692</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78,922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191,732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151,479</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w:t>
            </w:r>
          </w:p>
        </w:tc>
        <w:tc>
          <w:tcPr>
            <w:tcW w:w="25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221,201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229,938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446,871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453,020</w:t>
            </w:r>
          </w:p>
        </w:tc>
      </w:tr>
      <w:tr>
        <w:trPr>
          <w:trHeight w:val="27"/>
        </w:trPr>
        <w:tc>
          <w:tcPr>
            <w:tcW w:w="3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5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63,597</w:t>
            </w: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51,606</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127,902</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101,685</w:t>
            </w:r>
          </w:p>
        </w:tc>
      </w:tr>
      <w:tr>
        <w:trPr>
          <w:trHeight w:val="270"/>
        </w:trPr>
        <w:tc>
          <w:tcPr>
            <w:tcW w:w="3600" w:type="dxa"/>
            <w:vAlign w:val="bottom"/>
            <w:tcBorders>
              <w:top w:val="single" w:sz="8" w:color="auto"/>
            </w:tcBorders>
          </w:tcPr>
          <w:p>
            <w:pPr>
              <w:spacing w:after="0"/>
              <w:rPr>
                <w:sz w:val="23"/>
                <w:szCs w:val="23"/>
                <w:color w:val="auto"/>
              </w:rPr>
            </w:pPr>
          </w:p>
        </w:tc>
        <w:tc>
          <w:tcPr>
            <w:tcW w:w="25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641,610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2"/>
              </w:rPr>
              <w:t>591,781</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1,261,735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1,169,847</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7620" w:firstLine="8"/>
        <w:spacing w:after="0" w:line="663" w:lineRule="auto"/>
        <w:tabs>
          <w:tab w:leader="none" w:pos="635" w:val="left"/>
        </w:tabs>
        <w:numPr>
          <w:ilvl w:val="1"/>
          <w:numId w:val="1"/>
        </w:numPr>
        <w:rPr>
          <w:rFonts w:ascii="Arial" w:cs="Arial" w:eastAsia="Arial" w:hAnsi="Arial"/>
          <w:sz w:val="17"/>
          <w:szCs w:val="17"/>
          <w:color w:val="auto"/>
        </w:rPr>
      </w:pPr>
      <w:r>
        <w:rPr>
          <w:rFonts w:ascii="Arial" w:cs="Arial" w:eastAsia="Arial" w:hAnsi="Arial"/>
          <w:sz w:val="17"/>
          <w:szCs w:val="17"/>
          <w:color w:val="auto"/>
        </w:rPr>
        <w:t>All sales shown for Ireland are export sales. ** 2017 restated for gross revenue.</w:t>
      </w: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distribution of income from operations including restructuring,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20" w:type="dxa"/>
            <w:vAlign w:val="bottom"/>
            <w:gridSpan w:val="7"/>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Six Months Ended</w:t>
            </w:r>
          </w:p>
        </w:tc>
      </w:tr>
      <w:tr>
        <w:trPr>
          <w:trHeight w:val="48"/>
        </w:trPr>
        <w:tc>
          <w:tcPr>
            <w:tcW w:w="3360" w:type="dxa"/>
            <w:vAlign w:val="bottom"/>
            <w:tcBorders>
              <w:top w:val="single" w:sz="8" w:color="CCEE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1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136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17"/>
                <w:szCs w:val="17"/>
                <w:color w:val="auto"/>
              </w:rPr>
            </w:pPr>
          </w:p>
        </w:tc>
        <w:tc>
          <w:tcPr>
            <w:tcW w:w="116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200" w:type="dxa"/>
            <w:vAlign w:val="bottom"/>
          </w:tcPr>
          <w:p>
            <w:pPr>
              <w:spacing w:after="0"/>
              <w:rPr>
                <w:sz w:val="17"/>
                <w:szCs w:val="17"/>
                <w:color w:val="auto"/>
              </w:rPr>
            </w:pPr>
          </w:p>
        </w:tc>
        <w:tc>
          <w:tcPr>
            <w:tcW w:w="11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7"/>
              </w:rPr>
              <w:t>June 30, 2017</w:t>
            </w:r>
          </w:p>
        </w:tc>
      </w:tr>
      <w:tr>
        <w:trPr>
          <w:trHeight w:val="48"/>
        </w:trPr>
        <w:tc>
          <w:tcPr>
            <w:tcW w:w="33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36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Ireland</w:t>
            </w: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49,587</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38,640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119,397</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102,608</w:t>
            </w:r>
          </w:p>
        </w:tc>
      </w:tr>
      <w:tr>
        <w:trPr>
          <w:trHeight w:val="27"/>
        </w:trPr>
        <w:tc>
          <w:tcPr>
            <w:tcW w:w="3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8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8,899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16,826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12,598</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U.S.</w:t>
            </w:r>
          </w:p>
        </w:tc>
        <w:tc>
          <w:tcPr>
            <w:tcW w:w="2820" w:type="dxa"/>
            <w:vAlign w:val="bottom"/>
          </w:tcPr>
          <w:p>
            <w:pPr>
              <w:spacing w:after="0"/>
              <w:rPr>
                <w:sz w:val="21"/>
                <w:szCs w:val="21"/>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14,703</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26,248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26,505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36,747</w:t>
            </w:r>
          </w:p>
        </w:tc>
      </w:tr>
      <w:tr>
        <w:trPr>
          <w:trHeight w:val="27"/>
        </w:trPr>
        <w:tc>
          <w:tcPr>
            <w:tcW w:w="3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4,211</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10,904</w:t>
            </w: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11,703</w:t>
            </w:r>
          </w:p>
        </w:tc>
      </w:tr>
      <w:tr>
        <w:trPr>
          <w:trHeight w:val="270"/>
        </w:trPr>
        <w:tc>
          <w:tcPr>
            <w:tcW w:w="3360" w:type="dxa"/>
            <w:vAlign w:val="bottom"/>
            <w:tcBorders>
              <w:top w:val="single" w:sz="8" w:color="auto"/>
            </w:tcBorders>
          </w:tcPr>
          <w:p>
            <w:pPr>
              <w:spacing w:after="0"/>
              <w:rPr>
                <w:sz w:val="23"/>
                <w:szCs w:val="23"/>
                <w:color w:val="auto"/>
              </w:rPr>
            </w:pPr>
          </w:p>
        </w:tc>
        <w:tc>
          <w:tcPr>
            <w:tcW w:w="28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81,912</w:t>
            </w:r>
          </w:p>
        </w:tc>
        <w:tc>
          <w:tcPr>
            <w:tcW w:w="6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77,998</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173,632</w:t>
            </w:r>
          </w:p>
        </w:tc>
        <w:tc>
          <w:tcPr>
            <w:tcW w:w="6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163,656</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3360" w:type="dxa"/>
            <w:vAlign w:val="bottom"/>
          </w:tcPr>
          <w:p>
            <w:pPr>
              <w:spacing w:after="0"/>
              <w:rPr>
                <w:sz w:val="24"/>
                <w:szCs w:val="24"/>
                <w:color w:val="auto"/>
              </w:rPr>
            </w:pPr>
          </w:p>
        </w:tc>
        <w:tc>
          <w:tcPr>
            <w:tcW w:w="282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c) The distribution of income from operations excluding restructuring,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980" w:type="dxa"/>
            <w:vAlign w:val="bottom"/>
            <w:gridSpan w:val="9"/>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0"/>
              </w:rPr>
              <w:t>Three Months Ended</w:t>
            </w:r>
          </w:p>
        </w:tc>
        <w:tc>
          <w:tcPr>
            <w:tcW w:w="440" w:type="dxa"/>
            <w:vAlign w:val="bottom"/>
            <w:shd w:val="clear" w:color="auto" w:fill="CCEEFF"/>
          </w:tcPr>
          <w:p>
            <w:pPr>
              <w:spacing w:after="0"/>
              <w:rPr>
                <w:sz w:val="17"/>
                <w:szCs w:val="17"/>
                <w:color w:val="auto"/>
              </w:rPr>
            </w:pPr>
          </w:p>
        </w:tc>
        <w:tc>
          <w:tcPr>
            <w:tcW w:w="1860" w:type="dxa"/>
            <w:vAlign w:val="bottom"/>
            <w:gridSpan w:val="9"/>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r>
      <w:tr>
        <w:trPr>
          <w:trHeight w:val="48"/>
        </w:trPr>
        <w:tc>
          <w:tcPr>
            <w:tcW w:w="286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85"/>
              </w:rPr>
              <w:t>June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w w:val="85"/>
              </w:rPr>
              <w:t>June 30,</w:t>
            </w:r>
          </w:p>
        </w:tc>
        <w:tc>
          <w:tcPr>
            <w:tcW w:w="440" w:type="dxa"/>
            <w:vAlign w:val="bottom"/>
          </w:tcPr>
          <w:p>
            <w:pPr>
              <w:spacing w:after="0"/>
              <w:rPr>
                <w:sz w:val="17"/>
                <w:szCs w:val="17"/>
                <w:color w:val="auto"/>
              </w:rPr>
            </w:pPr>
          </w:p>
        </w:tc>
        <w:tc>
          <w:tcPr>
            <w:tcW w:w="7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9"/>
              </w:rPr>
              <w:t>June 30,</w:t>
            </w:r>
          </w:p>
        </w:tc>
        <w:tc>
          <w:tcPr>
            <w:tcW w:w="440" w:type="dxa"/>
            <w:vAlign w:val="bottom"/>
          </w:tcPr>
          <w:p>
            <w:pPr>
              <w:spacing w:after="0"/>
              <w:rPr>
                <w:sz w:val="17"/>
                <w:szCs w:val="17"/>
                <w:color w:val="auto"/>
              </w:rPr>
            </w:pPr>
          </w:p>
        </w:tc>
        <w:tc>
          <w:tcPr>
            <w:tcW w:w="68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1"/>
              </w:rPr>
              <w:t>June 30,</w:t>
            </w:r>
          </w:p>
        </w:tc>
      </w:tr>
      <w:tr>
        <w:trPr>
          <w:trHeight w:val="196"/>
        </w:trPr>
        <w:tc>
          <w:tcPr>
            <w:tcW w:w="2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7"/>
                <w:szCs w:val="17"/>
                <w:color w:val="auto"/>
              </w:rPr>
            </w:pPr>
          </w:p>
        </w:tc>
      </w:tr>
      <w:tr>
        <w:trPr>
          <w:trHeight w:val="48"/>
        </w:trPr>
        <w:tc>
          <w:tcPr>
            <w:tcW w:w="28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43"/>
        </w:trPr>
        <w:tc>
          <w:tcPr>
            <w:tcW w:w="28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920" w:type="dxa"/>
            <w:vAlign w:val="bottom"/>
            <w:gridSpan w:val="8"/>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20" w:type="dxa"/>
            <w:vAlign w:val="bottom"/>
            <w:gridSpan w:val="8"/>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r>
      <w:tr>
        <w:trPr>
          <w:trHeight w:val="351"/>
        </w:trPr>
        <w:tc>
          <w:tcPr>
            <w:tcW w:w="28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Ireland</w:t>
            </w:r>
          </w:p>
        </w:tc>
        <w:tc>
          <w:tcPr>
            <w:tcW w:w="2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62,077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46,393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131,887</w:t>
            </w:r>
          </w:p>
        </w:tc>
        <w:tc>
          <w:tcPr>
            <w:tcW w:w="100" w:type="dxa"/>
            <w:vAlign w:val="bottom"/>
          </w:tcPr>
          <w:p>
            <w:pPr>
              <w:spacing w:after="0"/>
              <w:rPr>
                <w:sz w:val="21"/>
                <w:szCs w:val="21"/>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110,361</w:t>
            </w:r>
          </w:p>
        </w:tc>
      </w:tr>
      <w:tr>
        <w:trPr>
          <w:trHeight w:val="27"/>
        </w:trPr>
        <w:tc>
          <w:tcPr>
            <w:tcW w:w="2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8,899</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16,826</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12,598</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U.S.</w:t>
            </w:r>
          </w:p>
        </w:tc>
        <w:tc>
          <w:tcPr>
            <w:tcW w:w="20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14,703</w:t>
            </w:r>
          </w:p>
        </w:tc>
        <w:tc>
          <w:tcPr>
            <w:tcW w:w="420" w:type="dxa"/>
            <w:vAlign w:val="bottom"/>
          </w:tcPr>
          <w:p>
            <w:pPr>
              <w:spacing w:after="0"/>
              <w:rPr>
                <w:sz w:val="21"/>
                <w:szCs w:val="21"/>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26,248</w:t>
            </w:r>
          </w:p>
        </w:tc>
        <w:tc>
          <w:tcPr>
            <w:tcW w:w="440" w:type="dxa"/>
            <w:vAlign w:val="bottom"/>
          </w:tcPr>
          <w:p>
            <w:pPr>
              <w:spacing w:after="0"/>
              <w:rPr>
                <w:sz w:val="21"/>
                <w:szCs w:val="21"/>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26,505</w:t>
            </w:r>
          </w:p>
        </w:tc>
        <w:tc>
          <w:tcPr>
            <w:tcW w:w="440" w:type="dxa"/>
            <w:vAlign w:val="bottom"/>
          </w:tcPr>
          <w:p>
            <w:pPr>
              <w:spacing w:after="0"/>
              <w:rPr>
                <w:sz w:val="21"/>
                <w:szCs w:val="21"/>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36,747</w:t>
            </w:r>
          </w:p>
        </w:tc>
      </w:tr>
      <w:tr>
        <w:trPr>
          <w:trHeight w:val="27"/>
        </w:trPr>
        <w:tc>
          <w:tcPr>
            <w:tcW w:w="2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0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4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4,211</w:t>
            </w:r>
          </w:p>
        </w:tc>
        <w:tc>
          <w:tcPr>
            <w:tcW w:w="4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10,904</w:t>
            </w:r>
          </w:p>
        </w:tc>
        <w:tc>
          <w:tcPr>
            <w:tcW w:w="4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11,703</w:t>
            </w:r>
          </w:p>
        </w:tc>
      </w:tr>
      <w:tr>
        <w:trPr>
          <w:trHeight w:val="270"/>
        </w:trPr>
        <w:tc>
          <w:tcPr>
            <w:tcW w:w="2860" w:type="dxa"/>
            <w:vAlign w:val="bottom"/>
            <w:tcBorders>
              <w:top w:val="single" w:sz="8" w:color="auto"/>
            </w:tcBorders>
          </w:tcPr>
          <w:p>
            <w:pPr>
              <w:spacing w:after="0"/>
              <w:rPr>
                <w:sz w:val="23"/>
                <w:szCs w:val="23"/>
                <w:color w:val="auto"/>
              </w:rPr>
            </w:pPr>
          </w:p>
        </w:tc>
        <w:tc>
          <w:tcPr>
            <w:tcW w:w="20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r>
      <w:tr>
        <w:trPr>
          <w:trHeight w:val="275"/>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94,402</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85,751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186,122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171,409</w:t>
            </w:r>
          </w:p>
        </w:tc>
      </w:tr>
      <w:tr>
        <w:trPr>
          <w:trHeight w:val="20"/>
        </w:trPr>
        <w:tc>
          <w:tcPr>
            <w:tcW w:w="28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2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w w:val="94"/>
              </w:rPr>
              <w:t>December</w:t>
            </w:r>
          </w:p>
        </w:tc>
        <w:tc>
          <w:tcPr>
            <w:tcW w:w="0" w:type="dxa"/>
            <w:vAlign w:val="bottom"/>
          </w:tcPr>
          <w:p>
            <w:pPr>
              <w:spacing w:after="0"/>
              <w:rPr>
                <w:sz w:val="1"/>
                <w:szCs w:val="1"/>
                <w:color w:val="auto"/>
              </w:rPr>
            </w:pPr>
          </w:p>
        </w:tc>
      </w:tr>
      <w:tr>
        <w:trPr>
          <w:trHeight w:val="244"/>
        </w:trPr>
        <w:tc>
          <w:tcPr>
            <w:tcW w:w="4040" w:type="dxa"/>
            <w:vAlign w:val="bottom"/>
            <w:tcBorders>
              <w:top w:val="single" w:sz="8" w:color="CCEEFF"/>
              <w:bottom w:val="single" w:sz="8" w:color="CCEEFF"/>
            </w:tcBorders>
            <w:shd w:val="clear" w:color="auto" w:fill="CCEEFF"/>
          </w:tcPr>
          <w:p>
            <w:pPr>
              <w:spacing w:after="0"/>
              <w:rPr>
                <w:sz w:val="21"/>
                <w:szCs w:val="21"/>
                <w:color w:val="auto"/>
              </w:rPr>
            </w:pPr>
          </w:p>
        </w:tc>
        <w:tc>
          <w:tcPr>
            <w:tcW w:w="32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4"/>
              </w:rPr>
              <w:t>2018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8"/>
              </w:rPr>
              <w:t>31, 2017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880" w:type="dxa"/>
            <w:vAlign w:val="bottom"/>
            <w:gridSpan w:val="8"/>
          </w:tcPr>
          <w:p>
            <w:pPr>
              <w:ind w:left="2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5"/>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2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104,070</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111,329</w:t>
            </w:r>
          </w:p>
        </w:tc>
        <w:tc>
          <w:tcPr>
            <w:tcW w:w="0" w:type="dxa"/>
            <w:vAlign w:val="bottom"/>
          </w:tcPr>
          <w:p>
            <w:pPr>
              <w:spacing w:after="0"/>
              <w:rPr>
                <w:sz w:val="1"/>
                <w:szCs w:val="1"/>
                <w:color w:val="auto"/>
              </w:rPr>
            </w:pPr>
          </w:p>
        </w:tc>
      </w:tr>
      <w:tr>
        <w:trPr>
          <w:trHeight w:val="169"/>
        </w:trPr>
        <w:tc>
          <w:tcPr>
            <w:tcW w:w="4040" w:type="dxa"/>
            <w:vAlign w:val="bottom"/>
            <w:tcBorders>
              <w:bottom w:val="single" w:sz="8" w:color="CCEEFF"/>
            </w:tcBorders>
            <w:shd w:val="clear" w:color="auto" w:fill="CCEEFF"/>
          </w:tcPr>
          <w:p>
            <w:pPr>
              <w:spacing w:after="0"/>
              <w:rPr>
                <w:sz w:val="14"/>
                <w:szCs w:val="14"/>
                <w:color w:val="auto"/>
              </w:rPr>
            </w:pPr>
          </w:p>
        </w:tc>
        <w:tc>
          <w:tcPr>
            <w:tcW w:w="328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900" w:type="dxa"/>
            <w:vAlign w:val="bottom"/>
            <w:tcBorders>
              <w:bottom w:val="single" w:sz="8" w:color="CCEEFF"/>
            </w:tcBorders>
            <w:gridSpan w:val="4"/>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3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25,272</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27,797</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280" w:type="dxa"/>
            <w:vAlign w:val="bottom"/>
          </w:tcPr>
          <w:p>
            <w:pPr>
              <w:spacing w:after="0"/>
              <w:rPr>
                <w:sz w:val="21"/>
                <w:szCs w:val="21"/>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15,871</w:t>
            </w:r>
          </w:p>
        </w:tc>
        <w:tc>
          <w:tcPr>
            <w:tcW w:w="240" w:type="dxa"/>
            <w:vAlign w:val="bottom"/>
          </w:tcPr>
          <w:p>
            <w:pPr>
              <w:spacing w:after="0"/>
              <w:rPr>
                <w:sz w:val="21"/>
                <w:szCs w:val="21"/>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14,899</w:t>
            </w:r>
          </w:p>
        </w:tc>
        <w:tc>
          <w:tcPr>
            <w:tcW w:w="0" w:type="dxa"/>
            <w:vAlign w:val="bottom"/>
          </w:tcPr>
          <w:p>
            <w:pPr>
              <w:spacing w:after="0"/>
              <w:rPr>
                <w:sz w:val="1"/>
                <w:szCs w:val="1"/>
                <w:color w:val="auto"/>
              </w:rPr>
            </w:pPr>
          </w:p>
        </w:tc>
      </w:tr>
      <w:tr>
        <w:trPr>
          <w:trHeight w:val="34"/>
        </w:trPr>
        <w:tc>
          <w:tcPr>
            <w:tcW w:w="40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4040" w:type="dxa"/>
            <w:vAlign w:val="bottom"/>
            <w:shd w:val="clear" w:color="auto" w:fill="CCEEFF"/>
          </w:tcPr>
          <w:p>
            <w:pPr>
              <w:spacing w:after="0"/>
              <w:rPr>
                <w:sz w:val="24"/>
                <w:szCs w:val="24"/>
                <w:color w:val="auto"/>
              </w:rPr>
            </w:pPr>
          </w:p>
        </w:tc>
        <w:tc>
          <w:tcPr>
            <w:tcW w:w="3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Total</w:t>
            </w:r>
          </w:p>
        </w:tc>
        <w:tc>
          <w:tcPr>
            <w:tcW w:w="3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155,020</w:t>
            </w: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163,051</w:t>
            </w:r>
          </w:p>
        </w:tc>
        <w:tc>
          <w:tcPr>
            <w:tcW w:w="0" w:type="dxa"/>
            <w:vAlign w:val="bottom"/>
          </w:tcPr>
          <w:p>
            <w:pPr>
              <w:spacing w:after="0"/>
              <w:rPr>
                <w:sz w:val="1"/>
                <w:szCs w:val="1"/>
                <w:color w:val="auto"/>
              </w:rPr>
            </w:pPr>
          </w:p>
        </w:tc>
      </w:tr>
      <w:tr>
        <w:trPr>
          <w:trHeight w:val="67"/>
        </w:trPr>
        <w:tc>
          <w:tcPr>
            <w:tcW w:w="404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04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 The distribution of depreciation and amortization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620" w:type="dxa"/>
            <w:vAlign w:val="bottom"/>
            <w:gridSpan w:val="8"/>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jc w:val="center"/>
              <w:ind w:right="700"/>
              <w:spacing w:after="0"/>
              <w:rPr>
                <w:sz w:val="20"/>
                <w:szCs w:val="20"/>
                <w:color w:val="auto"/>
              </w:rPr>
            </w:pPr>
            <w:r>
              <w:rPr>
                <w:rFonts w:ascii="Arial" w:cs="Arial" w:eastAsia="Arial" w:hAnsi="Arial"/>
                <w:sz w:val="18"/>
                <w:szCs w:val="18"/>
                <w:b w:val="1"/>
                <w:bCs w:val="1"/>
                <w:color w:val="auto"/>
                <w:w w:val="90"/>
              </w:rPr>
              <w:t>Six Months Ended</w:t>
            </w:r>
          </w:p>
        </w:tc>
      </w:tr>
      <w:tr>
        <w:trPr>
          <w:trHeight w:val="48"/>
        </w:trPr>
        <w:tc>
          <w:tcPr>
            <w:tcW w:w="3380" w:type="dxa"/>
            <w:vAlign w:val="bottom"/>
            <w:tcBorders>
              <w:top w:val="single" w:sz="8" w:color="CCEE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7"/>
              </w:rPr>
              <w:t>June 30, 2018</w:t>
            </w:r>
          </w:p>
        </w:tc>
        <w:tc>
          <w:tcPr>
            <w:tcW w:w="260" w:type="dxa"/>
            <w:vAlign w:val="bottom"/>
          </w:tcPr>
          <w:p>
            <w:pPr>
              <w:spacing w:after="0"/>
              <w:rPr>
                <w:sz w:val="17"/>
                <w:szCs w:val="17"/>
                <w:color w:val="auto"/>
              </w:rPr>
            </w:pPr>
          </w:p>
        </w:tc>
        <w:tc>
          <w:tcPr>
            <w:tcW w:w="12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90"/>
              </w:rPr>
              <w:t>June 30, 2017</w:t>
            </w:r>
          </w:p>
        </w:tc>
        <w:tc>
          <w:tcPr>
            <w:tcW w:w="260" w:type="dxa"/>
            <w:vAlign w:val="bottom"/>
          </w:tcPr>
          <w:p>
            <w:pPr>
              <w:spacing w:after="0"/>
              <w:rPr>
                <w:sz w:val="17"/>
                <w:szCs w:val="17"/>
                <w:color w:val="auto"/>
              </w:rPr>
            </w:pPr>
          </w:p>
        </w:tc>
        <w:tc>
          <w:tcPr>
            <w:tcW w:w="122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92"/>
              </w:rPr>
              <w:t>June 30, 2018</w:t>
            </w:r>
          </w:p>
        </w:tc>
        <w:tc>
          <w:tcPr>
            <w:tcW w:w="300" w:type="dxa"/>
            <w:vAlign w:val="bottom"/>
          </w:tcPr>
          <w:p>
            <w:pPr>
              <w:spacing w:after="0"/>
              <w:rPr>
                <w:sz w:val="17"/>
                <w:szCs w:val="17"/>
                <w:color w:val="auto"/>
              </w:rPr>
            </w:pPr>
          </w:p>
        </w:tc>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7"/>
              </w:rPr>
              <w:t>June 30, 2017</w:t>
            </w:r>
          </w:p>
        </w:tc>
      </w:tr>
      <w:tr>
        <w:trPr>
          <w:trHeight w:val="48"/>
        </w:trPr>
        <w:tc>
          <w:tcPr>
            <w:tcW w:w="3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3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7"/>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6"/>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87"/>
              </w:rPr>
              <w:t>(in thousands)</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Ireland</w:t>
            </w:r>
          </w:p>
        </w:tc>
        <w:tc>
          <w:tcPr>
            <w:tcW w:w="2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7,979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6,508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15,864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12,480</w:t>
            </w:r>
          </w:p>
        </w:tc>
      </w:tr>
      <w:tr>
        <w:trPr>
          <w:trHeight w:val="27"/>
        </w:trPr>
        <w:tc>
          <w:tcPr>
            <w:tcW w:w="3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1,371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3,163</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3,029</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U.S.</w:t>
            </w:r>
          </w:p>
        </w:tc>
        <w:tc>
          <w:tcPr>
            <w:tcW w:w="2480" w:type="dxa"/>
            <w:vAlign w:val="bottom"/>
          </w:tcPr>
          <w:p>
            <w:pPr>
              <w:spacing w:after="0"/>
              <w:rPr>
                <w:sz w:val="21"/>
                <w:szCs w:val="21"/>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6,302</w:t>
            </w:r>
          </w:p>
        </w:tc>
        <w:tc>
          <w:tcPr>
            <w:tcW w:w="260" w:type="dxa"/>
            <w:vAlign w:val="bottom"/>
          </w:tcPr>
          <w:p>
            <w:pPr>
              <w:spacing w:after="0"/>
              <w:rPr>
                <w:sz w:val="21"/>
                <w:szCs w:val="21"/>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5,581</w:t>
            </w:r>
          </w:p>
        </w:tc>
        <w:tc>
          <w:tcPr>
            <w:tcW w:w="260" w:type="dxa"/>
            <w:vAlign w:val="bottom"/>
          </w:tcPr>
          <w:p>
            <w:pPr>
              <w:spacing w:after="0"/>
              <w:rPr>
                <w:sz w:val="21"/>
                <w:szCs w:val="21"/>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12,601</w:t>
            </w:r>
          </w:p>
        </w:tc>
        <w:tc>
          <w:tcPr>
            <w:tcW w:w="3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11,529</w:t>
            </w:r>
          </w:p>
        </w:tc>
      </w:tr>
      <w:tr>
        <w:trPr>
          <w:trHeight w:val="27"/>
        </w:trPr>
        <w:tc>
          <w:tcPr>
            <w:tcW w:w="3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4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1,141</w:t>
            </w: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2,316</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1,805</w:t>
            </w:r>
          </w:p>
        </w:tc>
      </w:tr>
      <w:tr>
        <w:trPr>
          <w:trHeight w:val="270"/>
        </w:trPr>
        <w:tc>
          <w:tcPr>
            <w:tcW w:w="3380" w:type="dxa"/>
            <w:vAlign w:val="bottom"/>
            <w:tcBorders>
              <w:top w:val="single" w:sz="8" w:color="auto"/>
            </w:tcBorders>
          </w:tcPr>
          <w:p>
            <w:pPr>
              <w:spacing w:after="0"/>
              <w:rPr>
                <w:sz w:val="23"/>
                <w:szCs w:val="23"/>
                <w:color w:val="auto"/>
              </w:rPr>
            </w:pPr>
          </w:p>
        </w:tc>
        <w:tc>
          <w:tcPr>
            <w:tcW w:w="24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17,046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14,395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33,944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28,843</w:t>
            </w: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4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019"/>
          </w:cols>
          <w:pgMar w:left="1440" w:top="125"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5500" w:type="dxa"/>
            <w:vAlign w:val="bottom"/>
          </w:tcPr>
          <w:p>
            <w:pPr>
              <w:ind w:left="340"/>
              <w:spacing w:after="0"/>
              <w:rPr>
                <w:sz w:val="20"/>
                <w:szCs w:val="20"/>
                <w:color w:val="auto"/>
              </w:rPr>
            </w:pPr>
            <w:r>
              <w:rPr>
                <w:rFonts w:ascii="Arial" w:cs="Arial" w:eastAsia="Arial" w:hAnsi="Arial"/>
                <w:sz w:val="18"/>
                <w:szCs w:val="18"/>
                <w:color w:val="auto"/>
                <w:w w:val="92"/>
              </w:rPr>
              <w:t>f) The distribution of total assets by geographical area was as follows:</w:t>
            </w:r>
          </w:p>
        </w:tc>
        <w:tc>
          <w:tcPr>
            <w:tcW w:w="3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5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50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5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w w:val="92"/>
              </w:rPr>
              <w:t>June 30, 2018</w:t>
            </w:r>
          </w:p>
        </w:tc>
        <w:tc>
          <w:tcPr>
            <w:tcW w:w="2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7"/>
                <w:szCs w:val="17"/>
                <w:color w:val="auto"/>
              </w:rPr>
            </w:pPr>
          </w:p>
        </w:tc>
      </w:tr>
      <w:tr>
        <w:trPr>
          <w:trHeight w:val="48"/>
        </w:trPr>
        <w:tc>
          <w:tcPr>
            <w:tcW w:w="550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55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20" w:type="dxa"/>
            <w:vAlign w:val="bottom"/>
            <w:gridSpan w:val="7"/>
          </w:tcPr>
          <w:p>
            <w:pPr>
              <w:ind w:left="6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5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925,280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880,378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32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490,978</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504,418</w:t>
            </w:r>
          </w:p>
        </w:tc>
        <w:tc>
          <w:tcPr>
            <w:tcW w:w="1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639,981</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650,681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2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118,257</w:t>
            </w:r>
          </w:p>
        </w:tc>
        <w:tc>
          <w:tcPr>
            <w:tcW w:w="26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111,141</w:t>
            </w:r>
          </w:p>
        </w:tc>
      </w:tr>
      <w:tr>
        <w:trPr>
          <w:trHeight w:val="34"/>
        </w:trPr>
        <w:tc>
          <w:tcPr>
            <w:tcW w:w="55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2,174,496</w:t>
            </w:r>
          </w:p>
        </w:tc>
        <w:tc>
          <w:tcPr>
            <w:tcW w:w="1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2,146,618</w:t>
            </w:r>
          </w:p>
        </w:tc>
        <w:tc>
          <w:tcPr>
            <w:tcW w:w="100" w:type="dxa"/>
            <w:vAlign w:val="bottom"/>
          </w:tcPr>
          <w:p>
            <w:pPr>
              <w:spacing w:after="0"/>
              <w:rPr>
                <w:sz w:val="21"/>
                <w:szCs w:val="2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3240" w:type="dxa"/>
            <w:vAlign w:val="bottom"/>
          </w:tcPr>
          <w:p>
            <w:pPr>
              <w:jc w:val="right"/>
              <w:ind w:right="285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13.  Impact of change in accounting policies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with a date of initial application of January 1, 2018. The revenue recognition accounting policy applied in preparation of the results for the three and six months ended June 30, 2018 therefore reflect application of ASC 606. ICON has elected to adopt the standard using the cumulative effect transition method. Under this transition method, ICON has applied the new standard as at the date of initial application (i.e. January 1, 2018), without restatement of comparative amounts. The cumulative effect of initially applying the new standard (to revenue, costs and tax) is recorded as an adjustment to the opening balance of equity at the date of initial application. The comparative information has not been adjusted and therefore continues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We have concluded that under the new standard, a clinical trial service is a single performance obligation satisfied over time i.e. the full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therefore based on on an input measure being total project costs (inclusive of third party costs) at each reporting period.</w:t>
      </w: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on the pages following summarize the impact of adopting ASC 606 on the consolidated financial statements for the three and six months ended June 30, 2018.</w:t>
      </w:r>
    </w:p>
    <w:p>
      <w:pPr>
        <w:sectPr>
          <w:pgSz w:w="11900" w:h="16838" w:orient="portrait"/>
          <w:cols w:equalWidth="0" w:num="1">
            <w:col w:w="11420"/>
          </w:cols>
          <w:pgMar w:left="240" w:top="74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42" w:right="239" w:bottom="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2018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June 30, 2018</w:t>
            </w: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03"/>
        </w:trPr>
        <w:tc>
          <w:tcPr>
            <w:tcW w:w="62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80" w:type="dxa"/>
            <w:vAlign w:val="bottom"/>
            <w:tcBorders>
              <w:top w:val="single" w:sz="8" w:color="CCEEFF"/>
              <w:bottom w:val="single" w:sz="8" w:color="auto"/>
            </w:tcBorders>
            <w:gridSpan w:val="3"/>
          </w:tcPr>
          <w:p>
            <w:pPr>
              <w:spacing w:after="0" w:line="202" w:lineRule="exact"/>
              <w:rPr>
                <w:sz w:val="20"/>
                <w:szCs w:val="20"/>
                <w:color w:val="auto"/>
              </w:rPr>
            </w:pPr>
            <w:r>
              <w:rPr>
                <w:rFonts w:ascii="Arial" w:cs="Arial" w:eastAsia="Arial" w:hAnsi="Arial"/>
                <w:sz w:val="18"/>
                <w:szCs w:val="18"/>
                <w:b w:val="1"/>
                <w:bCs w:val="1"/>
                <w:color w:val="auto"/>
                <w:w w:val="89"/>
              </w:rPr>
              <w:t>Balance without adoption</w:t>
            </w:r>
          </w:p>
        </w:tc>
        <w:tc>
          <w:tcPr>
            <w:tcW w:w="40" w:type="dxa"/>
            <w:vAlign w:val="bottom"/>
            <w:tcBorders>
              <w:top w:val="single" w:sz="8" w:color="CCEEFF"/>
            </w:tcBorders>
          </w:tcPr>
          <w:p>
            <w:pPr>
              <w:spacing w:after="0"/>
              <w:rPr>
                <w:sz w:val="17"/>
                <w:szCs w:val="17"/>
                <w:color w:val="auto"/>
              </w:rPr>
            </w:pPr>
          </w:p>
        </w:tc>
      </w:tr>
      <w:tr>
        <w:trPr>
          <w:trHeight w:val="196"/>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ind w:right="250"/>
              <w:spacing w:after="0" w:line="196" w:lineRule="exact"/>
              <w:rPr>
                <w:sz w:val="20"/>
                <w:szCs w:val="20"/>
                <w:color w:val="auto"/>
              </w:rPr>
            </w:pPr>
            <w:r>
              <w:rPr>
                <w:rFonts w:ascii="Arial" w:cs="Arial" w:eastAsia="Arial" w:hAnsi="Arial"/>
                <w:sz w:val="18"/>
                <w:szCs w:val="18"/>
                <w:b w:val="1"/>
                <w:bCs w:val="1"/>
                <w:color w:val="auto"/>
                <w:w w:val="87"/>
              </w:rPr>
              <w:t>As reported</w:t>
            </w:r>
          </w:p>
        </w:tc>
        <w:tc>
          <w:tcPr>
            <w:tcW w:w="260" w:type="dxa"/>
            <w:vAlign w:val="bottom"/>
          </w:tcPr>
          <w:p>
            <w:pPr>
              <w:spacing w:after="0"/>
              <w:rPr>
                <w:sz w:val="17"/>
                <w:szCs w:val="17"/>
                <w:color w:val="auto"/>
              </w:rPr>
            </w:pPr>
          </w:p>
        </w:tc>
        <w:tc>
          <w:tcPr>
            <w:tcW w:w="12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Adjustments</w:t>
            </w:r>
          </w:p>
        </w:tc>
        <w:tc>
          <w:tcPr>
            <w:tcW w:w="520" w:type="dxa"/>
            <w:vAlign w:val="bottom"/>
          </w:tcPr>
          <w:p>
            <w:pPr>
              <w:spacing w:after="0"/>
              <w:rPr>
                <w:sz w:val="17"/>
                <w:szCs w:val="17"/>
                <w:color w:val="auto"/>
              </w:rPr>
            </w:pPr>
          </w:p>
        </w:tc>
        <w:tc>
          <w:tcPr>
            <w:tcW w:w="15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of Topic 606</w:t>
            </w:r>
          </w:p>
        </w:tc>
      </w:tr>
      <w:tr>
        <w:trPr>
          <w:trHeight w:val="48"/>
        </w:trPr>
        <w:tc>
          <w:tcPr>
            <w:tcW w:w="6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5"/>
            <w:shd w:val="clear" w:color="auto" w:fill="CCEEFF"/>
          </w:tcPr>
          <w:p>
            <w:pPr>
              <w:jc w:val="center"/>
              <w:ind w:right="23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289,219</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289,219</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Short term investments - available for sale</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83,777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83,777</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404,572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404,572</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274,501</w:t>
            </w:r>
          </w:p>
        </w:tc>
        <w:tc>
          <w:tcPr>
            <w:tcW w:w="260" w:type="dxa"/>
            <w:vAlign w:val="bottom"/>
          </w:tcPr>
          <w:p>
            <w:pPr>
              <w:spacing w:after="0"/>
              <w:rPr>
                <w:sz w:val="21"/>
                <w:szCs w:val="21"/>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44,829</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319,330</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48,068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(12,330)</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35,738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Prepayments and other current assets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24,038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24,038</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24,475</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24,475</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43"/>
        </w:trPr>
        <w:tc>
          <w:tcPr>
            <w:tcW w:w="62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1,148,650</w:t>
            </w: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32,499</w:t>
            </w: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1,181,149</w:t>
            </w:r>
          </w:p>
        </w:tc>
        <w:tc>
          <w:tcPr>
            <w:tcW w:w="40" w:type="dxa"/>
            <w:vAlign w:val="bottom"/>
            <w:tcBorders>
              <w:top w:val="single" w:sz="8" w:color="auto"/>
            </w:tcBorders>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155,020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155,020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759,137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759,137</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15,715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15,715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Non-current income taxes receivable</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18,180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18,180</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asset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17,420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(6,276)</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60,374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60,374</w:t>
            </w:r>
          </w:p>
        </w:tc>
        <w:tc>
          <w:tcPr>
            <w:tcW w:w="40" w:type="dxa"/>
            <w:vAlign w:val="bottom"/>
          </w:tcPr>
          <w:p>
            <w:pPr>
              <w:spacing w:after="0"/>
              <w:rPr>
                <w:sz w:val="21"/>
                <w:szCs w:val="21"/>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2,174,496</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26,223</w:t>
            </w: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2,200,719</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15,123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15,123</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account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326,741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(25,100)</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301,641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192,339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192,339</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14,049</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885</w:t>
            </w: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14,934</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43"/>
        </w:trPr>
        <w:tc>
          <w:tcPr>
            <w:tcW w:w="62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548,252</w:t>
            </w: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(24,215)</w:t>
            </w: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524,037</w:t>
            </w:r>
          </w:p>
        </w:tc>
        <w:tc>
          <w:tcPr>
            <w:tcW w:w="40" w:type="dxa"/>
            <w:vAlign w:val="bottom"/>
            <w:tcBorders>
              <w:top w:val="single" w:sz="8" w:color="auto"/>
            </w:tcBorders>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Non-current bank credit lines and loan facilities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349,074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349,074</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16,179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Non-current government grants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908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13,622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13,622</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Non-current deferred tax liability</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7,713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7,713</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935,748</w:t>
            </w: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(24,215)</w:t>
            </w: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911,533</w:t>
            </w:r>
          </w:p>
        </w:tc>
        <w:tc>
          <w:tcPr>
            <w:tcW w:w="40" w:type="dxa"/>
            <w:vAlign w:val="bottom"/>
            <w:tcBorders>
              <w:top w:val="single" w:sz="8" w:color="auto"/>
            </w:tcBorders>
          </w:tcPr>
          <w:p>
            <w:pPr>
              <w:spacing w:after="0"/>
              <w:rPr>
                <w:sz w:val="21"/>
                <w:szCs w:val="21"/>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w w:val="89"/>
              </w:rPr>
              <w:t>Ordinary shares, par value 6 euro cents per share; 100,000,000 shares authorized,</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54,327,869 shares issued and outstanding at June 30, 2018 and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54,081,601 shares issued and outstanding at December 31, 2017</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4,684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4,684</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508,195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508,195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undenominated capital</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945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(65,522)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(65,522)</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790,446</w:t>
            </w:r>
          </w:p>
        </w:tc>
        <w:tc>
          <w:tcPr>
            <w:tcW w:w="260" w:type="dxa"/>
            <w:vAlign w:val="bottom"/>
          </w:tcPr>
          <w:p>
            <w:pPr>
              <w:spacing w:after="0"/>
              <w:rPr>
                <w:sz w:val="21"/>
                <w:szCs w:val="21"/>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50,438</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840,884</w:t>
            </w:r>
          </w:p>
        </w:tc>
        <w:tc>
          <w:tcPr>
            <w:tcW w:w="40" w:type="dxa"/>
            <w:vAlign w:val="bottom"/>
          </w:tcPr>
          <w:p>
            <w:pPr>
              <w:spacing w:after="0"/>
              <w:rPr>
                <w:sz w:val="21"/>
                <w:szCs w:val="21"/>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1,238,748</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50,438</w:t>
            </w: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1,289,186</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43"/>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2,174,496</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26,223</w:t>
            </w: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2,200,719</w:t>
            </w:r>
          </w:p>
        </w:tc>
        <w:tc>
          <w:tcPr>
            <w:tcW w:w="40" w:type="dxa"/>
            <w:vAlign w:val="bottom"/>
            <w:tcBorders>
              <w:top w:val="single" w:sz="8" w:color="auto"/>
            </w:tcBorders>
          </w:tcPr>
          <w:p>
            <w:pPr>
              <w:spacing w:after="0"/>
              <w:rPr>
                <w:sz w:val="21"/>
                <w:szCs w:val="21"/>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7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80" w:right="239" w:bottom="703"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00" w:type="dxa"/>
            <w:vAlign w:val="bottom"/>
            <w:gridSpan w:val="11"/>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Three Months Ended</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9"/>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48"/>
        </w:trPr>
        <w:tc>
          <w:tcPr>
            <w:tcW w:w="3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3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6"/>
          </w:tcPr>
          <w:p>
            <w:pPr>
              <w:jc w:val="center"/>
              <w:ind w:right="10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140" w:type="dxa"/>
            <w:vAlign w:val="bottom"/>
          </w:tcPr>
          <w:p>
            <w:pPr>
              <w:spacing w:after="0"/>
              <w:rPr>
                <w:sz w:val="17"/>
                <w:szCs w:val="17"/>
                <w:color w:val="auto"/>
              </w:rPr>
            </w:pPr>
          </w:p>
        </w:tc>
        <w:tc>
          <w:tcPr>
            <w:tcW w:w="1140" w:type="dxa"/>
            <w:vAlign w:val="bottom"/>
            <w:gridSpan w:val="5"/>
          </w:tcPr>
          <w:p>
            <w:pPr>
              <w:jc w:val="center"/>
              <w:ind w:right="10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1240" w:type="dxa"/>
            <w:vAlign w:val="bottom"/>
            <w:gridSpan w:val="12"/>
          </w:tcPr>
          <w:p>
            <w:pPr>
              <w:jc w:val="center"/>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116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4"/>
          </w:tcPr>
          <w:p>
            <w:pPr>
              <w:jc w:val="center"/>
              <w:ind w:right="80"/>
              <w:spacing w:after="0" w:line="202" w:lineRule="exact"/>
              <w:rPr>
                <w:sz w:val="20"/>
                <w:szCs w:val="20"/>
                <w:color w:val="auto"/>
              </w:rPr>
            </w:pPr>
            <w:r>
              <w:rPr>
                <w:rFonts w:ascii="Arial" w:cs="Arial" w:eastAsia="Arial" w:hAnsi="Arial"/>
                <w:sz w:val="18"/>
                <w:szCs w:val="18"/>
                <w:b w:val="1"/>
                <w:bCs w:val="1"/>
                <w:color w:val="auto"/>
                <w:w w:val="90"/>
              </w:rPr>
              <w:t>June 30, 2018</w:t>
            </w:r>
          </w:p>
        </w:tc>
        <w:tc>
          <w:tcPr>
            <w:tcW w:w="1200" w:type="dxa"/>
            <w:vAlign w:val="bottom"/>
            <w:gridSpan w:val="10"/>
          </w:tcPr>
          <w:p>
            <w:pPr>
              <w:ind w:left="120"/>
              <w:spacing w:after="0" w:line="202" w:lineRule="exact"/>
              <w:rPr>
                <w:sz w:val="20"/>
                <w:szCs w:val="20"/>
                <w:color w:val="auto"/>
              </w:rPr>
            </w:pPr>
            <w:r>
              <w:rPr>
                <w:rFonts w:ascii="Arial" w:cs="Arial" w:eastAsia="Arial" w:hAnsi="Arial"/>
                <w:sz w:val="18"/>
                <w:szCs w:val="18"/>
                <w:b w:val="1"/>
                <w:bCs w:val="1"/>
                <w:color w:val="auto"/>
                <w:w w:val="90"/>
              </w:rPr>
              <w:t>June 30, 2018</w:t>
            </w:r>
          </w:p>
        </w:tc>
      </w:tr>
      <w:tr>
        <w:trPr>
          <w:trHeight w:val="48"/>
        </w:trPr>
        <w:tc>
          <w:tcPr>
            <w:tcW w:w="3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3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87"/>
              </w:rPr>
              <w:t>Balance</w:t>
            </w:r>
          </w:p>
        </w:tc>
        <w:tc>
          <w:tcPr>
            <w:tcW w:w="320" w:type="dxa"/>
            <w:vAlign w:val="bottom"/>
            <w:gridSpan w:val="4"/>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6"/>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7"/>
              </w:rPr>
              <w:t>Balance</w:t>
            </w:r>
          </w:p>
        </w:tc>
      </w:tr>
      <w:tr>
        <w:trPr>
          <w:trHeight w:val="183"/>
        </w:trPr>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b w:val="1"/>
                <w:bCs w:val="1"/>
                <w:color w:val="auto"/>
                <w:w w:val="91"/>
              </w:rPr>
              <w:t>without</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b w:val="1"/>
                <w:bCs w:val="1"/>
                <w:color w:val="auto"/>
                <w:w w:val="94"/>
              </w:rPr>
              <w:t>without</w:t>
            </w:r>
          </w:p>
        </w:tc>
        <w:tc>
          <w:tcPr>
            <w:tcW w:w="300" w:type="dxa"/>
            <w:vAlign w:val="bottom"/>
            <w:tcBorders>
              <w:top w:val="single" w:sz="8" w:color="CCEEFF"/>
              <w:bottom w:val="single" w:sz="8" w:color="CCEEFF"/>
            </w:tcBorders>
            <w:gridSpan w:val="4"/>
            <w:shd w:val="clear" w:color="auto" w:fill="CCEEFF"/>
          </w:tcPr>
          <w:p>
            <w:pPr>
              <w:spacing w:after="0"/>
              <w:rPr>
                <w:sz w:val="15"/>
                <w:szCs w:val="15"/>
                <w:color w:val="auto"/>
              </w:rPr>
            </w:pPr>
          </w:p>
        </w:tc>
      </w:tr>
      <w:tr>
        <w:trPr>
          <w:trHeight w:val="183"/>
        </w:trPr>
        <w:tc>
          <w:tcPr>
            <w:tcW w:w="3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7"/>
            <w:shd w:val="clear" w:color="auto" w:fill="CCEEFF"/>
          </w:tcPr>
          <w:p>
            <w:pPr>
              <w:jc w:val="center"/>
              <w:spacing w:after="0" w:line="183" w:lineRule="exact"/>
              <w:rPr>
                <w:sz w:val="20"/>
                <w:szCs w:val="20"/>
                <w:color w:val="auto"/>
              </w:rPr>
            </w:pPr>
            <w:r>
              <w:rPr>
                <w:rFonts w:ascii="Arial" w:cs="Arial" w:eastAsia="Arial" w:hAnsi="Arial"/>
                <w:sz w:val="16"/>
                <w:szCs w:val="16"/>
                <w:b w:val="1"/>
                <w:bCs w:val="1"/>
                <w:color w:val="auto"/>
                <w:w w:val="89"/>
              </w:rPr>
              <w:t>adoption of</w:t>
            </w:r>
          </w:p>
        </w:tc>
        <w:tc>
          <w:tcPr>
            <w:tcW w:w="22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7"/>
            <w:shd w:val="clear" w:color="auto" w:fill="CCEEFF"/>
          </w:tcPr>
          <w:p>
            <w:pPr>
              <w:jc w:val="center"/>
              <w:ind w:right="180"/>
              <w:spacing w:after="0" w:line="183" w:lineRule="exact"/>
              <w:rPr>
                <w:sz w:val="20"/>
                <w:szCs w:val="20"/>
                <w:color w:val="auto"/>
              </w:rPr>
            </w:pPr>
            <w:r>
              <w:rPr>
                <w:rFonts w:ascii="Arial" w:cs="Arial" w:eastAsia="Arial" w:hAnsi="Arial"/>
                <w:sz w:val="16"/>
                <w:szCs w:val="16"/>
                <w:b w:val="1"/>
                <w:bCs w:val="1"/>
                <w:color w:val="auto"/>
                <w:w w:val="89"/>
              </w:rPr>
              <w:t>adoption of</w:t>
            </w:r>
          </w:p>
        </w:tc>
      </w:tr>
      <w:tr>
        <w:trPr>
          <w:trHeight w:val="183"/>
        </w:trPr>
        <w:tc>
          <w:tcPr>
            <w:tcW w:w="37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gridSpan w:val="4"/>
            <w:shd w:val="clear" w:color="auto" w:fill="CCEEFF"/>
          </w:tcPr>
          <w:p>
            <w:pPr>
              <w:jc w:val="center"/>
              <w:ind w:right="220"/>
              <w:spacing w:after="0" w:line="183" w:lineRule="exact"/>
              <w:rPr>
                <w:sz w:val="20"/>
                <w:szCs w:val="20"/>
                <w:color w:val="auto"/>
              </w:rPr>
            </w:pPr>
            <w:r>
              <w:rPr>
                <w:rFonts w:ascii="Arial" w:cs="Arial" w:eastAsia="Arial" w:hAnsi="Arial"/>
                <w:sz w:val="16"/>
                <w:szCs w:val="16"/>
                <w:b w:val="1"/>
                <w:bCs w:val="1"/>
                <w:color w:val="auto"/>
                <w:w w:val="91"/>
              </w:rPr>
              <w:t>As reported</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gridSpan w:val="4"/>
            <w:shd w:val="clear" w:color="auto" w:fill="CCEEFF"/>
          </w:tcPr>
          <w:p>
            <w:pPr>
              <w:jc w:val="center"/>
              <w:ind w:right="160"/>
              <w:spacing w:after="0" w:line="183" w:lineRule="exact"/>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gridSpan w:val="6"/>
            <w:shd w:val="clear" w:color="auto" w:fill="CCEEFF"/>
          </w:tcPr>
          <w:p>
            <w:pPr>
              <w:jc w:val="center"/>
              <w:ind w:right="60"/>
              <w:spacing w:after="0" w:line="183" w:lineRule="exact"/>
              <w:rPr>
                <w:sz w:val="20"/>
                <w:szCs w:val="20"/>
                <w:color w:val="auto"/>
              </w:rPr>
            </w:pPr>
            <w:r>
              <w:rPr>
                <w:rFonts w:ascii="Arial" w:cs="Arial" w:eastAsia="Arial" w:hAnsi="Arial"/>
                <w:sz w:val="16"/>
                <w:szCs w:val="16"/>
                <w:b w:val="1"/>
                <w:bCs w:val="1"/>
                <w:color w:val="auto"/>
                <w:w w:val="89"/>
              </w:rPr>
              <w:t>Topic 606</w:t>
            </w:r>
          </w:p>
        </w:tc>
        <w:tc>
          <w:tcPr>
            <w:tcW w:w="22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b w:val="1"/>
                <w:bCs w:val="1"/>
                <w:color w:val="auto"/>
                <w:w w:val="89"/>
              </w:rPr>
              <w:t>As reported</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gridSpan w:val="3"/>
            <w:shd w:val="clear" w:color="auto" w:fill="CCEEFF"/>
          </w:tcPr>
          <w:p>
            <w:pPr>
              <w:jc w:val="center"/>
              <w:ind w:right="160"/>
              <w:spacing w:after="0" w:line="183" w:lineRule="exact"/>
              <w:rPr>
                <w:sz w:val="20"/>
                <w:szCs w:val="20"/>
                <w:color w:val="auto"/>
              </w:rPr>
            </w:pPr>
            <w:r>
              <w:rPr>
                <w:rFonts w:ascii="Arial" w:cs="Arial" w:eastAsia="Arial" w:hAnsi="Arial"/>
                <w:sz w:val="16"/>
                <w:szCs w:val="16"/>
                <w:b w:val="1"/>
                <w:bCs w:val="1"/>
                <w:color w:val="auto"/>
                <w:w w:val="92"/>
              </w:rPr>
              <w:t>Adjustments</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gridSpan w:val="4"/>
            <w:shd w:val="clear" w:color="auto" w:fill="CCEEFF"/>
          </w:tcPr>
          <w:p>
            <w:pPr>
              <w:jc w:val="center"/>
              <w:ind w:right="60"/>
              <w:spacing w:after="0" w:line="183" w:lineRule="exact"/>
              <w:rPr>
                <w:sz w:val="20"/>
                <w:szCs w:val="20"/>
                <w:color w:val="auto"/>
              </w:rPr>
            </w:pPr>
            <w:r>
              <w:rPr>
                <w:rFonts w:ascii="Arial" w:cs="Arial" w:eastAsia="Arial" w:hAnsi="Arial"/>
                <w:sz w:val="16"/>
                <w:szCs w:val="16"/>
                <w:b w:val="1"/>
                <w:bCs w:val="1"/>
                <w:color w:val="auto"/>
                <w:w w:val="89"/>
              </w:rPr>
              <w:t>Topic 606</w:t>
            </w:r>
          </w:p>
        </w:tc>
        <w:tc>
          <w:tcPr>
            <w:tcW w:w="18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3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91"/>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gridSpan w:val="22"/>
          </w:tcPr>
          <w:p>
            <w:pPr>
              <w:jc w:val="center"/>
              <w:ind w:right="180"/>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18"/>
          </w:tcPr>
          <w:p>
            <w:pPr>
              <w:jc w:val="center"/>
              <w:ind w:right="120"/>
              <w:spacing w:after="0"/>
              <w:rPr>
                <w:sz w:val="20"/>
                <w:szCs w:val="20"/>
                <w:color w:val="auto"/>
              </w:rPr>
            </w:pPr>
            <w:r>
              <w:rPr>
                <w:rFonts w:ascii="Arial" w:cs="Arial" w:eastAsia="Arial" w:hAnsi="Arial"/>
                <w:sz w:val="14"/>
                <w:szCs w:val="14"/>
                <w:b w:val="1"/>
                <w:bCs w:val="1"/>
                <w:color w:val="auto"/>
                <w:w w:val="90"/>
              </w:rPr>
              <w:t>(in thousands except share and per share data)</w:t>
            </w:r>
          </w:p>
        </w:tc>
      </w:tr>
      <w:tr>
        <w:trPr>
          <w:trHeight w:val="80"/>
        </w:trPr>
        <w:tc>
          <w:tcPr>
            <w:tcW w:w="3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641,610</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00" w:type="dxa"/>
            <w:vAlign w:val="bottom"/>
            <w:gridSpan w:val="8"/>
          </w:tcPr>
          <w:p>
            <w:pPr>
              <w:jc w:val="right"/>
              <w:ind w:right="60"/>
              <w:spacing w:after="0"/>
              <w:rPr>
                <w:sz w:val="20"/>
                <w:szCs w:val="20"/>
                <w:color w:val="auto"/>
              </w:rPr>
            </w:pPr>
            <w:r>
              <w:rPr>
                <w:rFonts w:ascii="Arial" w:cs="Arial" w:eastAsia="Arial" w:hAnsi="Arial"/>
                <w:sz w:val="18"/>
                <w:szCs w:val="18"/>
                <w:color w:val="auto"/>
              </w:rPr>
              <w:t>643,224</w:t>
            </w:r>
          </w:p>
        </w:tc>
        <w:tc>
          <w:tcPr>
            <w:tcW w:w="100" w:type="dxa"/>
            <w:vAlign w:val="bottom"/>
          </w:tcPr>
          <w:p>
            <w:pPr>
              <w:spacing w:after="0"/>
              <w:rPr>
                <w:sz w:val="21"/>
                <w:szCs w:val="21"/>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1,261,735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2,845</w:t>
            </w:r>
          </w:p>
        </w:tc>
        <w:tc>
          <w:tcPr>
            <w:tcW w:w="80" w:type="dxa"/>
            <w:vAlign w:val="bottom"/>
          </w:tcPr>
          <w:p>
            <w:pPr>
              <w:spacing w:after="0"/>
              <w:rPr>
                <w:sz w:val="21"/>
                <w:szCs w:val="21"/>
                <w:color w:val="auto"/>
              </w:rPr>
            </w:pP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1,264,580</w:t>
            </w:r>
          </w:p>
        </w:tc>
        <w:tc>
          <w:tcPr>
            <w:tcW w:w="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(169,313)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(169,313)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(328,066)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(328,066)</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37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(167,699)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473,911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(325,221)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936,514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70"/>
        </w:trPr>
        <w:tc>
          <w:tcPr>
            <w:tcW w:w="3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Direct costs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169,313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(169,313)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77"/>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328,066</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(328,066)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r>
      <w:tr>
        <w:trPr>
          <w:trHeight w:val="243"/>
        </w:trPr>
        <w:tc>
          <w:tcPr>
            <w:tcW w:w="3780" w:type="dxa"/>
            <w:vAlign w:val="bottom"/>
          </w:tcPr>
          <w:p>
            <w:pPr>
              <w:ind w:left="520"/>
              <w:spacing w:after="0"/>
              <w:rPr>
                <w:sz w:val="20"/>
                <w:szCs w:val="20"/>
                <w:color w:val="auto"/>
              </w:rPr>
            </w:pPr>
            <w:r>
              <w:rPr>
                <w:rFonts w:ascii="Arial" w:cs="Arial" w:eastAsia="Arial" w:hAnsi="Arial"/>
                <w:sz w:val="18"/>
                <w:szCs w:val="18"/>
                <w:color w:val="auto"/>
              </w:rPr>
              <w:t>- Other direct costs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279,913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8"/>
          </w:tcPr>
          <w:p>
            <w:pPr>
              <w:jc w:val="right"/>
              <w:ind w:right="60"/>
              <w:spacing w:after="0"/>
              <w:rPr>
                <w:sz w:val="20"/>
                <w:szCs w:val="20"/>
                <w:color w:val="auto"/>
              </w:rPr>
            </w:pPr>
            <w:r>
              <w:rPr>
                <w:rFonts w:ascii="Arial" w:cs="Arial" w:eastAsia="Arial" w:hAnsi="Arial"/>
                <w:sz w:val="18"/>
                <w:szCs w:val="18"/>
                <w:color w:val="auto"/>
              </w:rPr>
              <w:t>279,913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551,752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551,752</w:t>
            </w:r>
          </w:p>
        </w:tc>
        <w:tc>
          <w:tcPr>
            <w:tcW w:w="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80,936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80,998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161,851</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162,073</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8"/>
          </w:tcPr>
          <w:p>
            <w:pPr>
              <w:jc w:val="right"/>
              <w:ind w:right="60"/>
              <w:spacing w:after="0"/>
              <w:rPr>
                <w:sz w:val="20"/>
                <w:szCs w:val="20"/>
                <w:color w:val="auto"/>
              </w:rPr>
            </w:pPr>
            <w:r>
              <w:rPr>
                <w:rFonts w:ascii="Arial" w:cs="Arial" w:eastAsia="Arial" w:hAnsi="Arial"/>
                <w:sz w:val="18"/>
                <w:szCs w:val="18"/>
                <w:color w:val="auto"/>
              </w:rPr>
              <w:t>17,046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33,944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33,944</w:t>
            </w:r>
          </w:p>
        </w:tc>
        <w:tc>
          <w:tcPr>
            <w:tcW w:w="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12,490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12,490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12,490</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37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r>
      <w:tr>
        <w:trPr>
          <w:trHeight w:val="282"/>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559,698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(169,251)</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390,447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1,088,103</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(327,844)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760,259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37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81,912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83,464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173,632</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176,255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8"/>
          </w:tcPr>
          <w:p>
            <w:pPr>
              <w:jc w:val="right"/>
              <w:ind w:right="6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1,840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1,840</w:t>
            </w:r>
          </w:p>
        </w:tc>
        <w:tc>
          <w:tcPr>
            <w:tcW w:w="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(3,302)</w:t>
            </w: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(7,097)</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37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79,627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81,179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168,375</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170,998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(7,759)</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8"/>
          </w:tcPr>
          <w:p>
            <w:pPr>
              <w:jc w:val="right"/>
              <w:spacing w:after="0"/>
              <w:rPr>
                <w:sz w:val="20"/>
                <w:szCs w:val="20"/>
                <w:color w:val="auto"/>
              </w:rPr>
            </w:pPr>
            <w:r>
              <w:rPr>
                <w:rFonts w:ascii="Arial" w:cs="Arial" w:eastAsia="Arial" w:hAnsi="Arial"/>
                <w:sz w:val="18"/>
                <w:szCs w:val="18"/>
                <w:color w:val="auto"/>
              </w:rPr>
              <w:t>(7,914)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(18,409)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(18,698)</w:t>
            </w:r>
          </w:p>
        </w:tc>
        <w:tc>
          <w:tcPr>
            <w:tcW w:w="40" w:type="dxa"/>
            <w:vAlign w:val="bottom"/>
          </w:tcPr>
          <w:p>
            <w:pPr>
              <w:spacing w:after="0"/>
              <w:rPr>
                <w:sz w:val="21"/>
                <w:szCs w:val="2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71,868</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00" w:type="dxa"/>
            <w:vAlign w:val="bottom"/>
            <w:gridSpan w:val="8"/>
          </w:tcPr>
          <w:p>
            <w:pPr>
              <w:jc w:val="right"/>
              <w:ind w:right="60"/>
              <w:spacing w:after="0"/>
              <w:rPr>
                <w:sz w:val="20"/>
                <w:szCs w:val="20"/>
                <w:color w:val="auto"/>
              </w:rPr>
            </w:pPr>
            <w:r>
              <w:rPr>
                <w:rFonts w:ascii="Arial" w:cs="Arial" w:eastAsia="Arial" w:hAnsi="Arial"/>
                <w:sz w:val="18"/>
                <w:szCs w:val="18"/>
                <w:color w:val="auto"/>
              </w:rPr>
              <w:t>73,265</w:t>
            </w:r>
          </w:p>
        </w:tc>
        <w:tc>
          <w:tcPr>
            <w:tcW w:w="100" w:type="dxa"/>
            <w:vAlign w:val="bottom"/>
          </w:tcPr>
          <w:p>
            <w:pPr>
              <w:spacing w:after="0"/>
              <w:rPr>
                <w:sz w:val="21"/>
                <w:szCs w:val="21"/>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149,966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21"/>
                <w:szCs w:val="21"/>
                <w:color w:val="auto"/>
              </w:rPr>
            </w:pP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152,300</w:t>
            </w:r>
          </w:p>
        </w:tc>
        <w:tc>
          <w:tcPr>
            <w:tcW w:w="40" w:type="dxa"/>
            <w:vAlign w:val="bottom"/>
          </w:tcPr>
          <w:p>
            <w:pPr>
              <w:spacing w:after="0"/>
              <w:rPr>
                <w:sz w:val="21"/>
                <w:szCs w:val="2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43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gridSpan w:val="6"/>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03"/>
        </w:trPr>
        <w:tc>
          <w:tcPr>
            <w:tcW w:w="6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5"/>
          </w:tcPr>
          <w:p>
            <w:pPr>
              <w:jc w:val="center"/>
              <w:ind w:right="26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8"/>
        </w:trPr>
        <w:tc>
          <w:tcPr>
            <w:tcW w:w="6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6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420" w:type="dxa"/>
            <w:vAlign w:val="bottom"/>
            <w:gridSpan w:val="4"/>
            <w:shd w:val="clear" w:color="auto" w:fill="CCEEFF"/>
          </w:tcPr>
          <w:p>
            <w:pPr>
              <w:jc w:val="center"/>
              <w:ind w:right="180"/>
              <w:spacing w:after="0" w:line="202" w:lineRule="exact"/>
              <w:rPr>
                <w:sz w:val="20"/>
                <w:szCs w:val="20"/>
                <w:color w:val="auto"/>
              </w:rPr>
            </w:pPr>
            <w:r>
              <w:rPr>
                <w:rFonts w:ascii="Arial" w:cs="Arial" w:eastAsia="Arial" w:hAnsi="Arial"/>
                <w:sz w:val="18"/>
                <w:szCs w:val="18"/>
                <w:b w:val="1"/>
                <w:bCs w:val="1"/>
                <w:color w:val="auto"/>
                <w:w w:val="89"/>
              </w:rPr>
              <w:t>Balance without</w:t>
            </w:r>
          </w:p>
        </w:tc>
      </w:tr>
      <w:tr>
        <w:trPr>
          <w:trHeight w:val="20"/>
        </w:trPr>
        <w:tc>
          <w:tcPr>
            <w:tcW w:w="6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6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5"/>
            <w:shd w:val="clear" w:color="auto" w:fill="CCEEFF"/>
          </w:tcPr>
          <w:p>
            <w:pPr>
              <w:jc w:val="center"/>
              <w:ind w:right="100"/>
              <w:spacing w:after="0" w:line="196" w:lineRule="exact"/>
              <w:rPr>
                <w:sz w:val="20"/>
                <w:szCs w:val="20"/>
                <w:color w:val="auto"/>
              </w:rPr>
            </w:pPr>
            <w:r>
              <w:rPr>
                <w:rFonts w:ascii="Arial" w:cs="Arial" w:eastAsia="Arial" w:hAnsi="Arial"/>
                <w:sz w:val="18"/>
                <w:szCs w:val="18"/>
                <w:b w:val="1"/>
                <w:bCs w:val="1"/>
                <w:color w:val="auto"/>
                <w:w w:val="88"/>
              </w:rPr>
              <w:t>adoption of Topic</w:t>
            </w:r>
          </w:p>
        </w:tc>
      </w:tr>
      <w:tr>
        <w:trPr>
          <w:trHeight w:val="244"/>
        </w:trPr>
        <w:tc>
          <w:tcPr>
            <w:tcW w:w="626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As Reported</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89"/>
              </w:rPr>
              <w:t>Adjustments</w:t>
            </w:r>
          </w:p>
        </w:tc>
        <w:tc>
          <w:tcPr>
            <w:tcW w:w="30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3"/>
              </w:rPr>
              <w:t>606</w:t>
            </w:r>
          </w:p>
        </w:tc>
        <w:tc>
          <w:tcPr>
            <w:tcW w:w="54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149,966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152,300</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7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2</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23,779</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7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10,165</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government grants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Interest on short term investments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(712)</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16,430</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Amortization of gain on interest rate hedge</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(463)</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financing costs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6,276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3,531</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Increase in accounts receivable</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(26,685)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(26,685)</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unbilled revenue</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(51,052)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3,275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(47,777)</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(Increase)/decrease in other receivables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12,330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7,248</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prepayments and other current assets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9,777</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Increase in other non-current assets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(338)</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payments on account</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(25,100)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(22,484)</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Decrease in other current liabilities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(38,547)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(38,547)</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other non-current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Decrease in income taxes payable</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(2,737)</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2"/>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accounts payable</w:t>
            </w:r>
          </w:p>
        </w:tc>
        <w:tc>
          <w:tcPr>
            <w:tcW w:w="7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(3,241)</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(3,241)</w:t>
            </w:r>
          </w:p>
        </w:tc>
      </w:tr>
      <w:tr>
        <w:trPr>
          <w:trHeight w:val="243"/>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79,671</w:t>
            </w: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79,671</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(17,219)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(17,219)</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subsidiary undertakings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(1,645)</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Purchase of short term investments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(55,608)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(55,608)</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2"/>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short term investments</w:t>
            </w:r>
          </w:p>
        </w:tc>
        <w:tc>
          <w:tcPr>
            <w:tcW w:w="7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49,708</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49,708</w:t>
            </w:r>
          </w:p>
        </w:tc>
      </w:tr>
      <w:tr>
        <w:trPr>
          <w:trHeight w:val="243"/>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(24,764)</w:t>
            </w: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(24,764)</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Financing costs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(823)</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equity compensation</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10,334</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Share issue costs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(9)</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ordinary shares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(54,172)</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Share repurchase costs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(44)</w:t>
            </w:r>
          </w:p>
        </w:tc>
      </w:tr>
      <w:tr>
        <w:trPr>
          <w:trHeight w:val="34"/>
        </w:trPr>
        <w:tc>
          <w:tcPr>
            <w:tcW w:w="6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(44,714)</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Effect of exchange rate movements on cash</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(3,833)</w:t>
            </w:r>
          </w:p>
        </w:tc>
      </w:tr>
      <w:tr>
        <w:trPr>
          <w:trHeight w:val="34"/>
        </w:trPr>
        <w:tc>
          <w:tcPr>
            <w:tcW w:w="6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6,360</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7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282,859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282,859</w:t>
            </w:r>
          </w:p>
        </w:tc>
      </w:tr>
      <w:tr>
        <w:trPr>
          <w:trHeight w:val="34"/>
        </w:trPr>
        <w:tc>
          <w:tcPr>
            <w:tcW w:w="6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289,219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289,219</w:t>
            </w:r>
          </w:p>
        </w:tc>
      </w:tr>
      <w:tr>
        <w:trPr>
          <w:trHeight w:val="20"/>
        </w:trPr>
        <w:tc>
          <w:tcPr>
            <w:tcW w:w="6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80"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w w:val="90"/>
              </w:rPr>
              <w:t>Additional</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Other</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1"/>
              </w:rPr>
              <w:t>Other</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w w:val="94"/>
              </w:rPr>
              <w:t>Undenominated</w:t>
            </w:r>
          </w:p>
        </w:tc>
        <w:tc>
          <w:tcPr>
            <w:tcW w:w="240" w:type="dxa"/>
            <w:vAlign w:val="bottom"/>
            <w:shd w:val="clear" w:color="auto" w:fill="CCEEFF"/>
          </w:tcPr>
          <w:p>
            <w:pPr>
              <w:spacing w:after="0"/>
              <w:rPr>
                <w:sz w:val="17"/>
                <w:szCs w:val="17"/>
                <w:color w:val="auto"/>
              </w:rPr>
            </w:pPr>
          </w:p>
        </w:tc>
        <w:tc>
          <w:tcPr>
            <w:tcW w:w="1380" w:type="dxa"/>
            <w:vAlign w:val="bottom"/>
            <w:gridSpan w:val="6"/>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93"/>
              </w:rPr>
              <w:t>Comprehensive</w:t>
            </w:r>
          </w:p>
        </w:tc>
        <w:tc>
          <w:tcPr>
            <w:tcW w:w="24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86"/>
              </w:rPr>
              <w:t>Retained</w:t>
            </w: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b w:val="1"/>
                <w:bCs w:val="1"/>
                <w:color w:val="auto"/>
                <w:w w:val="79"/>
              </w:rPr>
              <w:t>Shares</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Amount</w:t>
            </w: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w w:val="89"/>
              </w:rPr>
              <w:t>Capital</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w w:val="89"/>
              </w:rPr>
              <w:t>Capital</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Income</w:t>
            </w:r>
          </w:p>
        </w:tc>
        <w:tc>
          <w:tcPr>
            <w:tcW w:w="24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Earnings</w:t>
            </w:r>
          </w:p>
        </w:tc>
        <w:tc>
          <w:tcPr>
            <w:tcW w:w="5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48"/>
        </w:trPr>
        <w:tc>
          <w:tcPr>
            <w:tcW w:w="28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gridSpan w:val="15"/>
          </w:tcPr>
          <w:p>
            <w:pPr>
              <w:jc w:val="right"/>
              <w:ind w:right="720"/>
              <w:spacing w:after="0"/>
              <w:rPr>
                <w:sz w:val="20"/>
                <w:szCs w:val="20"/>
                <w:color w:val="auto"/>
              </w:rPr>
            </w:pPr>
            <w:r>
              <w:rPr>
                <w:rFonts w:ascii="Arial" w:cs="Arial" w:eastAsia="Arial" w:hAnsi="Arial"/>
                <w:sz w:val="18"/>
                <w:szCs w:val="18"/>
                <w:b w:val="1"/>
                <w:bCs w:val="1"/>
                <w:color w:val="auto"/>
                <w:w w:val="88"/>
              </w:rPr>
              <w:t>(dollars in thousands, except share data)</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54,081,601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84"/>
              </w:rPr>
              <w:t>4,664</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481,337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(38,713)</w:t>
            </w:r>
          </w:p>
        </w:tc>
        <w:tc>
          <w:tcPr>
            <w:tcW w:w="2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742,800</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$ 1,191,000</w:t>
            </w:r>
          </w:p>
        </w:tc>
        <w:tc>
          <w:tcPr>
            <w:tcW w:w="0" w:type="dxa"/>
            <w:vAlign w:val="bottom"/>
          </w:tcPr>
          <w:p>
            <w:pPr>
              <w:spacing w:after="0"/>
              <w:rPr>
                <w:sz w:val="1"/>
                <w:szCs w:val="1"/>
                <w:color w:val="auto"/>
              </w:rPr>
            </w:pPr>
          </w:p>
        </w:tc>
      </w:tr>
      <w:tr>
        <w:trPr>
          <w:trHeight w:val="270"/>
        </w:trPr>
        <w:tc>
          <w:tcPr>
            <w:tcW w:w="28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Net income (as reported)</w:t>
            </w:r>
          </w:p>
        </w:tc>
        <w:tc>
          <w:tcPr>
            <w:tcW w:w="4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149,966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149,966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change in accounting</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policy</w:t>
            </w:r>
          </w:p>
        </w:tc>
        <w:tc>
          <w:tcPr>
            <w:tcW w:w="4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4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gridSpan w:val="6"/>
          </w:tcPr>
          <w:p>
            <w:pPr>
              <w:jc w:val="right"/>
              <w:ind w:right="40"/>
              <w:spacing w:after="0"/>
              <w:rPr>
                <w:sz w:val="20"/>
                <w:szCs w:val="20"/>
                <w:color w:val="auto"/>
              </w:rPr>
            </w:pPr>
            <w:r>
              <w:rPr>
                <w:rFonts w:ascii="Arial" w:cs="Arial" w:eastAsia="Arial" w:hAnsi="Arial"/>
                <w:sz w:val="18"/>
                <w:szCs w:val="18"/>
                <w:color w:val="auto"/>
              </w:rPr>
              <w:t>(20,813)</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(20,813)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impact of long term</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funding</w:t>
            </w:r>
          </w:p>
        </w:tc>
        <w:tc>
          <w:tcPr>
            <w:tcW w:w="4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(3,055)</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w w:val="96"/>
              </w:rPr>
              <w:t>Tax on currency impact of long term</w:t>
            </w:r>
          </w:p>
        </w:tc>
        <w:tc>
          <w:tcPr>
            <w:tcW w:w="4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tcPr>
          <w:p>
            <w:pPr>
              <w:ind w:left="200"/>
              <w:spacing w:after="0"/>
              <w:rPr>
                <w:sz w:val="20"/>
                <w:szCs w:val="20"/>
                <w:color w:val="auto"/>
              </w:rPr>
            </w:pPr>
            <w:r>
              <w:rPr>
                <w:rFonts w:ascii="Arial" w:cs="Arial" w:eastAsia="Arial" w:hAnsi="Arial"/>
                <w:sz w:val="18"/>
                <w:szCs w:val="18"/>
                <w:color w:val="auto"/>
              </w:rPr>
              <w:t>funding</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capital gain –</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4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Amortization of interest rate hedge</w:t>
            </w:r>
          </w:p>
        </w:tc>
        <w:tc>
          <w:tcPr>
            <w:tcW w:w="4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gridSpan w:val="6"/>
          </w:tcPr>
          <w:p>
            <w:pPr>
              <w:jc w:val="right"/>
              <w:ind w:right="40"/>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cash flow hedge</w:t>
            </w:r>
          </w:p>
        </w:tc>
        <w:tc>
          <w:tcPr>
            <w:tcW w:w="4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(2,055)</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70"/>
        </w:trPr>
        <w:tc>
          <w:tcPr>
            <w:tcW w:w="28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4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(26,809)</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152,300</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125,491</w:t>
            </w:r>
          </w:p>
        </w:tc>
        <w:tc>
          <w:tcPr>
            <w:tcW w:w="0" w:type="dxa"/>
            <w:vAlign w:val="bottom"/>
          </w:tcPr>
          <w:p>
            <w:pPr>
              <w:spacing w:after="0"/>
              <w:rPr>
                <w:sz w:val="1"/>
                <w:szCs w:val="1"/>
                <w:color w:val="auto"/>
              </w:rPr>
            </w:pPr>
          </w:p>
        </w:tc>
      </w:tr>
      <w:tr>
        <w:trPr>
          <w:trHeight w:val="270"/>
        </w:trPr>
        <w:tc>
          <w:tcPr>
            <w:tcW w:w="28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share options</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226,888</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79"/>
              </w:rPr>
              <w:t>17</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Issue of restricted share units</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483,435</w:t>
            </w:r>
          </w:p>
        </w:tc>
        <w:tc>
          <w:tcPr>
            <w:tcW w:w="240" w:type="dxa"/>
            <w:vAlign w:val="bottom"/>
          </w:tcPr>
          <w:p>
            <w:pPr>
              <w:spacing w:after="0"/>
              <w:rPr>
                <w:sz w:val="21"/>
                <w:szCs w:val="21"/>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79"/>
              </w:rPr>
              <w:t>36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stock compensation</w:t>
            </w:r>
          </w:p>
        </w:tc>
        <w:tc>
          <w:tcPr>
            <w:tcW w:w="4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4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Share issuance costs</w:t>
            </w:r>
          </w:p>
        </w:tc>
        <w:tc>
          <w:tcPr>
            <w:tcW w:w="4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1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(464,055)</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(54,172)</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(54,172)</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Share repurchase costs</w:t>
            </w:r>
          </w:p>
        </w:tc>
        <w:tc>
          <w:tcPr>
            <w:tcW w:w="4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
        </w:trPr>
        <w:tc>
          <w:tcPr>
            <w:tcW w:w="2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w w:val="96"/>
              </w:rPr>
              <w:t>Balance at June 30, 2018 (without</w:t>
            </w:r>
          </w:p>
        </w:tc>
        <w:tc>
          <w:tcPr>
            <w:tcW w:w="11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54,327,869</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220"/>
              <w:spacing w:after="0"/>
              <w:rPr>
                <w:sz w:val="20"/>
                <w:szCs w:val="20"/>
                <w:color w:val="auto"/>
              </w:rPr>
            </w:pPr>
            <w:r>
              <w:rPr>
                <w:rFonts w:ascii="Arial" w:cs="Arial" w:eastAsia="Arial" w:hAnsi="Arial"/>
                <w:sz w:val="18"/>
                <w:szCs w:val="18"/>
                <w:color w:val="auto"/>
                <w:w w:val="84"/>
              </w:rPr>
              <w:t>4,684</w:t>
            </w:r>
          </w:p>
        </w:tc>
        <w:tc>
          <w:tcPr>
            <w:tcW w:w="160" w:type="dxa"/>
            <w:vAlign w:val="bottom"/>
          </w:tcPr>
          <w:p>
            <w:pPr>
              <w:spacing w:after="0"/>
              <w:rPr>
                <w:sz w:val="19"/>
                <w:szCs w:val="19"/>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508,195</w:t>
            </w:r>
          </w:p>
        </w:tc>
        <w:tc>
          <w:tcPr>
            <w:tcW w:w="8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5"/>
            <w:vMerge w:val="restart"/>
          </w:tcPr>
          <w:p>
            <w:pPr>
              <w:jc w:val="right"/>
              <w:ind w:right="80"/>
              <w:spacing w:after="0"/>
              <w:rPr>
                <w:sz w:val="20"/>
                <w:szCs w:val="20"/>
                <w:color w:val="auto"/>
              </w:rPr>
            </w:pPr>
            <w:r>
              <w:rPr>
                <w:rFonts w:ascii="Arial" w:cs="Arial" w:eastAsia="Arial" w:hAnsi="Arial"/>
                <w:sz w:val="18"/>
                <w:szCs w:val="18"/>
                <w:color w:val="auto"/>
              </w:rPr>
              <w:t>945</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6"/>
            <w:vMerge w:val="restart"/>
          </w:tcPr>
          <w:p>
            <w:pPr>
              <w:jc w:val="right"/>
              <w:ind w:right="40"/>
              <w:spacing w:after="0"/>
              <w:rPr>
                <w:sz w:val="20"/>
                <w:szCs w:val="20"/>
                <w:color w:val="auto"/>
              </w:rPr>
            </w:pPr>
            <w:r>
              <w:rPr>
                <w:rFonts w:ascii="Arial" w:cs="Arial" w:eastAsia="Arial" w:hAnsi="Arial"/>
                <w:sz w:val="18"/>
                <w:szCs w:val="18"/>
                <w:color w:val="auto"/>
              </w:rPr>
              <w:t>(65,522)</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840,884</w:t>
            </w: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w w:val="96"/>
              </w:rPr>
              <w:t>$ 1,289,186</w:t>
            </w:r>
          </w:p>
        </w:tc>
        <w:tc>
          <w:tcPr>
            <w:tcW w:w="0" w:type="dxa"/>
            <w:vAlign w:val="bottom"/>
          </w:tcPr>
          <w:p>
            <w:pPr>
              <w:spacing w:after="0"/>
              <w:rPr>
                <w:sz w:val="1"/>
                <w:szCs w:val="1"/>
                <w:color w:val="auto"/>
              </w:rPr>
            </w:pPr>
          </w:p>
        </w:tc>
      </w:tr>
      <w:tr>
        <w:trPr>
          <w:trHeight w:val="126"/>
        </w:trPr>
        <w:tc>
          <w:tcPr>
            <w:tcW w:w="28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the adoption of ASC 606)</w:t>
            </w:r>
          </w:p>
        </w:tc>
        <w:tc>
          <w:tcPr>
            <w:tcW w:w="1140" w:type="dxa"/>
            <w:vAlign w:val="bottom"/>
            <w:gridSpan w:val="3"/>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80" w:type="dxa"/>
            <w:vAlign w:val="bottom"/>
            <w:gridSpan w:val="6"/>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2017. The Consolidated Financial Statements have been prepared in accordance with accounting principles generally accepted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2018 we employed approximately 13,650 employees, in 93 locations in 37 countries. During the six months ended June 30, 2018 we derived approximately 35.4%, 54.5% and 10.1% of our revenue in the United States, Europe and Rest of World respectively.</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backlog consists of potential revenue yet to be earned from projects awarded by clients. At June 30, 2018 we had an unrealized performance obligation of approximately $5 billion (see Note 4). We believe that our remaining or unrealized performance obligation as of any date is not necessarily a meaningful predictor of future results, due to the potential for cancellation or delay of revenue.</w:t>
      </w:r>
    </w:p>
    <w:p>
      <w:pPr>
        <w:spacing w:after="0" w:line="2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742"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compared with Three Months Ended June 30, 2017</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54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right w:val="single" w:sz="8" w:color="CCEEFF"/>
            </w:tcBorders>
            <w:shd w:val="clear" w:color="auto" w:fill="CCEEFF"/>
          </w:tcPr>
          <w:p>
            <w:pPr>
              <w:spacing w:after="0"/>
              <w:rPr>
                <w:sz w:val="22"/>
                <w:szCs w:val="22"/>
                <w:color w:val="auto"/>
              </w:rPr>
            </w:pPr>
          </w:p>
        </w:tc>
        <w:tc>
          <w:tcPr>
            <w:tcW w:w="1700" w:type="dxa"/>
            <w:vAlign w:val="bottom"/>
            <w:tcBorders>
              <w:bottom w:val="single" w:sz="8" w:color="auto"/>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Borders>
              <w:bottom w:val="single" w:sz="8" w:color="CCEEFF"/>
            </w:tcBorders>
            <w:gridSpan w:val="2"/>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640" w:type="dxa"/>
            <w:vAlign w:val="bottom"/>
            <w:gridSpan w:val="3"/>
          </w:tcPr>
          <w:p>
            <w:pPr>
              <w:jc w:val="right"/>
              <w:ind w:right="600"/>
              <w:spacing w:after="0" w:line="202" w:lineRule="exact"/>
              <w:rPr>
                <w:sz w:val="20"/>
                <w:szCs w:val="20"/>
                <w:color w:val="auto"/>
              </w:rPr>
            </w:pPr>
            <w:r>
              <w:rPr>
                <w:rFonts w:ascii="Arial" w:cs="Arial" w:eastAsia="Arial" w:hAnsi="Arial"/>
                <w:sz w:val="18"/>
                <w:szCs w:val="18"/>
                <w:b w:val="1"/>
                <w:bCs w:val="1"/>
                <w:color w:val="auto"/>
                <w:w w:val="87"/>
              </w:rPr>
              <w:t>June 30, 2018</w:t>
            </w:r>
          </w:p>
        </w:tc>
        <w:tc>
          <w:tcPr>
            <w:tcW w:w="1640" w:type="dxa"/>
            <w:vAlign w:val="bottom"/>
            <w:gridSpan w:val="3"/>
          </w:tcPr>
          <w:p>
            <w:pPr>
              <w:jc w:val="right"/>
              <w:ind w:right="600"/>
              <w:spacing w:after="0" w:line="202" w:lineRule="exact"/>
              <w:rPr>
                <w:sz w:val="20"/>
                <w:szCs w:val="20"/>
                <w:color w:val="auto"/>
              </w:rPr>
            </w:pPr>
            <w:r>
              <w:rPr>
                <w:rFonts w:ascii="Arial" w:cs="Arial" w:eastAsia="Arial" w:hAnsi="Arial"/>
                <w:sz w:val="18"/>
                <w:szCs w:val="18"/>
                <w:b w:val="1"/>
                <w:bCs w:val="1"/>
                <w:color w:val="auto"/>
                <w:w w:val="87"/>
              </w:rPr>
              <w:t>June 30, 2017</w:t>
            </w:r>
          </w:p>
        </w:tc>
        <w:tc>
          <w:tcPr>
            <w:tcW w:w="1260" w:type="dxa"/>
            <w:vAlign w:val="bottom"/>
            <w:gridSpan w:val="8"/>
          </w:tcPr>
          <w:p>
            <w:pPr>
              <w:jc w:val="center"/>
              <w:ind w:right="300"/>
              <w:spacing w:after="0" w:line="202" w:lineRule="exact"/>
              <w:rPr>
                <w:sz w:val="20"/>
                <w:szCs w:val="20"/>
                <w:color w:val="auto"/>
              </w:rPr>
            </w:pPr>
            <w:r>
              <w:rPr>
                <w:rFonts w:ascii="Arial" w:cs="Arial" w:eastAsia="Arial" w:hAnsi="Arial"/>
                <w:sz w:val="18"/>
                <w:szCs w:val="18"/>
                <w:b w:val="1"/>
                <w:bCs w:val="1"/>
                <w:color w:val="auto"/>
                <w:w w:val="89"/>
              </w:rPr>
              <w:t>2018 to 2017</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4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54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0" w:type="dxa"/>
            <w:vAlign w:val="bottom"/>
            <w:gridSpan w:val="7"/>
            <w:shd w:val="clear" w:color="auto" w:fill="CCEEFF"/>
          </w:tcPr>
          <w:p>
            <w:pPr>
              <w:jc w:val="center"/>
              <w:ind w:right="360"/>
              <w:spacing w:after="0" w:line="202" w:lineRule="exact"/>
              <w:rPr>
                <w:sz w:val="20"/>
                <w:szCs w:val="20"/>
                <w:color w:val="auto"/>
              </w:rPr>
            </w:pPr>
            <w:r>
              <w:rPr>
                <w:rFonts w:ascii="Arial" w:cs="Arial" w:eastAsia="Arial" w:hAnsi="Arial"/>
                <w:sz w:val="18"/>
                <w:szCs w:val="18"/>
                <w:b w:val="1"/>
                <w:bCs w:val="1"/>
                <w:color w:val="auto"/>
                <w:w w:val="86"/>
              </w:rPr>
              <w:t>Percentage</w:t>
            </w:r>
          </w:p>
        </w:tc>
      </w:tr>
      <w:tr>
        <w:trPr>
          <w:trHeight w:val="203"/>
        </w:trPr>
        <w:tc>
          <w:tcPr>
            <w:tcW w:w="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4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gridSpan w:val="3"/>
          </w:tcPr>
          <w:p>
            <w:pPr>
              <w:jc w:val="center"/>
              <w:spacing w:after="0" w:line="202" w:lineRule="exact"/>
              <w:rPr>
                <w:sz w:val="20"/>
                <w:szCs w:val="20"/>
                <w:color w:val="auto"/>
              </w:rPr>
            </w:pPr>
            <w:r>
              <w:rPr>
                <w:rFonts w:ascii="Arial" w:cs="Arial" w:eastAsia="Arial" w:hAnsi="Arial"/>
                <w:sz w:val="18"/>
                <w:szCs w:val="18"/>
                <w:b w:val="1"/>
                <w:bCs w:val="1"/>
                <w:color w:val="auto"/>
                <w:w w:val="85"/>
              </w:rPr>
              <w:t>Percentage of Revenue</w:t>
            </w:r>
          </w:p>
        </w:tc>
        <w:tc>
          <w:tcPr>
            <w:tcW w:w="1100" w:type="dxa"/>
            <w:vAlign w:val="bottom"/>
            <w:tcBorders>
              <w:top w:val="single" w:sz="8" w:color="CCEEFF"/>
            </w:tcBorders>
            <w:gridSpan w:val="2"/>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4"/>
          </w:tcPr>
          <w:p>
            <w:pPr>
              <w:jc w:val="center"/>
              <w:spacing w:after="0" w:line="202" w:lineRule="exact"/>
              <w:rPr>
                <w:sz w:val="20"/>
                <w:szCs w:val="20"/>
                <w:color w:val="auto"/>
              </w:rPr>
            </w:pPr>
            <w:r>
              <w:rPr>
                <w:rFonts w:ascii="Arial" w:cs="Arial" w:eastAsia="Arial" w:hAnsi="Arial"/>
                <w:sz w:val="18"/>
                <w:szCs w:val="18"/>
                <w:b w:val="1"/>
                <w:bCs w:val="1"/>
                <w:color w:val="auto"/>
                <w:w w:val="89"/>
              </w:rPr>
              <w:t>Increase/</w:t>
            </w:r>
          </w:p>
        </w:tc>
        <w:tc>
          <w:tcPr>
            <w:tcW w:w="360" w:type="dxa"/>
            <w:vAlign w:val="bottom"/>
            <w:tcBorders>
              <w:top w:val="single" w:sz="8" w:color="CCEEFF"/>
            </w:tcBorders>
            <w:gridSpan w:val="2"/>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6"/>
          </w:tcPr>
          <w:p>
            <w:pPr>
              <w:jc w:val="center"/>
              <w:ind w:right="380"/>
              <w:spacing w:after="0" w:line="196" w:lineRule="exact"/>
              <w:rPr>
                <w:sz w:val="20"/>
                <w:szCs w:val="20"/>
                <w:color w:val="auto"/>
              </w:rPr>
            </w:pPr>
            <w:r>
              <w:rPr>
                <w:rFonts w:ascii="Arial" w:cs="Arial" w:eastAsia="Arial" w:hAnsi="Arial"/>
                <w:sz w:val="18"/>
                <w:szCs w:val="18"/>
                <w:b w:val="1"/>
                <w:bCs w:val="1"/>
                <w:color w:val="auto"/>
                <w:w w:val="86"/>
              </w:rPr>
              <w:t>(Decrease)</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82"/>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16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CCEEFF"/>
            </w:tcBorders>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r>
      <w:tr>
        <w:trPr>
          <w:trHeight w:val="270"/>
        </w:trPr>
        <w:tc>
          <w:tcPr>
            <w:tcW w:w="4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54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r>
      <w:tr>
        <w:trPr>
          <w:trHeight w:val="203"/>
        </w:trPr>
        <w:tc>
          <w:tcPr>
            <w:tcW w:w="68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Costs and expenses:</w:t>
            </w:r>
          </w:p>
        </w:tc>
        <w:tc>
          <w:tcPr>
            <w:tcW w:w="4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5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43"/>
        </w:trPr>
        <w:tc>
          <w:tcPr>
            <w:tcW w:w="6880" w:type="dxa"/>
            <w:vAlign w:val="bottom"/>
            <w:gridSpan w:val="3"/>
          </w:tcPr>
          <w:p>
            <w:pPr>
              <w:ind w:left="40"/>
              <w:spacing w:after="0"/>
              <w:rPr>
                <w:sz w:val="20"/>
                <w:szCs w:val="20"/>
                <w:color w:val="auto"/>
              </w:rPr>
            </w:pPr>
            <w:r>
              <w:rPr>
                <w:rFonts w:ascii="Arial" w:cs="Arial" w:eastAsia="Arial" w:hAnsi="Arial"/>
                <w:sz w:val="18"/>
                <w:szCs w:val="18"/>
                <w:color w:val="auto"/>
              </w:rPr>
              <w:t>Direct costs</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43.6%</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42.2%</w:t>
            </w:r>
          </w:p>
        </w:tc>
        <w:tc>
          <w:tcPr>
            <w:tcW w:w="1260" w:type="dxa"/>
            <w:vAlign w:val="bottom"/>
            <w:gridSpan w:val="8"/>
          </w:tcPr>
          <w:p>
            <w:pPr>
              <w:jc w:val="right"/>
              <w:ind w:right="40"/>
              <w:spacing w:after="0"/>
              <w:rPr>
                <w:sz w:val="20"/>
                <w:szCs w:val="20"/>
                <w:color w:val="auto"/>
              </w:rPr>
            </w:pPr>
            <w:r>
              <w:rPr>
                <w:rFonts w:ascii="Arial" w:cs="Arial" w:eastAsia="Arial" w:hAnsi="Arial"/>
                <w:sz w:val="18"/>
                <w:szCs w:val="18"/>
                <w:color w:val="auto"/>
              </w:rPr>
              <w:t>12.0%</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16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26.4%</w:t>
            </w:r>
          </w:p>
        </w:tc>
        <w:tc>
          <w:tcPr>
            <w:tcW w:w="16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27.2%</w:t>
            </w:r>
          </w:p>
        </w:tc>
        <w:tc>
          <w:tcPr>
            <w:tcW w:w="1260" w:type="dxa"/>
            <w:vAlign w:val="bottom"/>
            <w:tcBorders>
              <w:bottom w:val="single" w:sz="8" w:color="CCEEFF"/>
            </w:tcBorders>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43"/>
        </w:trPr>
        <w:tc>
          <w:tcPr>
            <w:tcW w:w="688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12.6%</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13.7%</w:t>
            </w:r>
          </w:p>
        </w:tc>
        <w:tc>
          <w:tcPr>
            <w:tcW w:w="1260" w:type="dxa"/>
            <w:vAlign w:val="bottom"/>
            <w:gridSpan w:val="8"/>
          </w:tcPr>
          <w:p>
            <w:pPr>
              <w:jc w:val="right"/>
              <w:ind w:right="4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16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w:t>
            </w:r>
          </w:p>
        </w:tc>
        <w:tc>
          <w:tcPr>
            <w:tcW w:w="1260" w:type="dxa"/>
            <w:vAlign w:val="bottom"/>
            <w:tcBorders>
              <w:bottom w:val="single" w:sz="8" w:color="CCEEFF"/>
            </w:tcBorders>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43"/>
        </w:trPr>
        <w:tc>
          <w:tcPr>
            <w:tcW w:w="688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0.8%</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0.7%</w:t>
            </w:r>
          </w:p>
        </w:tc>
        <w:tc>
          <w:tcPr>
            <w:tcW w:w="1260" w:type="dxa"/>
            <w:vAlign w:val="bottom"/>
            <w:gridSpan w:val="8"/>
          </w:tcPr>
          <w:p>
            <w:pPr>
              <w:jc w:val="right"/>
              <w:ind w:right="40"/>
              <w:spacing w:after="0"/>
              <w:rPr>
                <w:sz w:val="20"/>
                <w:szCs w:val="20"/>
                <w:color w:val="auto"/>
              </w:rPr>
            </w:pPr>
            <w:r>
              <w:rPr>
                <w:rFonts w:ascii="Arial" w:cs="Arial" w:eastAsia="Arial" w:hAnsi="Arial"/>
                <w:sz w:val="18"/>
                <w:szCs w:val="18"/>
                <w:color w:val="auto"/>
              </w:rPr>
              <w:t>30.0%</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82"/>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16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16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CCEEFF"/>
            </w:tcBorders>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61.1%</w:t>
            </w:r>
          </w:p>
        </w:tc>
      </w:tr>
      <w:tr>
        <w:trPr>
          <w:trHeight w:val="297"/>
        </w:trPr>
        <w:tc>
          <w:tcPr>
            <w:tcW w:w="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4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275"/>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w:t>
            </w:r>
          </w:p>
        </w:tc>
        <w:tc>
          <w:tcPr>
            <w:tcW w:w="16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13.2%</w:t>
            </w:r>
          </w:p>
        </w:tc>
        <w:tc>
          <w:tcPr>
            <w:tcW w:w="1260" w:type="dxa"/>
            <w:vAlign w:val="bottom"/>
            <w:tcBorders>
              <w:bottom w:val="single" w:sz="8" w:color="CCEEFF"/>
            </w:tcBorders>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period increased by $49.8 million, or 8.4%, from $591.8 million for the three months ended June 30, 2017 to $641.6 million for the three months ended June 30, 2018. Revenue increased by 6.2% in constant currency and increased by 0.8% in constant dollar organic terms. The increase in revenues in the three months ended June 30, 2018 can be explained by both continued organic growth, and the additional revenues from the acquisition of Mapi on July 27, 2017. The Company changed its accounting policy for revenue recognition on the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with a date of initial application of January 1, 2018 (</w:t>
      </w:r>
      <w:r>
        <w:rPr>
          <w:rFonts w:ascii="Arial" w:cs="Arial" w:eastAsia="Arial" w:hAnsi="Arial"/>
          <w:sz w:val="18"/>
          <w:szCs w:val="18"/>
          <w:i w:val="1"/>
          <w:iCs w:val="1"/>
          <w:color w:val="auto"/>
        </w:rPr>
        <w:t>see Notes 2 and 13</w:t>
      </w:r>
      <w:r>
        <w:rPr>
          <w:rFonts w:ascii="Arial" w:cs="Arial" w:eastAsia="Arial" w:hAnsi="Arial"/>
          <w:sz w:val="18"/>
          <w:szCs w:val="18"/>
          <w:color w:val="auto"/>
        </w:rPr>
        <w:t>).</w:t>
      </w:r>
    </w:p>
    <w:p>
      <w:pPr>
        <w:spacing w:after="0" w:line="2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June 30, 2018 we derived approximately 34.5%, 55.6% and 9.9% of our revenue in the United States, Europe and Rest of World respectively. During the three months ended June 30, 2018 $258.8 million or 40.3% of our revenues were derived from our top 5 customers. The largest of these customers related to a Strategic Partnership with a large global pharmaceutical company. Revenue from this customer contributed 14.1% of revenue for the quarter. Revenue from our second largest customer contributed 10.8% for the quarter. Net revenues (reported under ASC 605 see Note 13) derived from our top 5 customers were $183.6 million or 38.7% during the three months ended June 30, 2018, compared to $179.1 million or 41.6% of net revenues (reported under ASC 605) during the three months ended June 30, 2017. Net revenue from our top customer (reported under ASC 605 see Note 13) was 14% for the three months June 30, 2018 and 20% of net revenue (reported under ASC 605 see Note 13) in respect of the three months ended June 30, 2017. The addition of new customer accounts, particularly mid-tier pharma customers and biotech customers continues to result in a reduction in concentration of revenues from our top 5 customers.</w:t>
      </w:r>
    </w:p>
    <w:p>
      <w:pPr>
        <w:spacing w:after="0" w:line="2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 Ireland increased from $231.3 million for the three months ended June 30, 2017 to $260.1 million for the three months ended June 30, 2018. Revenue in Ireland is principally a function of the Company’s global transfer pricing model (</w:t>
      </w:r>
      <w:r>
        <w:rPr>
          <w:rFonts w:ascii="Arial" w:cs="Arial" w:eastAsia="Arial" w:hAnsi="Arial"/>
          <w:sz w:val="17"/>
          <w:szCs w:val="17"/>
          <w:i w:val="1"/>
          <w:iCs w:val="1"/>
          <w:color w:val="auto"/>
        </w:rPr>
        <w:t>see note 12 Business Segmental Information for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details</w:t>
      </w:r>
      <w:r>
        <w:rPr>
          <w:rFonts w:ascii="Arial" w:cs="Arial" w:eastAsia="Arial" w:hAnsi="Arial"/>
          <w:sz w:val="17"/>
          <w:szCs w:val="17"/>
          <w:color w:val="auto"/>
        </w:rPr>
        <w:t>). Revenue in our Rest of Europe region increased from $78.9 million for the three months ended June 30, 2017 to $96.7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2018, principally reflecting the acquisition of Mapi in July 2017. Revenue in our Rest of World region increased from $51.6 million for the three months ended June 30, 2017 to $63.6 million for the three months ended June 30, 2018. Revenue in the U.S. region decreased from $229.9 million for the three months ended June 30, 2017 to $221.2 million for the three months ended June 30, 2018.</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1" w:name="page32"/>
    <w:bookmarkEnd w:id="31"/>
    <w:p>
      <w:pPr>
        <w:jc w:val="both"/>
        <w:spacing w:after="0" w:line="276" w:lineRule="auto"/>
        <w:rPr>
          <w:sz w:val="20"/>
          <w:szCs w:val="20"/>
          <w:color w:val="auto"/>
        </w:rPr>
      </w:pPr>
      <w:r>
        <w:rPr>
          <w:rFonts w:ascii="Arial" w:cs="Arial" w:eastAsia="Arial" w:hAnsi="Arial"/>
          <w:sz w:val="17"/>
          <w:szCs w:val="17"/>
          <w:color w:val="auto"/>
        </w:rPr>
        <w:t>Direct costs for the period increased by $29.9 million, or 12.0%, from $250.0 million for the three months ended June 30, 2017 to $279.9 million for the three months ended June 30, 2018. Direct costs consist primarily of compensation, associated fringe benefits and share based compensation expense for project-related employees and other direct project driven costs. The increase in direct costs during the period arose primarily from an increase in headcount and a corresponding increase in personnel related expenditure of $29.6 million. As a percentage of revenue, direct costs have increased from 42.2% for the three months ended June 30, 2017 to 43.6% for the three months ended June 30, 2018.</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Reimbursable expenses for the period increased by $8.5 million, or 5.3%, from $160.8 million for the three months ended June 30, 2017 to $169.3 million for the three months ended June 30, 2018</w:t>
      </w:r>
      <w:r>
        <w:rPr>
          <w:rFonts w:ascii="Arial" w:cs="Arial" w:eastAsia="Arial" w:hAnsi="Arial"/>
          <w:sz w:val="18"/>
          <w:szCs w:val="18"/>
          <w:i w:val="1"/>
          <w:iCs w:val="1"/>
          <w:color w:val="auto"/>
        </w:rPr>
        <w:t>.</w:t>
      </w:r>
      <w:r>
        <w:rPr>
          <w:rFonts w:ascii="Arial" w:cs="Arial" w:eastAsia="Arial" w:hAnsi="Arial"/>
          <w:sz w:val="18"/>
          <w:szCs w:val="18"/>
          <w:color w:val="auto"/>
        </w:rPr>
        <w:t xml:space="preserve"> As a percentage of revenue, reimbursable expenses have decreased from 27.2% for the three months ended June 30, 2017 to 26.4% for the three months ended June 30, 2018.</w:t>
      </w:r>
    </w:p>
    <w:p>
      <w:pPr>
        <w:spacing w:after="0" w:line="2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expenses for the period increased by $0.1 million, or 0.1%, from $80.8 million for the three months ended June 30, 2017 to $80.9 million for the three months ended June 30, 2018.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net increase in selling, general and administration expenses for the period of $0.1 million reflects a continued focus on personnel related expenditure and facilities and related costs. As a percentage of revenue, selling, general and administrative expenses, decreased from 13.7% for the three months ended June 30, 2017 to 12.6% for the three months ended June 30, 2018.</w:t>
      </w:r>
    </w:p>
    <w:p>
      <w:pPr>
        <w:spacing w:after="0" w:line="2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expense for the period increased by $1.5 million, or 14.4%, from $10.4 million for three months ended June 30, 2017 to $11.9 million for three months ended June 30, 2018. Depreciation expense arises principally from continued investment in facilities, information systems and equipment to support the Company’s growth. As a percentage of revenue the depreciation expense for the three months ended June 30, 2018 (1.9%) increased marginally on the percentage of revenue charge for the three months ended June 30, 2017 (1.7%). Amortization expense for the period increased by $1.2 million, or 30.0%, from $4.0 million for the three months ended June 30, 2017 to $5.2 million for the three months ended June 30, 2018. Amortization expense represents the amortization of intangible assets acquired on business combinations. The increase in the amortization expense for the period relates primarily to the acquisition of Mapi in July 2017. As a percentage of revenue, amortization expense for the three months ended June 30, 2018 was 0.8%, which increased from 0.7% for the three months ended June 30, 2017.</w:t>
      </w:r>
    </w:p>
    <w:p>
      <w:pPr>
        <w:spacing w:after="0" w:line="2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June 30, 2018, a restructuring charge of $12.5 million was recognized under a restructuring plan adopted following a review by the company of its operations. The restructuring plan includes resource rationalization in certain areas of the business to improve resource utilization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note 4 Restructuring for further information). </w:t>
      </w:r>
      <w:r>
        <w:rPr>
          <w:rFonts w:ascii="Arial" w:cs="Arial" w:eastAsia="Arial" w:hAnsi="Arial"/>
          <w:sz w:val="16"/>
          <w:szCs w:val="16"/>
          <w:color w:val="auto"/>
        </w:rPr>
        <w:t>During the three months June 30, 2017, a restructuring charge of $7.8 million was recognized.</w:t>
      </w:r>
    </w:p>
    <w:p>
      <w:pPr>
        <w:spacing w:after="0" w:line="2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above, income from operations for the period increased by $3.9 million, or 5.0%, from $78.0 million for the three months ended June 30, 2017 ($85.8 million excluding restructuring charges) to $81.9 million for the three months ended June 30, 2018 ($94.4 million excluding restructuring). As a percentage of revenue, income from operations for the three months ended June 30, 2018 decreased from 13.2% of revenues for the three months ended June 30, 2017 (14.5% excluding restructuring charges) to 12.8% of revenues for the three months ended June 30, 2018 (14.7% excluding restructuring charges).</w:t>
      </w:r>
    </w:p>
    <w:p>
      <w:pPr>
        <w:spacing w:after="0" w:line="2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Income from operations in Ireland increased from a profit of $38.6 million for the three months ended June 30, 2017 ($46.4 million excluding restructuring) to a profit of $49.6 million for the three months ended June 30, 2018 ($62.1 million excluding restructuring). Income from operations in Ireland is impacted by the Group’s global transfer pricing model </w:t>
      </w:r>
      <w:r>
        <w:rPr>
          <w:rFonts w:ascii="Arial" w:cs="Arial" w:eastAsia="Arial" w:hAnsi="Arial"/>
          <w:sz w:val="17"/>
          <w:szCs w:val="17"/>
          <w:i w:val="1"/>
          <w:iCs w:val="1"/>
          <w:color w:val="auto"/>
        </w:rPr>
        <w:t>(see note 12 Business Segmental Information for further details).</w:t>
      </w:r>
      <w:r>
        <w:rPr>
          <w:rFonts w:ascii="Arial" w:cs="Arial" w:eastAsia="Arial" w:hAnsi="Arial"/>
          <w:sz w:val="17"/>
          <w:szCs w:val="17"/>
          <w:color w:val="auto"/>
        </w:rPr>
        <w:t xml:space="preserve"> Income from operations in our Rest of Europe region increased from $8.9 million for the three months ended June 30, 2017 ($8.9 million excluding restructuring charges) to $11.7 million for the three months ended June 30, 2018 ($11.7 million excluding restructuring charges), while income from operations in our Rest of World region increased from $4.2 million for the three months ended June 30, 2017 ($4.2 million excluding restructuring charges) to $6.0 million for the three months ended June 30, 2018 ($6.0 million excluding restructuring charges). Income from operations in the U.S. region decreased from $26.2 million for the three months ended June 30, 2017 ($26.2 million excluding restructuring charges) to $14.7 million for the three months ended June 30, 2018 ($14.7 million excluding restructuring charges). During the six months ended June 30, 2017 a credit of $6 million was recorded being the reduction int he assessment of the fair value of contingent consideration liability relating to the acquisition of ClinicalRM.</w:t>
      </w: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increased by $0.1 million, or 3.1%, from $3.2 million for the three months ended June 30, 2017 to $3.3 million for the three months ended June 30, 2018. Interest income increased by $0.4 million or 66.7% from $0.6 million for the three months ended June 30, 2017 to $1.0 million for the three months ended June 30, 2018.</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Provision for income taxes decreased from $10.6 million for the three months ended June 30, 2017 to $7.8 million for the three months ended June 30, 2018. The Company’s effective tax rate for the three months ended June 30, 2018 was 9.7% (10.0% excluding restructuring charges) compared with 14.0% (13.9% excluding restructuring charges) for the three months ended June 30,</w:t>
      </w:r>
    </w:p>
    <w:p>
      <w:pPr>
        <w:sectPr>
          <w:pgSz w:w="11900" w:h="16838" w:orient="portrait"/>
          <w:cols w:equalWidth="0" w:num="1">
            <w:col w:w="11420"/>
          </w:cols>
          <w:pgMar w:left="240" w:top="746"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46"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color w:val="auto"/>
        </w:rPr>
        <w:t>2017. The Company’s effective tax rate remains principally a function of the distribution of pre-tax profits amongst the territories in which it operates.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with Six Months Ended June 30, 2017</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40" w:type="dxa"/>
            <w:vAlign w:val="bottom"/>
            <w:gridSpan w:val="10"/>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4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4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June 30,</w:t>
            </w:r>
          </w:p>
        </w:tc>
        <w:tc>
          <w:tcPr>
            <w:tcW w:w="1120" w:type="dxa"/>
            <w:vAlign w:val="bottom"/>
            <w:gridSpan w:val="6"/>
          </w:tcPr>
          <w:p>
            <w:pPr>
              <w:jc w:val="right"/>
              <w:ind w:right="240"/>
              <w:spacing w:after="0" w:line="202"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4"/>
          </w:tcPr>
          <w:p>
            <w:pPr>
              <w:jc w:val="right"/>
              <w:ind w:right="260"/>
              <w:spacing w:after="0" w:line="202" w:lineRule="exact"/>
              <w:rPr>
                <w:sz w:val="20"/>
                <w:szCs w:val="20"/>
                <w:color w:val="auto"/>
              </w:rPr>
            </w:pPr>
            <w:r>
              <w:rPr>
                <w:rFonts w:ascii="Arial" w:cs="Arial" w:eastAsia="Arial" w:hAnsi="Arial"/>
                <w:sz w:val="18"/>
                <w:szCs w:val="18"/>
                <w:b w:val="1"/>
                <w:bCs w:val="1"/>
                <w:color w:val="auto"/>
              </w:rPr>
              <w:t>2018 to</w:t>
            </w: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64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5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60" w:type="dxa"/>
            <w:vAlign w:val="bottom"/>
            <w:gridSpan w:val="5"/>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w w:val="80"/>
              </w:rPr>
              <w:t>Percentage</w:t>
            </w:r>
          </w:p>
        </w:tc>
      </w:tr>
      <w:tr>
        <w:trPr>
          <w:trHeight w:val="20"/>
        </w:trPr>
        <w:tc>
          <w:tcPr>
            <w:tcW w:w="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60"/>
              <w:spacing w:after="0" w:line="196" w:lineRule="exact"/>
              <w:rPr>
                <w:sz w:val="20"/>
                <w:szCs w:val="20"/>
                <w:color w:val="auto"/>
              </w:rPr>
            </w:pPr>
            <w:r>
              <w:rPr>
                <w:rFonts w:ascii="Arial" w:cs="Arial" w:eastAsia="Arial" w:hAnsi="Arial"/>
                <w:sz w:val="18"/>
                <w:szCs w:val="18"/>
                <w:b w:val="1"/>
                <w:bCs w:val="1"/>
                <w:color w:val="auto"/>
                <w:w w:val="84"/>
              </w:rPr>
              <w:t>Increase/</w:t>
            </w:r>
          </w:p>
        </w:tc>
      </w:tr>
      <w:tr>
        <w:trPr>
          <w:trHeight w:val="20"/>
        </w:trPr>
        <w:tc>
          <w:tcPr>
            <w:tcW w:w="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40" w:type="dxa"/>
            <w:vAlign w:val="bottom"/>
            <w:gridSpan w:val="10"/>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60" w:type="dxa"/>
            <w:vAlign w:val="bottom"/>
            <w:gridSpan w:val="8"/>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Percentage of Revenue</w:t>
            </w:r>
          </w:p>
        </w:tc>
        <w:tc>
          <w:tcPr>
            <w:tcW w:w="380" w:type="dxa"/>
            <w:vAlign w:val="bottom"/>
            <w:gridSpan w:val="2"/>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60" w:type="dxa"/>
            <w:vAlign w:val="bottom"/>
            <w:gridSpan w:val="5"/>
            <w:shd w:val="clear" w:color="auto" w:fill="CCEEFF"/>
          </w:tcPr>
          <w:p>
            <w:pPr>
              <w:jc w:val="right"/>
              <w:ind w:right="260"/>
              <w:spacing w:after="0" w:line="196" w:lineRule="exact"/>
              <w:rPr>
                <w:sz w:val="20"/>
                <w:szCs w:val="20"/>
                <w:color w:val="auto"/>
              </w:rPr>
            </w:pPr>
            <w:r>
              <w:rPr>
                <w:rFonts w:ascii="Arial" w:cs="Arial" w:eastAsia="Arial" w:hAnsi="Arial"/>
                <w:sz w:val="18"/>
                <w:szCs w:val="18"/>
                <w:b w:val="1"/>
                <w:bCs w:val="1"/>
                <w:color w:val="auto"/>
                <w:w w:val="84"/>
              </w:rPr>
              <w:t>(Decrease)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4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4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21"/>
                <w:szCs w:val="21"/>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8"/>
                <w:szCs w:val="18"/>
                <w:color w:val="auto"/>
              </w:rPr>
              <w:t>100.0%</w:t>
            </w:r>
          </w:p>
        </w:tc>
        <w:tc>
          <w:tcPr>
            <w:tcW w:w="1120" w:type="dxa"/>
            <w:vAlign w:val="bottom"/>
            <w:gridSpan w:val="6"/>
          </w:tcPr>
          <w:p>
            <w:pPr>
              <w:jc w:val="right"/>
              <w:ind w:right="100"/>
              <w:spacing w:after="0"/>
              <w:rPr>
                <w:sz w:val="20"/>
                <w:szCs w:val="20"/>
                <w:color w:val="auto"/>
              </w:rPr>
            </w:pPr>
            <w:r>
              <w:rPr>
                <w:rFonts w:ascii="Arial" w:cs="Arial" w:eastAsia="Arial" w:hAnsi="Arial"/>
                <w:sz w:val="18"/>
                <w:szCs w:val="18"/>
                <w:color w:val="auto"/>
              </w:rPr>
              <w:t>100.0%</w:t>
            </w:r>
          </w:p>
        </w:tc>
        <w:tc>
          <w:tcPr>
            <w:tcW w:w="1180" w:type="dxa"/>
            <w:vAlign w:val="bottom"/>
            <w:gridSpan w:val="6"/>
          </w:tcPr>
          <w:p>
            <w:pPr>
              <w:jc w:val="right"/>
              <w:ind w:right="60"/>
              <w:spacing w:after="0"/>
              <w:rPr>
                <w:sz w:val="20"/>
                <w:szCs w:val="20"/>
                <w:color w:val="auto"/>
              </w:rPr>
            </w:pPr>
            <w:r>
              <w:rPr>
                <w:rFonts w:ascii="Arial" w:cs="Arial" w:eastAsia="Arial" w:hAnsi="Arial"/>
                <w:sz w:val="18"/>
                <w:szCs w:val="18"/>
                <w:color w:val="auto"/>
              </w:rPr>
              <w:t>7.9 %</w:t>
            </w:r>
          </w:p>
        </w:tc>
      </w:tr>
      <w:tr>
        <w:trPr>
          <w:trHeight w:val="34"/>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4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03"/>
        </w:trPr>
        <w:tc>
          <w:tcPr>
            <w:tcW w:w="59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4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Direct costs</w:t>
            </w:r>
          </w:p>
        </w:tc>
        <w:tc>
          <w:tcPr>
            <w:tcW w:w="104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43.7%</w:t>
            </w:r>
          </w:p>
        </w:tc>
        <w:tc>
          <w:tcPr>
            <w:tcW w:w="112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118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10.2 %</w:t>
            </w:r>
          </w:p>
        </w:tc>
      </w:tr>
      <w:tr>
        <w:trPr>
          <w:trHeight w:val="24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1040" w:type="dxa"/>
            <w:vAlign w:val="bottom"/>
            <w:gridSpan w:val="5"/>
          </w:tcPr>
          <w:p>
            <w:pPr>
              <w:jc w:val="right"/>
              <w:ind w:right="240"/>
              <w:spacing w:after="0"/>
              <w:rPr>
                <w:sz w:val="20"/>
                <w:szCs w:val="20"/>
                <w:color w:val="auto"/>
              </w:rPr>
            </w:pPr>
            <w:r>
              <w:rPr>
                <w:rFonts w:ascii="Arial" w:cs="Arial" w:eastAsia="Arial" w:hAnsi="Arial"/>
                <w:sz w:val="18"/>
                <w:szCs w:val="18"/>
                <w:color w:val="auto"/>
              </w:rPr>
              <w:t>26.0%</w:t>
            </w:r>
          </w:p>
        </w:tc>
        <w:tc>
          <w:tcPr>
            <w:tcW w:w="1120" w:type="dxa"/>
            <w:vAlign w:val="bottom"/>
            <w:gridSpan w:val="6"/>
          </w:tcPr>
          <w:p>
            <w:pPr>
              <w:jc w:val="right"/>
              <w:ind w:right="100"/>
              <w:spacing w:after="0"/>
              <w:rPr>
                <w:sz w:val="20"/>
                <w:szCs w:val="20"/>
                <w:color w:val="auto"/>
              </w:rPr>
            </w:pPr>
            <w:r>
              <w:rPr>
                <w:rFonts w:ascii="Arial" w:cs="Arial" w:eastAsia="Arial" w:hAnsi="Arial"/>
                <w:sz w:val="18"/>
                <w:szCs w:val="18"/>
                <w:color w:val="auto"/>
              </w:rPr>
              <w:t>26.2%</w:t>
            </w:r>
          </w:p>
        </w:tc>
        <w:tc>
          <w:tcPr>
            <w:tcW w:w="1180" w:type="dxa"/>
            <w:vAlign w:val="bottom"/>
            <w:gridSpan w:val="6"/>
          </w:tcPr>
          <w:p>
            <w:pPr>
              <w:jc w:val="right"/>
              <w:ind w:right="60"/>
              <w:spacing w:after="0"/>
              <w:rPr>
                <w:sz w:val="20"/>
                <w:szCs w:val="20"/>
                <w:color w:val="auto"/>
              </w:rPr>
            </w:pPr>
            <w:r>
              <w:rPr>
                <w:rFonts w:ascii="Arial" w:cs="Arial" w:eastAsia="Arial" w:hAnsi="Arial"/>
                <w:sz w:val="18"/>
                <w:szCs w:val="18"/>
                <w:color w:val="auto"/>
              </w:rPr>
              <w:t>6.9 %</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12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18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4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Depreciation</w:t>
            </w:r>
          </w:p>
        </w:tc>
        <w:tc>
          <w:tcPr>
            <w:tcW w:w="1040" w:type="dxa"/>
            <w:vAlign w:val="bottom"/>
            <w:gridSpan w:val="5"/>
          </w:tcPr>
          <w:p>
            <w:pPr>
              <w:jc w:val="right"/>
              <w:ind w:right="240"/>
              <w:spacing w:after="0"/>
              <w:rPr>
                <w:sz w:val="20"/>
                <w:szCs w:val="20"/>
                <w:color w:val="auto"/>
              </w:rPr>
            </w:pPr>
            <w:r>
              <w:rPr>
                <w:rFonts w:ascii="Arial" w:cs="Arial" w:eastAsia="Arial" w:hAnsi="Arial"/>
                <w:sz w:val="18"/>
                <w:szCs w:val="18"/>
                <w:color w:val="auto"/>
              </w:rPr>
              <w:t>1.9%</w:t>
            </w:r>
          </w:p>
        </w:tc>
        <w:tc>
          <w:tcPr>
            <w:tcW w:w="1120" w:type="dxa"/>
            <w:vAlign w:val="bottom"/>
            <w:gridSpan w:val="6"/>
          </w:tcPr>
          <w:p>
            <w:pPr>
              <w:jc w:val="right"/>
              <w:ind w:right="100"/>
              <w:spacing w:after="0"/>
              <w:rPr>
                <w:sz w:val="20"/>
                <w:szCs w:val="20"/>
                <w:color w:val="auto"/>
              </w:rPr>
            </w:pPr>
            <w:r>
              <w:rPr>
                <w:rFonts w:ascii="Arial" w:cs="Arial" w:eastAsia="Arial" w:hAnsi="Arial"/>
                <w:sz w:val="18"/>
                <w:szCs w:val="18"/>
                <w:color w:val="auto"/>
              </w:rPr>
              <w:t>1.7%</w:t>
            </w:r>
          </w:p>
        </w:tc>
        <w:tc>
          <w:tcPr>
            <w:tcW w:w="1180" w:type="dxa"/>
            <w:vAlign w:val="bottom"/>
            <w:gridSpan w:val="6"/>
          </w:tcPr>
          <w:p>
            <w:pPr>
              <w:jc w:val="right"/>
              <w:ind w:right="60"/>
              <w:spacing w:after="0"/>
              <w:rPr>
                <w:sz w:val="20"/>
                <w:szCs w:val="20"/>
                <w:color w:val="auto"/>
              </w:rPr>
            </w:pPr>
            <w:r>
              <w:rPr>
                <w:rFonts w:ascii="Arial" w:cs="Arial" w:eastAsia="Arial" w:hAnsi="Arial"/>
                <w:sz w:val="18"/>
                <w:szCs w:val="18"/>
                <w:color w:val="auto"/>
              </w:rPr>
              <w:t>16.6 %</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04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12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18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18.8 %</w:t>
            </w:r>
          </w:p>
        </w:tc>
      </w:tr>
      <w:tr>
        <w:trPr>
          <w:trHeight w:val="24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Restructuring</w:t>
            </w:r>
          </w:p>
        </w:tc>
        <w:tc>
          <w:tcPr>
            <w:tcW w:w="1040" w:type="dxa"/>
            <w:vAlign w:val="bottom"/>
            <w:gridSpan w:val="5"/>
          </w:tcPr>
          <w:p>
            <w:pPr>
              <w:jc w:val="right"/>
              <w:ind w:right="240"/>
              <w:spacing w:after="0"/>
              <w:rPr>
                <w:sz w:val="20"/>
                <w:szCs w:val="20"/>
                <w:color w:val="auto"/>
              </w:rPr>
            </w:pPr>
            <w:r>
              <w:rPr>
                <w:rFonts w:ascii="Arial" w:cs="Arial" w:eastAsia="Arial" w:hAnsi="Arial"/>
                <w:sz w:val="18"/>
                <w:szCs w:val="18"/>
                <w:color w:val="auto"/>
              </w:rPr>
              <w:t>1.0%</w:t>
            </w:r>
          </w:p>
        </w:tc>
        <w:tc>
          <w:tcPr>
            <w:tcW w:w="1120" w:type="dxa"/>
            <w:vAlign w:val="bottom"/>
            <w:gridSpan w:val="6"/>
          </w:tcPr>
          <w:p>
            <w:pPr>
              <w:jc w:val="right"/>
              <w:ind w:right="100"/>
              <w:spacing w:after="0"/>
              <w:rPr>
                <w:sz w:val="20"/>
                <w:szCs w:val="20"/>
                <w:color w:val="auto"/>
              </w:rPr>
            </w:pPr>
            <w:r>
              <w:rPr>
                <w:rFonts w:ascii="Arial" w:cs="Arial" w:eastAsia="Arial" w:hAnsi="Arial"/>
                <w:sz w:val="18"/>
                <w:szCs w:val="18"/>
                <w:color w:val="auto"/>
              </w:rPr>
              <w:t>0.7%</w:t>
            </w:r>
          </w:p>
        </w:tc>
        <w:tc>
          <w:tcPr>
            <w:tcW w:w="1180" w:type="dxa"/>
            <w:vAlign w:val="bottom"/>
            <w:gridSpan w:val="6"/>
          </w:tcPr>
          <w:p>
            <w:pPr>
              <w:jc w:val="right"/>
              <w:ind w:right="60"/>
              <w:spacing w:after="0"/>
              <w:rPr>
                <w:sz w:val="20"/>
                <w:szCs w:val="20"/>
                <w:color w:val="auto"/>
              </w:rPr>
            </w:pPr>
            <w:r>
              <w:rPr>
                <w:rFonts w:ascii="Arial" w:cs="Arial" w:eastAsia="Arial" w:hAnsi="Arial"/>
                <w:sz w:val="18"/>
                <w:szCs w:val="18"/>
                <w:color w:val="auto"/>
              </w:rPr>
              <w:t>61.1 %</w:t>
            </w:r>
          </w:p>
        </w:tc>
      </w:tr>
      <w:tr>
        <w:trPr>
          <w:trHeight w:val="34"/>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4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4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Income from operations</w:t>
            </w:r>
          </w:p>
        </w:tc>
        <w:tc>
          <w:tcPr>
            <w:tcW w:w="1040" w:type="dxa"/>
            <w:vAlign w:val="bottom"/>
            <w:gridSpan w:val="5"/>
          </w:tcPr>
          <w:p>
            <w:pPr>
              <w:jc w:val="right"/>
              <w:ind w:right="240"/>
              <w:spacing w:after="0"/>
              <w:rPr>
                <w:sz w:val="20"/>
                <w:szCs w:val="20"/>
                <w:color w:val="auto"/>
              </w:rPr>
            </w:pPr>
            <w:r>
              <w:rPr>
                <w:rFonts w:ascii="Arial" w:cs="Arial" w:eastAsia="Arial" w:hAnsi="Arial"/>
                <w:sz w:val="18"/>
                <w:szCs w:val="18"/>
                <w:color w:val="auto"/>
              </w:rPr>
              <w:t>13.8%</w:t>
            </w:r>
          </w:p>
        </w:tc>
        <w:tc>
          <w:tcPr>
            <w:tcW w:w="1120" w:type="dxa"/>
            <w:vAlign w:val="bottom"/>
            <w:gridSpan w:val="6"/>
          </w:tcPr>
          <w:p>
            <w:pPr>
              <w:jc w:val="right"/>
              <w:ind w:right="100"/>
              <w:spacing w:after="0"/>
              <w:rPr>
                <w:sz w:val="20"/>
                <w:szCs w:val="20"/>
                <w:color w:val="auto"/>
              </w:rPr>
            </w:pPr>
            <w:r>
              <w:rPr>
                <w:rFonts w:ascii="Arial" w:cs="Arial" w:eastAsia="Arial" w:hAnsi="Arial"/>
                <w:sz w:val="18"/>
                <w:szCs w:val="18"/>
                <w:color w:val="auto"/>
              </w:rPr>
              <w:t>14.0%</w:t>
            </w:r>
          </w:p>
        </w:tc>
        <w:tc>
          <w:tcPr>
            <w:tcW w:w="1180" w:type="dxa"/>
            <w:vAlign w:val="bottom"/>
            <w:gridSpan w:val="6"/>
          </w:tcPr>
          <w:p>
            <w:pPr>
              <w:jc w:val="right"/>
              <w:ind w:right="60"/>
              <w:spacing w:after="0"/>
              <w:rPr>
                <w:sz w:val="20"/>
                <w:szCs w:val="20"/>
                <w:color w:val="auto"/>
              </w:rPr>
            </w:pPr>
            <w:r>
              <w:rPr>
                <w:rFonts w:ascii="Arial" w:cs="Arial" w:eastAsia="Arial" w:hAnsi="Arial"/>
                <w:sz w:val="18"/>
                <w:szCs w:val="18"/>
                <w:color w:val="auto"/>
              </w:rPr>
              <w:t>6.1 %</w:t>
            </w:r>
          </w:p>
        </w:tc>
      </w:tr>
      <w:tr>
        <w:trPr>
          <w:trHeight w:val="27"/>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period increased by $91.9 million, or 7.9%, from $1,169.8 million for the six months ended June 30, 2017 to $1,261.7 million for the six months ended June 30, 2018. Revenue increased by 5.3% in constant currency and decreased by 0.6% in constant dollar organic terms. The increase in revenues in the six months ended June 30, 2018 can be explained by both continued organic growth, and the additional revenues from the acquisition of Mapi on July 27, 2017. The Company changed its accounting policy for revenue recognition on the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with a date of initial application of January 1, 2018 (</w:t>
      </w:r>
      <w:r>
        <w:rPr>
          <w:rFonts w:ascii="Arial" w:cs="Arial" w:eastAsia="Arial" w:hAnsi="Arial"/>
          <w:sz w:val="18"/>
          <w:szCs w:val="18"/>
          <w:i w:val="1"/>
          <w:iCs w:val="1"/>
          <w:color w:val="auto"/>
        </w:rPr>
        <w:t>see Notes 2 and 13</w:t>
      </w:r>
      <w:r>
        <w:rPr>
          <w:rFonts w:ascii="Arial" w:cs="Arial" w:eastAsia="Arial" w:hAnsi="Arial"/>
          <w:sz w:val="18"/>
          <w:szCs w:val="18"/>
          <w:color w:val="auto"/>
        </w:rPr>
        <w:t>).</w:t>
      </w:r>
    </w:p>
    <w:p>
      <w:pPr>
        <w:spacing w:after="0" w:line="2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six months ended June 30, 2018 we derived approximately 35.4%, 54.5% and 10.1% of our revenue in the United States, Europe and Rest of World respectively. During the six months ended June 30, 2018 $493.1 million or 39.1% of our revenues were derived from our top 5 customers. The largest of these customers related to a Strategic Partnership with a large global pharmaceutical company. Revenue from this customer contributed 12.4% of revenue for the six months ended June 30, 2018. Revenue from our second largest customer contributed 10.4% for the six months ended June 30, 2018. Net revenues (reported under ASC 605 see Note 13) derived from our top 5 customers were $342.9 million or 36.6% during the six months ended June 30, 2018, compared to $374.1 million or 43.3% of net revenues (reported under ASC 605) during the six months ended June 30, 2017. Net revenue from our top customer (reported under ASC 605 see Note 13) was 17.3% for the six months ended June 30, 2018 and 22.1% of revenue (reported under ASC 605 see Note 13) in respect of the six months ended June 30, 2017. The addition of new customer accounts, particularly mid-tier pharma customers and biotech customers continues to result in a reduction in concentration of revenues from our top 5 customers.</w:t>
      </w:r>
    </w:p>
    <w:p>
      <w:pPr>
        <w:spacing w:after="0" w:line="2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 Ireland increased from $463.7 million for the six months ended June 30, 2017 to $495.2 million for the six months ended June 30, 2018. Revenue in Ireland is principally a function of the Company’s global transfer pricing model (</w:t>
      </w:r>
      <w:r>
        <w:rPr>
          <w:rFonts w:ascii="Arial" w:cs="Arial" w:eastAsia="Arial" w:hAnsi="Arial"/>
          <w:sz w:val="17"/>
          <w:szCs w:val="17"/>
          <w:i w:val="1"/>
          <w:iCs w:val="1"/>
          <w:color w:val="auto"/>
        </w:rPr>
        <w:t>see note 12 Business Segmental Information for further details</w:t>
      </w:r>
      <w:r>
        <w:rPr>
          <w:rFonts w:ascii="Arial" w:cs="Arial" w:eastAsia="Arial" w:hAnsi="Arial"/>
          <w:sz w:val="17"/>
          <w:szCs w:val="17"/>
          <w:color w:val="auto"/>
        </w:rPr>
        <w:t>). Revenue in our Rest of Europe region increased from $151.5 million for the six months ended June 30, 2017 to $191.7 million for the six months ended June 30, 2018, principally reflecting the acquisition of Mapi in July 2017. Revenue in our Rest of World region increased from $101.7 million for the six months ended June 30, 2017 to $127.9 million for the six months ended June 30, 2018. Revenue in the U.S. region decreased from $453.0 million for the six months ended June 30, 2017 to $446.9 million for the six months ended June 30, 2018.</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t>Direct costs for the period increased by $51.2 million, or 10.2%, from $500.5 million for the six months ended June 30, 2017 to $551.7 million for the six months ended June 30, 2018.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$75.0 million. As a percentage of revenue, direct costs have increased from 42.8% for the six months ended June 30, 2017 to 43.7% for the six months ended June 30, 2018.</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Reimbursable expenses for the period increased by $21.2 million, or 6.9%, from $306.9 million for the six months ended June 30, 2017 to $328.1 million for the six months ended June 30, 2018</w:t>
      </w:r>
      <w:r>
        <w:rPr>
          <w:rFonts w:ascii="Arial" w:cs="Arial" w:eastAsia="Arial" w:hAnsi="Arial"/>
          <w:sz w:val="17"/>
          <w:szCs w:val="17"/>
          <w:i w:val="1"/>
          <w:iCs w:val="1"/>
          <w:color w:val="auto"/>
        </w:rPr>
        <w:t>.</w:t>
      </w:r>
      <w:r>
        <w:rPr>
          <w:rFonts w:ascii="Arial" w:cs="Arial" w:eastAsia="Arial" w:hAnsi="Arial"/>
          <w:sz w:val="17"/>
          <w:szCs w:val="17"/>
          <w:color w:val="auto"/>
        </w:rPr>
        <w:t xml:space="preserve"> As a percentage of revenue, reimbursable expenses have decreased from 26.2% for the six months ended June 30, 2017 to 26.0% for the six months ended June 30, 2018. The increase in reimbursable expenses is directly related to the increased activity.</w:t>
      </w:r>
    </w:p>
    <w:p>
      <w:pPr>
        <w:spacing w:after="0" w:line="2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expenses for the period decreased by $0.3 million, or (0.2)%, from $162.2 million for the six months ended June 30, 2017 to $161.9 million for the six months ended June 30, 2018.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net decrease in selling, general and administration expenses for the period of $0.4 million reflects a continued focus on personnel related expenditure and facilities and related costs. As a percentage of revenue, selling, general and administrative expenses decreased from 13.9% for the six months ended June 30, 2017 to 12.8% for the six months ended June 30, 2018.</w:t>
      </w: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Depreciation expense for the period increased by $3.4 million, or 16.6%, from $20.4 million for the six months ended June 30, 2017 to $23.8 million for six months ended June 30, 2018. Depreciation expense arises principally from continued investment in facilities, information systems and equipment to support the Company’s growth. As a percentage of revenue the depreciation expense for the six months ended June 30, 2018 (1.9%) increased marginally on the percentage of revenue charge for the six months ended June 30, 2017 (1.7%). Amortization expense for the period increased by $1.6 million, or 18.8%, from $8.5 million for the six months ended June 30, 2017 to $10.1 million for the six months ended June 30, 2018. Amortization expense represents the amortization of intangible assets acquired on business combinations. The increase in the amortization expense for the period relates primarily to the acquisition of Mapi in July 2017. As a percentage of revenue, amortization expense for the six months ended June 30, 2018 is 0.8%, which is an increase from 0.7% for the six months ended June 30, 2017.</w:t>
      </w:r>
    </w:p>
    <w:p>
      <w:pPr>
        <w:spacing w:after="0" w:line="3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2018, a restructuring charge of $12.5 million was recognized under a restructuring plan adopted following a review by the company of its operations. The restructuring plan includes resource rationalization in certain areas of the business to improve resource utilization (</w:t>
      </w:r>
      <w:r>
        <w:rPr>
          <w:rFonts w:ascii="Arial" w:cs="Arial" w:eastAsia="Arial" w:hAnsi="Arial"/>
          <w:sz w:val="17"/>
          <w:szCs w:val="17"/>
          <w:i w:val="1"/>
          <w:iCs w:val="1"/>
          <w:color w:val="auto"/>
        </w:rPr>
        <w:t>see note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4 Restructuring for further information). </w:t>
      </w:r>
      <w:r>
        <w:rPr>
          <w:rFonts w:ascii="Arial" w:cs="Arial" w:eastAsia="Arial" w:hAnsi="Arial"/>
          <w:sz w:val="17"/>
          <w:szCs w:val="17"/>
          <w:color w:val="auto"/>
        </w:rPr>
        <w:t>During the six months June 30, 2017, a restructuring charge of $7.8 million was recognized.</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result of the above, income from operations for the period increased by $9.9 million, or 6.1%, from $163.7 million for the six months ended June 30, 2017 ($171.5 million excluding restructuring charges) to $173.6 million for the six months ended June 30, 2018 ($186.1 million excluding restructuring). As a percentage of revenue, income from operations for the six months ended June 30, 2018 decreased from 14.0% of revenues for the six months ended June 30, 2017 (14.7% excluding restructuring charges) to 13.8% of revenues for the six months ended June 30, 2018 (14.8% excluding restructuring charges).</w:t>
      </w:r>
    </w:p>
    <w:p>
      <w:pPr>
        <w:spacing w:after="0" w:line="2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Income from operations in Ireland increased from a profit of $102.6 million for the six months ended June 30, 2017 ($110.4 million excluding restructuring charges) to a profit of $119.4 million for the six months ended June 30, 2018 ($131.9 million excluding restructuring charges). Income from operations in Ireland is impacted by the Group’s global transfer pricing model </w:t>
      </w:r>
      <w:r>
        <w:rPr>
          <w:rFonts w:ascii="Arial" w:cs="Arial" w:eastAsia="Arial" w:hAnsi="Arial"/>
          <w:sz w:val="17"/>
          <w:szCs w:val="17"/>
          <w:i w:val="1"/>
          <w:iCs w:val="1"/>
          <w:color w:val="auto"/>
        </w:rPr>
        <w:t>(see note 12 Business Segmental Information for further details).</w:t>
      </w:r>
      <w:r>
        <w:rPr>
          <w:rFonts w:ascii="Arial" w:cs="Arial" w:eastAsia="Arial" w:hAnsi="Arial"/>
          <w:sz w:val="17"/>
          <w:szCs w:val="17"/>
          <w:color w:val="auto"/>
        </w:rPr>
        <w:t xml:space="preserve"> Income from operations in our Rest of Europe region increased from $12.6 million for the six months ended June 30, 2017 ($12.6 million excluding restructuring charges) to $16.8 million for the six months ended June 30, 2018 ($16.8 million excluding restructuring charges), while income from operations in our Rest of World region decreased from $11.7 million for the six months ended June 30, 2017 ($11.7 million excluding restructuring charges) to $10.9 million for the six months ended June 30, 2018 ($10.9 million excluding restructuring charges). Income from operations in the U.S. region decreased from $36.7 million for the six months ended June 30, 2017 ($36.7 million excluding restructuring charges) to $26.5 million for the six months ended June 30, 2018 ($26.5 million excluding restructuring charges). During the six months ended June 30, 2017 a credit of $6 million was recorded being the reduction int he assessment of the fair value of contingent consideration liability relating to the acquisition of ClinicalRM.</w:t>
      </w: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increased by $0.7 million, or 10.9%, from $6.4 million for the six months ended June 30, 2017 to $7.1 million for the six months ended June 30, 2018. Interest income increased by $0.7 million or 63.6%, from $1.1 million for the six months ended June 30, 2017 to $1.8 million for the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Provision for income taxes decreased from $22.2 million for the six months ended June 30, 2017 to $18.4 million for the six months ended June 30, 2018. The Company’s effective tax rate for the six months ended June 30, 2018 was 10.9% (11.0% excluding restructuring charges) compared with 14.0% (13.9% excluding restructuring charges) for the six months ended June 30, 2017. The Company’s effective tax rate remains principally a function of the distribution of pre-tax profits amongst the territories in which it operates.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net borrowings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Balance</w:t>
            </w: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Drawn</w:t>
            </w:r>
          </w:p>
        </w:tc>
        <w:tc>
          <w:tcPr>
            <w:tcW w:w="3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Net cash</w:t>
            </w:r>
          </w:p>
        </w:tc>
        <w:tc>
          <w:tcPr>
            <w:tcW w:w="3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Other non-</w:t>
            </w: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Effect of</w:t>
            </w:r>
          </w:p>
        </w:tc>
        <w:tc>
          <w:tcPr>
            <w:tcW w:w="3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Balance</w:t>
            </w:r>
          </w:p>
        </w:tc>
      </w:tr>
      <w:tr>
        <w:trPr>
          <w:trHeight w:val="216"/>
        </w:trPr>
        <w:tc>
          <w:tcPr>
            <w:tcW w:w="2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6"/>
              </w:rPr>
              <w:t>December</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down/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inflow/</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cash</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exchange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June</w:t>
            </w:r>
          </w:p>
        </w:tc>
      </w:tr>
      <w:tr>
        <w:trPr>
          <w:trHeight w:val="273"/>
        </w:trPr>
        <w:tc>
          <w:tcPr>
            <w:tcW w:w="29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31, 2017</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(repaid)</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(outflow)</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6"/>
              </w:rPr>
              <w:t>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rates</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30, 2018</w:t>
            </w:r>
          </w:p>
        </w:tc>
      </w:tr>
      <w:tr>
        <w:trPr>
          <w:trHeight w:val="243"/>
        </w:trPr>
        <w:tc>
          <w:tcPr>
            <w:tcW w:w="29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7"/>
        </w:trPr>
        <w:tc>
          <w:tcPr>
            <w:tcW w:w="2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282,859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289,219</w:t>
            </w:r>
          </w:p>
        </w:tc>
      </w:tr>
      <w:tr>
        <w:trPr>
          <w:trHeight w:val="243"/>
        </w:trPr>
        <w:tc>
          <w:tcPr>
            <w:tcW w:w="2940" w:type="dxa"/>
            <w:vAlign w:val="bottom"/>
          </w:tcPr>
          <w:p>
            <w:pPr>
              <w:ind w:left="280"/>
              <w:spacing w:after="0"/>
              <w:rPr>
                <w:sz w:val="20"/>
                <w:szCs w:val="20"/>
                <w:color w:val="auto"/>
              </w:rPr>
            </w:pPr>
            <w:r>
              <w:rPr>
                <w:rFonts w:ascii="Arial" w:cs="Arial" w:eastAsia="Arial" w:hAnsi="Arial"/>
                <w:sz w:val="18"/>
                <w:szCs w:val="18"/>
                <w:color w:val="auto"/>
              </w:rPr>
              <w:t>Private placement notes</w:t>
            </w:r>
          </w:p>
        </w:tc>
        <w:tc>
          <w:tcPr>
            <w:tcW w:w="9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(348,888)</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(186)</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(349,074)</w:t>
            </w:r>
          </w:p>
        </w:tc>
      </w:tr>
      <w:tr>
        <w:trPr>
          <w:trHeight w:val="34"/>
        </w:trPr>
        <w:tc>
          <w:tcPr>
            <w:tcW w:w="2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0"/>
        </w:trPr>
        <w:tc>
          <w:tcPr>
            <w:tcW w:w="2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2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(66,029)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10,193</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(186)</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(3,833)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(59,855)</w:t>
            </w:r>
          </w:p>
        </w:tc>
      </w:tr>
      <w:tr>
        <w:trPr>
          <w:trHeight w:val="27"/>
        </w:trPr>
        <w:tc>
          <w:tcPr>
            <w:tcW w:w="2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and short term investment balances at June 30, 2018 amounted to $373.0 million compared with cash and short term investment balances of $360.5 million at December 31, 2017. The Company’s cash and short term investment balances at June 30, 2018 comprised of cash and cash equivalents of $289.2 million and short-term investments of $83.8 million. The Company’s cash and short term investment balances at December 31, 2017 comprised of cash and cash equivalents of $282.9 million and short-term investments of $77.6 million.</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replaces the $100.0 million facility which was entered into in June 2014 due to mature in June 2019. The facility bears interest at LIBOR plus a margin. No amounts were drawn at June 30, 2018, or at December 31, 2017, in respect of the Revolving Credit Facility. Amounts available to the Group under the facility at June 30, 2018 were $150.0 million and at December 31, 2017 were $100.0 million.</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 also has an uncommitted short-term revolving credit facility of $30 million. No amounts were drawn under this facility at December 31, 2017 or at June 30, 2018.</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provided by operating activities was $79.7 million for the six months ended June 30, 2018 compared with cash provided by operating activities of $168.4 million for the six months ended June 30, 2017. This reflects the impact of the increase in revenues and underlying profitability of the Company offset by movements in working capital balances in the period.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instalments based on the delivery of certain performance targets or “milestones” (e.g. target patient enrolment rates, clinical testing sites initiated or case report forms completed), such milestones being specific to the terms of each individual contract, while revenues on contracts are recognized as contractual obligations are performed. Days revenue outstanding can vary therefore</w:t>
      </w:r>
    </w:p>
    <w:p>
      <w:pPr>
        <w:sectPr>
          <w:pgSz w:w="11900" w:h="16838" w:orient="portrait"/>
          <w:cols w:equalWidth="0" w:num="1">
            <w:col w:w="11420"/>
          </w:cols>
          <w:pgMar w:left="240" w:top="746"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746" w:right="239" w:bottom="1440" w:gutter="0" w:footer="0" w:header="0"/>
          <w:type w:val="continuous"/>
        </w:sectPr>
      </w:pPr>
    </w:p>
    <w:bookmarkStart w:id="35" w:name="page36"/>
    <w:bookmarkEnd w:id="35"/>
    <w:p>
      <w:pPr>
        <w:jc w:val="both"/>
        <w:spacing w:after="0" w:line="288" w:lineRule="auto"/>
        <w:rPr>
          <w:sz w:val="20"/>
          <w:szCs w:val="20"/>
          <w:color w:val="auto"/>
        </w:rPr>
      </w:pPr>
      <w:r>
        <w:rPr>
          <w:rFonts w:ascii="Arial" w:cs="Arial" w:eastAsia="Arial" w:hAnsi="Arial"/>
          <w:sz w:val="16"/>
          <w:szCs w:val="16"/>
          <w:color w:val="auto"/>
        </w:rPr>
        <w:t>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June 30, 2018 was 49 days (under ASC</w:t>
      </w:r>
    </w:p>
    <w:p>
      <w:pPr>
        <w:ind w:firstLine="8"/>
        <w:spacing w:after="0" w:line="261" w:lineRule="auto"/>
        <w:tabs>
          <w:tab w:leader="none" w:pos="37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was in line with 49 days at December 31, 2017 (under ASC 605). The number of days revenue outstanding at June 30, 2017 was 53 days compared to 50 days at December 31, 2016.</w:t>
      </w:r>
    </w:p>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was $24.8 million for the six months ended June 30, 2018 compared to net cash used in investing activities of $33.1 million for the six months ended June 30, 2017. Net cash used in the six months ended June 30, 2018 relates to capital expenditure of $17.2 million, which was mainly comprised of investment in facilities and IT infrastructure. During the six months ended June 30, 2018 $55.6 million was used for the purchase of short term investments and $49.7 million was generated by the sale of short term investments. Net cash used in investing activities during the six months ended June 30, 2017 relates to capital expenditure of $15.2 million, which was mainly comprised of investment in facilities and IT infrastructure. During the six months ended June 30, 2017 $24.9 million was used for the purchase of short term investments and $6.9 million was generated by the sale of short term investments.</w:t>
      </w:r>
    </w:p>
    <w:p>
      <w:pPr>
        <w:spacing w:after="0" w:line="2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in financing activities during the six months ended June 30, 2018 amounted to $44.7 million compared to net cash used in financing activities of $102.3 million for the six months ended June 30, 2017. Cash outflows in respect of financing includes cash payments in respect of the Company’s share repurchase program totaling $54.2 million during the six months ended June 30, 2018 and financing costs of $0.8 million. In addition, $10.3 million was received by the Company from the exercise of share options. During the six months ended June 30, 2017, $108.2 million was recognized in relation to the Company's share repurchase program. In addition, $5.9 million was received by the Company from the exercise of share options.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cash flows, cash and cash equivalents increased by $6.36 million for the six months ended June 30, 2018 compared to an increase of $35.7 million for the six months ended June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40"/>
        <w:spacing w:after="0"/>
        <w:rPr>
          <w:sz w:val="20"/>
          <w:szCs w:val="20"/>
          <w:color w:val="auto"/>
        </w:rPr>
      </w:pPr>
      <w:r>
        <w:rPr>
          <w:rFonts w:ascii="Arial" w:cs="Arial" w:eastAsia="Arial" w:hAnsi="Arial"/>
          <w:sz w:val="18"/>
          <w:szCs w:val="18"/>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6841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57" w:lineRule="exact"/>
        <w:rPr>
          <w:sz w:val="20"/>
          <w:szCs w:val="20"/>
          <w:color w:val="auto"/>
        </w:rPr>
      </w:pPr>
    </w:p>
    <w:p>
      <w:pPr>
        <w:ind w:left="720" w:right="1720" w:hanging="7994"/>
        <w:spacing w:after="0" w:line="290" w:lineRule="auto"/>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2018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
      <w:numFmt w:val="bullet"/>
      <w:start w:val="1"/>
    </w:lvl>
  </w:abstractNum>
  <w:abstractNum w:abstractNumId="1">
    <w:nsid w:val="66334873"/>
    <w:multiLevelType w:val="hybridMultilevel"/>
    <w:lvl w:ilvl="0">
      <w:lvlJc w:val="left"/>
      <w:lvlText w:val="%1)"/>
      <w:numFmt w:val="decimal"/>
      <w:start w:val="60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2019-12-06T11:59:23Z</dcterms:created>
  <dcterms:modified xsi:type="dcterms:W3CDTF">2019-12-06T11:59:23Z</dcterms:modified>
</cp:coreProperties>
</file>