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FORM 6-K</w:t>
      </w:r>
    </w:p>
    <w:p>
      <w:pPr>
        <w:spacing w:after="0" w:line="25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AND EXCHANGE COMMISSION</w:t>
      </w:r>
    </w:p>
    <w:p>
      <w:pPr>
        <w:spacing w:after="0" w:line="23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Washington, D.C. 20549</w:t>
      </w:r>
    </w:p>
    <w:p>
      <w:pPr>
        <w:spacing w:after="0" w:line="22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 the quarterly period ended June 30, 2007</w:t>
      </w:r>
    </w:p>
    <w:p>
      <w:pPr>
        <w:spacing w:after="0" w:line="21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(Registrant’s name)</w:t>
      </w:r>
    </w:p>
    <w:p>
      <w:pPr>
        <w:spacing w:after="0" w:line="218"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0-29714</w:t>
      </w:r>
    </w:p>
    <w:p>
      <w:pPr>
        <w:jc w:val="center"/>
        <w:ind w:right="-199"/>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1"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South County Business Park, Leopardstown, Dublin 18, Ireland.</w:t>
      </w:r>
    </w:p>
    <w:p>
      <w:pPr>
        <w:jc w:val="center"/>
        <w:ind w:right="-199"/>
        <w:spacing w:after="0"/>
        <w:rPr>
          <w:sz w:val="20"/>
          <w:szCs w:val="20"/>
          <w:color w:val="auto"/>
        </w:rPr>
      </w:pPr>
      <w:r>
        <w:rPr>
          <w:rFonts w:ascii="Arial" w:cs="Arial" w:eastAsia="Arial" w:hAnsi="Arial"/>
          <w:sz w:val="14"/>
          <w:szCs w:val="14"/>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840"/>
        <w:spacing w:after="0"/>
        <w:tabs>
          <w:tab w:leader="none" w:pos="6260" w:val="left"/>
        </w:tabs>
        <w:rPr>
          <w:sz w:val="20"/>
          <w:szCs w:val="20"/>
          <w:color w:val="auto"/>
        </w:rPr>
      </w:pPr>
      <w:r>
        <w:rPr>
          <w:rFonts w:ascii="Arial" w:cs="Arial" w:eastAsia="Arial" w:hAnsi="Arial"/>
          <w:sz w:val="14"/>
          <w:szCs w:val="14"/>
          <w:color w:val="auto"/>
        </w:rPr>
        <w:t xml:space="preserve">Yes </w:t>
      </w:r>
      <w:r>
        <w:rPr>
          <w:rFonts w:ascii="Arial" w:cs="Arial" w:eastAsia="Arial" w:hAnsi="Arial"/>
          <w:sz w:val="14"/>
          <w:szCs w:val="14"/>
          <w:b w:val="1"/>
          <w:bCs w:val="1"/>
          <w:color w:val="auto"/>
        </w:rPr>
        <w:t>x</w:t>
      </w:r>
      <w:r>
        <w:rPr>
          <w:sz w:val="20"/>
          <w:szCs w:val="20"/>
          <w:color w:val="auto"/>
        </w:rPr>
        <w:tab/>
      </w:r>
      <w:r>
        <w:rPr>
          <w:rFonts w:ascii="Arial" w:cs="Arial" w:eastAsia="Arial" w:hAnsi="Arial"/>
          <w:sz w:val="14"/>
          <w:szCs w:val="14"/>
          <w:color w:val="auto"/>
        </w:rPr>
        <w:t>No o</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4840"/>
        <w:spacing w:after="0"/>
        <w:tabs>
          <w:tab w:leader="none" w:pos="626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4"/>
          <w:szCs w:val="14"/>
          <w:color w:val="auto"/>
        </w:rPr>
        <w:t xml:space="preserve">No </w:t>
      </w:r>
      <w:r>
        <w:rPr>
          <w:rFonts w:ascii="Arial" w:cs="Arial" w:eastAsia="Arial" w:hAnsi="Arial"/>
          <w:sz w:val="14"/>
          <w:szCs w:val="14"/>
          <w:b w:val="1"/>
          <w:bCs w:val="1"/>
          <w:color w:val="auto"/>
        </w:rPr>
        <w:t>x</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4840"/>
        <w:spacing w:after="0"/>
        <w:tabs>
          <w:tab w:leader="none" w:pos="626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4"/>
          <w:szCs w:val="14"/>
          <w:color w:val="auto"/>
        </w:rPr>
        <w:t xml:space="preserve">No </w:t>
      </w:r>
      <w:r>
        <w:rPr>
          <w:rFonts w:ascii="Arial" w:cs="Arial" w:eastAsia="Arial" w:hAnsi="Arial"/>
          <w:sz w:val="14"/>
          <w:szCs w:val="14"/>
          <w:b w:val="1"/>
          <w:bCs w:val="1"/>
          <w:color w:val="auto"/>
        </w:rPr>
        <w:t>x</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840"/>
        <w:spacing w:after="0"/>
        <w:tabs>
          <w:tab w:leader="none" w:pos="626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4"/>
          <w:szCs w:val="14"/>
          <w:color w:val="auto"/>
        </w:rPr>
        <w:t xml:space="preserve">No </w:t>
      </w:r>
      <w:r>
        <w:rPr>
          <w:rFonts w:ascii="Arial" w:cs="Arial" w:eastAsia="Arial" w:hAnsi="Arial"/>
          <w:sz w:val="14"/>
          <w:szCs w:val="14"/>
          <w:b w:val="1"/>
          <w:bCs w:val="1"/>
          <w:color w:val="auto"/>
        </w:rPr>
        <w:t>x</w:t>
      </w:r>
    </w:p>
    <w:p>
      <w:pPr>
        <w:spacing w:after="0" w:line="231" w:lineRule="exact"/>
        <w:rPr>
          <w:sz w:val="24"/>
          <w:szCs w:val="24"/>
          <w:color w:val="auto"/>
        </w:rPr>
      </w:pPr>
    </w:p>
    <w:p>
      <w:pPr>
        <w:spacing w:after="0"/>
        <w:tabs>
          <w:tab w:leader="none" w:pos="6780" w:val="left"/>
        </w:tabs>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sz w:val="20"/>
          <w:szCs w:val="20"/>
          <w:color w:val="auto"/>
        </w:rPr>
        <w:tab/>
      </w: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1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gridSpan w:val="3"/>
          </w:tcPr>
          <w:p>
            <w:pPr>
              <w:jc w:val="center"/>
              <w:ind w:right="3880"/>
              <w:spacing w:after="0"/>
              <w:rPr>
                <w:sz w:val="20"/>
                <w:szCs w:val="20"/>
                <w:color w:val="auto"/>
              </w:rPr>
            </w:pPr>
            <w:r>
              <w:rPr>
                <w:rFonts w:ascii="Arial" w:cs="Arial" w:eastAsia="Arial" w:hAnsi="Arial"/>
                <w:sz w:val="14"/>
                <w:szCs w:val="14"/>
                <w:b w:val="1"/>
                <w:bCs w:val="1"/>
                <w:color w:val="auto"/>
              </w:rPr>
              <w:t>ICON plc</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700" w:type="dxa"/>
            <w:vAlign w:val="bottom"/>
            <w:gridSpan w:val="6"/>
          </w:tcPr>
          <w:p>
            <w:pPr>
              <w:jc w:val="center"/>
              <w:ind w:right="2100"/>
              <w:spacing w:after="0"/>
              <w:rPr>
                <w:sz w:val="20"/>
                <w:szCs w:val="20"/>
                <w:color w:val="auto"/>
              </w:rPr>
            </w:pPr>
            <w:r>
              <w:rPr>
                <w:rFonts w:ascii="Arial" w:cs="Arial" w:eastAsia="Arial" w:hAnsi="Arial"/>
                <w:sz w:val="14"/>
                <w:szCs w:val="14"/>
                <w:b w:val="1"/>
                <w:bCs w:val="1"/>
                <w:color w:val="auto"/>
                <w:w w:val="93"/>
              </w:rPr>
              <w:t>Quarterly Period Ended June 30, 2007</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120" w:type="dxa"/>
            <w:vAlign w:val="bottom"/>
            <w:gridSpan w:val="10"/>
          </w:tcPr>
          <w:p>
            <w:pPr>
              <w:spacing w:after="0"/>
              <w:rPr>
                <w:sz w:val="20"/>
                <w:szCs w:val="20"/>
                <w:color w:val="auto"/>
              </w:rPr>
            </w:pPr>
            <w:r>
              <w:rPr>
                <w:rFonts w:ascii="Arial" w:cs="Arial" w:eastAsia="Arial" w:hAnsi="Arial"/>
                <w:sz w:val="14"/>
                <w:szCs w:val="14"/>
                <w:b w:val="1"/>
                <w:bCs w:val="1"/>
                <w:color w:val="auto"/>
              </w:rPr>
              <w:t>CONTENTS</w:t>
            </w:r>
          </w:p>
        </w:tc>
        <w:tc>
          <w:tcPr>
            <w:tcW w:w="1300" w:type="dxa"/>
            <w:vAlign w:val="bottom"/>
            <w:gridSpan w:val="4"/>
          </w:tcPr>
          <w:p>
            <w:pPr>
              <w:ind w:left="9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4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100" w:type="dxa"/>
            <w:vAlign w:val="bottom"/>
            <w:gridSpan w:val="9"/>
            <w:shd w:val="clear" w:color="auto" w:fill="CCEEFF"/>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General</w:t>
              </w:r>
            </w:hyperlink>
          </w:p>
        </w:tc>
        <w:tc>
          <w:tcPr>
            <w:tcW w:w="1300" w:type="dxa"/>
            <w:vAlign w:val="bottom"/>
            <w:gridSpan w:val="4"/>
            <w:shd w:val="clear" w:color="auto" w:fill="CCEEFF"/>
          </w:tcPr>
          <w:p>
            <w:pPr>
              <w:jc w:val="right"/>
              <w:ind w:right="80"/>
              <w:spacing w:after="0"/>
              <w:rPr>
                <w:rFonts w:ascii="Arial" w:cs="Arial" w:eastAsia="Arial" w:hAnsi="Arial"/>
                <w:sz w:val="14"/>
                <w:szCs w:val="14"/>
                <w:color w:val="0000EE"/>
              </w:rPr>
            </w:pPr>
            <w:hyperlink w:anchor="page4">
              <w:r>
                <w:rPr>
                  <w:rFonts w:ascii="Arial" w:cs="Arial" w:eastAsia="Arial" w:hAnsi="Arial"/>
                  <w:sz w:val="14"/>
                  <w:szCs w:val="14"/>
                  <w:color w:val="0000EE"/>
                </w:rPr>
                <w:t>2</w:t>
              </w:r>
            </w:hyperlink>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100" w:type="dxa"/>
            <w:vAlign w:val="bottom"/>
            <w:gridSpan w:val="9"/>
            <w:shd w:val="clear" w:color="auto" w:fill="CCEEFF"/>
          </w:tcPr>
          <w:p>
            <w:pPr>
              <w:spacing w:after="0" w:line="135" w:lineRule="exact"/>
              <w:rPr>
                <w:rFonts w:ascii="Arial" w:cs="Arial" w:eastAsia="Arial" w:hAnsi="Arial"/>
                <w:sz w:val="14"/>
                <w:szCs w:val="14"/>
                <w:color w:val="0000EE"/>
              </w:rPr>
            </w:pPr>
            <w:hyperlink w:anchor="page5">
              <w:r>
                <w:rPr>
                  <w:rFonts w:ascii="Arial" w:cs="Arial" w:eastAsia="Arial" w:hAnsi="Arial"/>
                  <w:sz w:val="14"/>
                  <w:szCs w:val="14"/>
                  <w:color w:val="0000EE"/>
                </w:rPr>
                <w:t>Condensed Consolidated Balance Sheets as at June 30, 2007 and December 31, 2006</w:t>
              </w:r>
            </w:hyperlink>
          </w:p>
        </w:tc>
        <w:tc>
          <w:tcPr>
            <w:tcW w:w="1300" w:type="dxa"/>
            <w:vAlign w:val="bottom"/>
            <w:gridSpan w:val="4"/>
            <w:shd w:val="clear" w:color="auto" w:fill="CCEEFF"/>
          </w:tcPr>
          <w:p>
            <w:pPr>
              <w:jc w:val="right"/>
              <w:ind w:right="80"/>
              <w:spacing w:after="0" w:line="135" w:lineRule="exact"/>
              <w:rPr>
                <w:rFonts w:ascii="Arial" w:cs="Arial" w:eastAsia="Arial" w:hAnsi="Arial"/>
                <w:sz w:val="14"/>
                <w:szCs w:val="14"/>
                <w:color w:val="0000EE"/>
              </w:rPr>
            </w:pPr>
            <w:hyperlink w:anchor="page5">
              <w:r>
                <w:rPr>
                  <w:rFonts w:ascii="Arial" w:cs="Arial" w:eastAsia="Arial" w:hAnsi="Arial"/>
                  <w:sz w:val="14"/>
                  <w:szCs w:val="14"/>
                  <w:color w:val="0000EE"/>
                </w:rPr>
                <w:t>3</w:t>
              </w:r>
            </w:hyperlink>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100" w:type="dxa"/>
            <w:vAlign w:val="bottom"/>
            <w:gridSpan w:val="9"/>
            <w:shd w:val="clear" w:color="auto" w:fill="CCEEFF"/>
          </w:tcPr>
          <w:p>
            <w:pPr>
              <w:spacing w:after="0" w:line="135" w:lineRule="exact"/>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Operations for the three and six months ended June 30, 2007 and the three months and six months ended June 30, 2006.</w:t>
              </w:r>
            </w:hyperlink>
          </w:p>
        </w:tc>
        <w:tc>
          <w:tcPr>
            <w:tcW w:w="1300" w:type="dxa"/>
            <w:vAlign w:val="bottom"/>
            <w:gridSpan w:val="4"/>
            <w:shd w:val="clear" w:color="auto" w:fill="CCEEFF"/>
          </w:tcPr>
          <w:p>
            <w:pPr>
              <w:jc w:val="right"/>
              <w:ind w:right="80"/>
              <w:spacing w:after="0" w:line="135" w:lineRule="exact"/>
              <w:rPr>
                <w:rFonts w:ascii="Arial" w:cs="Arial" w:eastAsia="Arial" w:hAnsi="Arial"/>
                <w:sz w:val="14"/>
                <w:szCs w:val="14"/>
                <w:color w:val="0000EE"/>
              </w:rPr>
            </w:pPr>
            <w:hyperlink w:anchor="page6">
              <w:r>
                <w:rPr>
                  <w:rFonts w:ascii="Arial" w:cs="Arial" w:eastAsia="Arial" w:hAnsi="Arial"/>
                  <w:sz w:val="14"/>
                  <w:szCs w:val="14"/>
                  <w:color w:val="0000EE"/>
                </w:rPr>
                <w:t>4</w:t>
              </w:r>
            </w:hyperlink>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100" w:type="dxa"/>
            <w:vAlign w:val="bottom"/>
            <w:gridSpan w:val="9"/>
            <w:shd w:val="clear" w:color="auto" w:fill="CCEEFF"/>
          </w:tcPr>
          <w:p>
            <w:pPr>
              <w:spacing w:after="0" w:line="135"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Statements of Cash Flows for the six months ended June 30, 2007 and the six months ended June 30, 2006.</w:t>
              </w:r>
            </w:hyperlink>
          </w:p>
        </w:tc>
        <w:tc>
          <w:tcPr>
            <w:tcW w:w="1300" w:type="dxa"/>
            <w:vAlign w:val="bottom"/>
            <w:gridSpan w:val="4"/>
            <w:shd w:val="clear" w:color="auto" w:fill="CCEEFF"/>
          </w:tcPr>
          <w:p>
            <w:pPr>
              <w:jc w:val="right"/>
              <w:ind w:right="80"/>
              <w:spacing w:after="0" w:line="135" w:lineRule="exact"/>
              <w:rPr>
                <w:rFonts w:ascii="Arial" w:cs="Arial" w:eastAsia="Arial" w:hAnsi="Arial"/>
                <w:sz w:val="14"/>
                <w:szCs w:val="14"/>
                <w:color w:val="0000EE"/>
              </w:rPr>
            </w:pPr>
            <w:hyperlink w:anchor="page7">
              <w:r>
                <w:rPr>
                  <w:rFonts w:ascii="Arial" w:cs="Arial" w:eastAsia="Arial" w:hAnsi="Arial"/>
                  <w:sz w:val="14"/>
                  <w:szCs w:val="14"/>
                  <w:color w:val="0000EE"/>
                </w:rPr>
                <w:t>5</w:t>
              </w:r>
            </w:hyperlink>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8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100" w:type="dxa"/>
            <w:vAlign w:val="bottom"/>
            <w:gridSpan w:val="9"/>
            <w:shd w:val="clear" w:color="auto" w:fill="CCEEFF"/>
          </w:tcPr>
          <w:p>
            <w:pPr>
              <w:spacing w:after="0" w:line="135" w:lineRule="exact"/>
              <w:rPr>
                <w:rFonts w:ascii="Arial" w:cs="Arial" w:eastAsia="Arial" w:hAnsi="Arial"/>
                <w:sz w:val="14"/>
                <w:szCs w:val="14"/>
                <w:color w:val="0000EE"/>
              </w:rPr>
            </w:pPr>
            <w:hyperlink w:anchor="page8">
              <w:r>
                <w:rPr>
                  <w:rFonts w:ascii="Arial" w:cs="Arial" w:eastAsia="Arial" w:hAnsi="Arial"/>
                  <w:sz w:val="14"/>
                  <w:szCs w:val="14"/>
                  <w:color w:val="0000EE"/>
                </w:rPr>
                <w:t>Condensed Consolidated Statements of Shareholders’ Equity and Comprehensive Income</w:t>
              </w:r>
            </w:hyperlink>
          </w:p>
        </w:tc>
        <w:tc>
          <w:tcPr>
            <w:tcW w:w="1300" w:type="dxa"/>
            <w:vAlign w:val="bottom"/>
            <w:gridSpan w:val="4"/>
            <w:shd w:val="clear" w:color="auto" w:fill="CCEEFF"/>
          </w:tcPr>
          <w:p>
            <w:pPr>
              <w:jc w:val="right"/>
              <w:ind w:right="80"/>
              <w:spacing w:after="0" w:line="135" w:lineRule="exact"/>
              <w:rPr>
                <w:rFonts w:ascii="Arial" w:cs="Arial" w:eastAsia="Arial" w:hAnsi="Arial"/>
                <w:sz w:val="14"/>
                <w:szCs w:val="14"/>
                <w:color w:val="0000EE"/>
              </w:rPr>
            </w:pPr>
            <w:hyperlink w:anchor="page8">
              <w:r>
                <w:rPr>
                  <w:rFonts w:ascii="Arial" w:cs="Arial" w:eastAsia="Arial" w:hAnsi="Arial"/>
                  <w:sz w:val="14"/>
                  <w:szCs w:val="14"/>
                  <w:color w:val="0000EE"/>
                </w:rPr>
                <w:t>6</w:t>
              </w:r>
            </w:hyperlink>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100" w:type="dxa"/>
            <w:vAlign w:val="bottom"/>
            <w:gridSpan w:val="9"/>
            <w:shd w:val="clear" w:color="auto" w:fill="CCEEFF"/>
          </w:tcPr>
          <w:p>
            <w:pPr>
              <w:spacing w:after="0" w:line="135" w:lineRule="exact"/>
              <w:rPr>
                <w:rFonts w:ascii="Arial" w:cs="Arial" w:eastAsia="Arial" w:hAnsi="Arial"/>
                <w:sz w:val="14"/>
                <w:szCs w:val="14"/>
                <w:color w:val="0000EE"/>
              </w:rPr>
            </w:pPr>
            <w:hyperlink w:anchor="page9">
              <w:r>
                <w:rPr>
                  <w:rFonts w:ascii="Arial" w:cs="Arial" w:eastAsia="Arial" w:hAnsi="Arial"/>
                  <w:sz w:val="14"/>
                  <w:szCs w:val="14"/>
                  <w:color w:val="0000EE"/>
                </w:rPr>
                <w:t>Notes to the Condensed Consolidated Financial Statements</w:t>
              </w:r>
            </w:hyperlink>
          </w:p>
        </w:tc>
        <w:tc>
          <w:tcPr>
            <w:tcW w:w="1300" w:type="dxa"/>
            <w:vAlign w:val="bottom"/>
            <w:gridSpan w:val="4"/>
            <w:shd w:val="clear" w:color="auto" w:fill="CCEEFF"/>
          </w:tcPr>
          <w:p>
            <w:pPr>
              <w:jc w:val="right"/>
              <w:ind w:right="80"/>
              <w:spacing w:after="0" w:line="135" w:lineRule="exact"/>
              <w:rPr>
                <w:rFonts w:ascii="Arial" w:cs="Arial" w:eastAsia="Arial" w:hAnsi="Arial"/>
                <w:sz w:val="14"/>
                <w:szCs w:val="14"/>
                <w:color w:val="0000EE"/>
              </w:rPr>
            </w:pPr>
            <w:hyperlink w:anchor="page9">
              <w:r>
                <w:rPr>
                  <w:rFonts w:ascii="Arial" w:cs="Arial" w:eastAsia="Arial" w:hAnsi="Arial"/>
                  <w:sz w:val="14"/>
                  <w:szCs w:val="14"/>
                  <w:color w:val="0000EE"/>
                </w:rPr>
                <w:t>7</w:t>
              </w:r>
            </w:hyperlink>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100" w:type="dxa"/>
            <w:vAlign w:val="bottom"/>
            <w:gridSpan w:val="9"/>
            <w:shd w:val="clear" w:color="auto" w:fill="CCEEFF"/>
          </w:tcPr>
          <w:p>
            <w:pPr>
              <w:spacing w:after="0" w:line="135" w:lineRule="exact"/>
              <w:rPr>
                <w:rFonts w:ascii="Arial" w:cs="Arial" w:eastAsia="Arial" w:hAnsi="Arial"/>
                <w:sz w:val="14"/>
                <w:szCs w:val="14"/>
                <w:color w:val="0000EE"/>
              </w:rPr>
            </w:pPr>
            <w:hyperlink w:anchor="page17">
              <w:r>
                <w:rPr>
                  <w:rFonts w:ascii="Arial" w:cs="Arial" w:eastAsia="Arial" w:hAnsi="Arial"/>
                  <w:sz w:val="14"/>
                  <w:szCs w:val="14"/>
                  <w:color w:val="0000EE"/>
                </w:rPr>
                <w:t>Management’s Discussion and Analysis of Financial Condition and Results of Operations</w:t>
              </w:r>
            </w:hyperlink>
          </w:p>
        </w:tc>
        <w:tc>
          <w:tcPr>
            <w:tcW w:w="1300" w:type="dxa"/>
            <w:vAlign w:val="bottom"/>
            <w:gridSpan w:val="4"/>
            <w:shd w:val="clear" w:color="auto" w:fill="CCEEFF"/>
          </w:tcPr>
          <w:p>
            <w:pPr>
              <w:jc w:val="right"/>
              <w:ind w:right="80"/>
              <w:spacing w:after="0" w:line="135" w:lineRule="exact"/>
              <w:rPr>
                <w:rFonts w:ascii="Arial" w:cs="Arial" w:eastAsia="Arial" w:hAnsi="Arial"/>
                <w:sz w:val="14"/>
                <w:szCs w:val="14"/>
                <w:color w:val="0000EE"/>
              </w:rPr>
            </w:pPr>
            <w:hyperlink w:anchor="page17">
              <w:r>
                <w:rPr>
                  <w:rFonts w:ascii="Arial" w:cs="Arial" w:eastAsia="Arial" w:hAnsi="Arial"/>
                  <w:sz w:val="14"/>
                  <w:szCs w:val="14"/>
                  <w:color w:val="0000EE"/>
                </w:rPr>
                <w:t>15</w:t>
              </w:r>
            </w:hyperlink>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100" w:type="dxa"/>
            <w:vAlign w:val="bottom"/>
            <w:gridSpan w:val="9"/>
            <w:shd w:val="clear" w:color="auto" w:fill="CCEEFF"/>
          </w:tcPr>
          <w:p>
            <w:pPr>
              <w:spacing w:after="0" w:line="135" w:lineRule="exact"/>
              <w:rPr>
                <w:rFonts w:ascii="Arial" w:cs="Arial" w:eastAsia="Arial" w:hAnsi="Arial"/>
                <w:sz w:val="14"/>
                <w:szCs w:val="14"/>
                <w:color w:val="0000EE"/>
              </w:rPr>
            </w:pPr>
            <w:hyperlink w:anchor="page23">
              <w:r>
                <w:rPr>
                  <w:rFonts w:ascii="Arial" w:cs="Arial" w:eastAsia="Arial" w:hAnsi="Arial"/>
                  <w:sz w:val="14"/>
                  <w:szCs w:val="14"/>
                  <w:color w:val="0000EE"/>
                </w:rPr>
                <w:t>Signature Page</w:t>
              </w:r>
            </w:hyperlink>
          </w:p>
        </w:tc>
        <w:tc>
          <w:tcPr>
            <w:tcW w:w="1300" w:type="dxa"/>
            <w:vAlign w:val="bottom"/>
            <w:gridSpan w:val="4"/>
            <w:shd w:val="clear" w:color="auto" w:fill="CCEEFF"/>
          </w:tcPr>
          <w:p>
            <w:pPr>
              <w:jc w:val="right"/>
              <w:ind w:right="80"/>
              <w:spacing w:after="0" w:line="135" w:lineRule="exact"/>
              <w:rPr>
                <w:rFonts w:ascii="Arial" w:cs="Arial" w:eastAsia="Arial" w:hAnsi="Arial"/>
                <w:sz w:val="14"/>
                <w:szCs w:val="14"/>
                <w:color w:val="0000EE"/>
              </w:rPr>
            </w:pPr>
            <w:hyperlink w:anchor="page23">
              <w:r>
                <w:rPr>
                  <w:rFonts w:ascii="Arial" w:cs="Arial" w:eastAsia="Arial" w:hAnsi="Arial"/>
                  <w:sz w:val="14"/>
                  <w:szCs w:val="14"/>
                  <w:color w:val="0000EE"/>
                </w:rPr>
                <w:t>21</w:t>
              </w:r>
            </w:hyperlink>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2540" w:type="dxa"/>
            <w:vAlign w:val="bottom"/>
            <w:tcBorders>
              <w:top w:val="single" w:sz="8" w:color="CCEEFF"/>
              <w:bottom w:val="single" w:sz="8" w:color="808080"/>
            </w:tcBorders>
          </w:tcPr>
          <w:p>
            <w:pPr>
              <w:spacing w:after="0"/>
              <w:rPr>
                <w:sz w:val="24"/>
                <w:szCs w:val="24"/>
                <w:color w:val="auto"/>
              </w:rPr>
            </w:pPr>
          </w:p>
        </w:tc>
        <w:tc>
          <w:tcPr>
            <w:tcW w:w="148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CCEEFF"/>
              <w:bottom w:val="single" w:sz="8" w:color="808080"/>
            </w:tcBorders>
          </w:tcPr>
          <w:p>
            <w:pPr>
              <w:spacing w:after="0"/>
              <w:rPr>
                <w:sz w:val="24"/>
                <w:szCs w:val="24"/>
                <w:color w:val="auto"/>
              </w:rPr>
            </w:pPr>
          </w:p>
        </w:tc>
        <w:tc>
          <w:tcPr>
            <w:tcW w:w="20" w:type="dxa"/>
            <w:vAlign w:val="bottom"/>
            <w:tcBorders>
              <w:top w:val="single" w:sz="8" w:color="CCEEFF"/>
              <w:bottom w:val="single" w:sz="8" w:color="808080"/>
            </w:tcBorders>
          </w:tcPr>
          <w:p>
            <w:pPr>
              <w:spacing w:after="0"/>
              <w:rPr>
                <w:sz w:val="24"/>
                <w:szCs w:val="24"/>
                <w:color w:val="auto"/>
              </w:rPr>
            </w:pPr>
          </w:p>
        </w:tc>
        <w:tc>
          <w:tcPr>
            <w:tcW w:w="2480" w:type="dxa"/>
            <w:vAlign w:val="bottom"/>
            <w:tcBorders>
              <w:top w:val="single" w:sz="8" w:color="CCEEFF"/>
              <w:bottom w:val="single" w:sz="8" w:color="808080"/>
            </w:tcBorders>
          </w:tcPr>
          <w:p>
            <w:pPr>
              <w:spacing w:after="0"/>
              <w:rPr>
                <w:sz w:val="24"/>
                <w:szCs w:val="24"/>
                <w:color w:val="auto"/>
              </w:rPr>
            </w:pPr>
          </w:p>
        </w:tc>
        <w:tc>
          <w:tcPr>
            <w:tcW w:w="1540" w:type="dxa"/>
            <w:vAlign w:val="bottom"/>
            <w:tcBorders>
              <w:top w:val="single" w:sz="8" w:color="CCEEFF"/>
              <w:bottom w:val="single" w:sz="8" w:color="808080"/>
            </w:tcBorders>
          </w:tcPr>
          <w:p>
            <w:pPr>
              <w:spacing w:after="0"/>
              <w:rPr>
                <w:sz w:val="24"/>
                <w:szCs w:val="24"/>
                <w:color w:val="auto"/>
              </w:rPr>
            </w:pPr>
          </w:p>
        </w:tc>
        <w:tc>
          <w:tcPr>
            <w:tcW w:w="920" w:type="dxa"/>
            <w:vAlign w:val="bottom"/>
            <w:tcBorders>
              <w:top w:val="single" w:sz="8" w:color="CCEEFF"/>
              <w:bottom w:val="single" w:sz="8" w:color="808080"/>
            </w:tcBorders>
          </w:tcPr>
          <w:p>
            <w:pPr>
              <w:spacing w:after="0"/>
              <w:rPr>
                <w:sz w:val="24"/>
                <w:szCs w:val="24"/>
                <w:color w:val="auto"/>
              </w:rPr>
            </w:pPr>
          </w:p>
        </w:tc>
        <w:tc>
          <w:tcPr>
            <w:tcW w:w="1080" w:type="dxa"/>
            <w:vAlign w:val="bottom"/>
            <w:tcBorders>
              <w:top w:val="single" w:sz="8" w:color="CCEEFF"/>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8"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June 30, 2007 we had approximately 4,800 employees worldwide, with operations in 53 locations in 31 countries, including the United States and major markets in Europe and Rest of World. For the six months ended June 30, 2007 we derived approximately 52.6%, 41.7%, and 5.7% of our net revenue in the United States, Europe and Rest of World,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35" w:lineRule="exact"/>
        <w:rPr>
          <w:sz w:val="20"/>
          <w:szCs w:val="20"/>
          <w:color w:val="auto"/>
        </w:rPr>
      </w:pPr>
    </w:p>
    <w:p>
      <w:pPr>
        <w:ind w:right="120"/>
        <w:spacing w:after="0" w:line="238" w:lineRule="auto"/>
        <w:rPr>
          <w:sz w:val="20"/>
          <w:szCs w:val="20"/>
          <w:color w:val="auto"/>
        </w:rPr>
      </w:pPr>
      <w:r>
        <w:rPr>
          <w:rFonts w:ascii="Arial" w:cs="Arial" w:eastAsia="Arial" w:hAnsi="Arial"/>
          <w:sz w:val="14"/>
          <w:szCs w:val="14"/>
          <w:color w:val="auto"/>
        </w:rPr>
        <w:t>On July 12, 2007 the Company acquired 100% of the common stock of DOCS International, a European based clinical research staffing organization, for a cash consideration of approximately $40 million. DOCS International operates in eight European countries and focuses on the training and supply of contract and permanent clinical research personnel to the pharmaceutical and biotech industry.</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On July 9, 2007 ICON plc entered into a facility agreement for the provision of a multi-currency revolving credit facility of €35 million ($47.1 million) with The Governor and Company of the Bank of Ireland. Our obligations under the facility are secured by certain composite guarantees and indemnities and pledges in favour of the bank. The facility bears interest at an annual rate equal to the interbank rate plus 0.6 percent. On July 10, 2007 the Company drew down €29.5 million ($39.7 million) of the facility to fund the acquisition of DOCS International.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rPr>
              <w:t>ICON plc</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rPr>
              <w:t>CONDENSED CONSOLIDATED BALANCE SHEETS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w w:val="98"/>
              </w:rPr>
              <w:t>AS AT JUNE 30, 2007 AND DECEMBER 31, 2006</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June 30, 2007</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540" w:type="dxa"/>
            <w:vAlign w:val="bottom"/>
          </w:tcPr>
          <w:p>
            <w:pPr>
              <w:spacing w:after="0"/>
              <w:rPr>
                <w:sz w:val="19"/>
                <w:szCs w:val="19"/>
                <w:color w:val="auto"/>
              </w:rPr>
            </w:pPr>
          </w:p>
        </w:tc>
        <w:tc>
          <w:tcPr>
            <w:tcW w:w="2520" w:type="dxa"/>
            <w:vAlign w:val="bottom"/>
            <w:gridSpan w:val="6"/>
          </w:tcPr>
          <w:p>
            <w:pPr>
              <w:ind w:left="5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15"/>
        </w:trPr>
        <w:tc>
          <w:tcPr>
            <w:tcW w:w="83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836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78,335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Short term investments - available for sale</w:t>
            </w:r>
          </w:p>
        </w:tc>
        <w:tc>
          <w:tcPr>
            <w:tcW w:w="5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28,707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105,983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Unbilled revenue</w:t>
            </w:r>
          </w:p>
        </w:tc>
        <w:tc>
          <w:tcPr>
            <w:tcW w:w="5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104,740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receivables</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9,533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Deferred tax asset</w:t>
            </w:r>
          </w:p>
        </w:tc>
        <w:tc>
          <w:tcPr>
            <w:tcW w:w="5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4,584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Prepayments and other current assets</w:t>
            </w:r>
          </w:p>
        </w:tc>
        <w:tc>
          <w:tcPr>
            <w:tcW w:w="5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15,265</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14,335</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347,147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328,885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Property, plant and equipment, net</w:t>
            </w:r>
          </w:p>
        </w:tc>
        <w:tc>
          <w:tcPr>
            <w:tcW w:w="5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79,402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78,717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Non-current deferred tax asset</w:t>
            </w:r>
          </w:p>
        </w:tc>
        <w:tc>
          <w:tcPr>
            <w:tcW w:w="540" w:type="dxa"/>
            <w:vAlign w:val="bottom"/>
          </w:tcPr>
          <w:p>
            <w:pPr>
              <w:spacing w:after="0"/>
              <w:rPr>
                <w:sz w:val="13"/>
                <w:szCs w:val="13"/>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4,140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521,929</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Payments on account</w:t>
            </w:r>
          </w:p>
        </w:tc>
        <w:tc>
          <w:tcPr>
            <w:tcW w:w="5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87,619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47,446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51,956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Deferred tax liability</w:t>
            </w:r>
          </w:p>
        </w:tc>
        <w:tc>
          <w:tcPr>
            <w:tcW w:w="5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Bank credit lines and loan facilities</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15,947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14,423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current liabilities</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177,403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Long term government grants</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Long term finance leases</w:t>
            </w:r>
          </w:p>
        </w:tc>
        <w:tc>
          <w:tcPr>
            <w:tcW w:w="5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liability</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ind w:left="320"/>
              <w:spacing w:after="0" w:line="149" w:lineRule="exact"/>
              <w:rPr>
                <w:sz w:val="20"/>
                <w:szCs w:val="20"/>
                <w:color w:val="auto"/>
              </w:rPr>
            </w:pPr>
            <w:r>
              <w:rPr>
                <w:rFonts w:ascii="Arial" w:cs="Arial" w:eastAsia="Arial" w:hAnsi="Arial"/>
                <w:sz w:val="14"/>
                <w:szCs w:val="14"/>
                <w:color w:val="auto"/>
              </w:rPr>
              <w:t>Minority interest</w:t>
            </w: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184,450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340" w:type="dxa"/>
            <w:vAlign w:val="bottom"/>
          </w:tcPr>
          <w:p>
            <w:pPr>
              <w:spacing w:after="0" w:line="130" w:lineRule="exact"/>
              <w:rPr>
                <w:sz w:val="20"/>
                <w:szCs w:val="20"/>
                <w:color w:val="auto"/>
              </w:rPr>
            </w:pPr>
            <w:r>
              <w:rPr>
                <w:rFonts w:ascii="Arial" w:cs="Arial" w:eastAsia="Arial" w:hAnsi="Arial"/>
                <w:sz w:val="14"/>
                <w:szCs w:val="14"/>
                <w:color w:val="auto"/>
              </w:rPr>
              <w:t>Ordinary shares, par value 6 euro cents per share; 40,000,000 shares authorized,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360" w:type="dxa"/>
            <w:vAlign w:val="bottom"/>
            <w:gridSpan w:val="2"/>
          </w:tcPr>
          <w:p>
            <w:pPr>
              <w:spacing w:after="0" w:line="149" w:lineRule="exact"/>
              <w:rPr>
                <w:sz w:val="20"/>
                <w:szCs w:val="20"/>
                <w:color w:val="auto"/>
              </w:rPr>
            </w:pPr>
            <w:r>
              <w:rPr>
                <w:rFonts w:ascii="Arial" w:cs="Arial" w:eastAsia="Arial" w:hAnsi="Arial"/>
                <w:sz w:val="14"/>
                <w:szCs w:val="14"/>
                <w:color w:val="auto"/>
              </w:rPr>
              <w:t>28,738,589 shares issued and outstanding at June 30, 2007 and</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360" w:type="dxa"/>
            <w:vAlign w:val="bottom"/>
            <w:gridSpan w:val="2"/>
          </w:tcPr>
          <w:p>
            <w:pPr>
              <w:spacing w:after="0"/>
              <w:rPr>
                <w:sz w:val="20"/>
                <w:szCs w:val="20"/>
                <w:color w:val="auto"/>
              </w:rPr>
            </w:pPr>
            <w:r>
              <w:rPr>
                <w:rFonts w:ascii="Arial" w:cs="Arial" w:eastAsia="Arial" w:hAnsi="Arial"/>
                <w:sz w:val="14"/>
                <w:szCs w:val="14"/>
                <w:color w:val="auto"/>
              </w:rPr>
              <w:t>28,517,852 shares issued and outstanding at December 31, 2006</w:t>
            </w: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140,816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5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16,838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177,708</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152,127</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Total Shareholders' Equity</w:t>
            </w:r>
          </w:p>
        </w:tc>
        <w:tc>
          <w:tcPr>
            <w:tcW w:w="540" w:type="dxa"/>
            <w:vAlign w:val="bottom"/>
          </w:tcPr>
          <w:p>
            <w:pPr>
              <w:spacing w:after="0"/>
              <w:rPr>
                <w:sz w:val="13"/>
                <w:szCs w:val="13"/>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337,479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302,738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521,929</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5680" w:right="5680" w:hanging="5669"/>
        <w:spacing w:after="0" w:line="499" w:lineRule="auto"/>
        <w:rPr>
          <w:sz w:val="20"/>
          <w:szCs w:val="20"/>
          <w:color w:val="auto"/>
        </w:rPr>
      </w:pPr>
      <w:r>
        <w:rPr>
          <w:rFonts w:ascii="Arial" w:cs="Arial" w:eastAsia="Arial" w:hAnsi="Arial"/>
          <w:sz w:val="12"/>
          <w:szCs w:val="12"/>
          <w:color w:val="auto"/>
        </w:rPr>
        <w:t>The accompanying notes are an integral part of these condensed consolidated financial statements.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80" w:type="dxa"/>
            <w:vAlign w:val="bottom"/>
            <w:gridSpan w:val="2"/>
          </w:tcPr>
          <w:p>
            <w:pPr>
              <w:jc w:val="center"/>
              <w:ind w:left="2288"/>
              <w:spacing w:after="0"/>
              <w:rPr>
                <w:sz w:val="20"/>
                <w:szCs w:val="20"/>
                <w:color w:val="auto"/>
              </w:rPr>
            </w:pPr>
            <w:r>
              <w:rPr>
                <w:rFonts w:ascii="Arial" w:cs="Arial" w:eastAsia="Arial" w:hAnsi="Arial"/>
                <w:sz w:val="14"/>
                <w:szCs w:val="14"/>
                <w:b w:val="1"/>
                <w:bCs w:val="1"/>
                <w:color w:val="auto"/>
              </w:rPr>
              <w:t>ICON plc</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20" w:type="dxa"/>
            <w:vAlign w:val="bottom"/>
            <w:gridSpan w:val="17"/>
          </w:tcPr>
          <w:p>
            <w:pPr>
              <w:jc w:val="center"/>
              <w:ind w:right="200"/>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6020" w:type="dxa"/>
            <w:vAlign w:val="bottom"/>
            <w:gridSpan w:val="17"/>
          </w:tcPr>
          <w:p>
            <w:pPr>
              <w:jc w:val="center"/>
              <w:ind w:right="180"/>
              <w:spacing w:after="0"/>
              <w:rPr>
                <w:sz w:val="20"/>
                <w:szCs w:val="20"/>
                <w:color w:val="auto"/>
              </w:rPr>
            </w:pPr>
            <w:r>
              <w:rPr>
                <w:rFonts w:ascii="Arial" w:cs="Arial" w:eastAsia="Arial" w:hAnsi="Arial"/>
                <w:sz w:val="14"/>
                <w:szCs w:val="14"/>
                <w:b w:val="1"/>
                <w:bCs w:val="1"/>
                <w:color w:val="auto"/>
              </w:rPr>
              <w:t>FOR THE THREE AND SIX MONTHS ENDED JUNE 30, 2007 AND JUNE 30, 2006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12"/>
          </w:tcPr>
          <w:p>
            <w:pPr>
              <w:jc w:val="right"/>
              <w:ind w:right="90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13"/>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9"/>
                <w:szCs w:val="19"/>
                <w:color w:val="auto"/>
              </w:rPr>
            </w:pPr>
          </w:p>
        </w:tc>
        <w:tc>
          <w:tcPr>
            <w:tcW w:w="10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gridSpan w:val="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Revenue:</w:t>
            </w: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18"/>
          </w:tcPr>
          <w:p>
            <w:pPr>
              <w:jc w:val="right"/>
              <w:ind w:right="180"/>
              <w:spacing w:after="0"/>
              <w:rPr>
                <w:sz w:val="20"/>
                <w:szCs w:val="20"/>
                <w:color w:val="auto"/>
              </w:rPr>
            </w:pPr>
            <w:r>
              <w:rPr>
                <w:rFonts w:ascii="Arial" w:cs="Arial" w:eastAsia="Arial" w:hAnsi="Arial"/>
                <w:sz w:val="14"/>
                <w:szCs w:val="14"/>
                <w:b w:val="1"/>
                <w:bCs w:val="1"/>
                <w:color w:val="auto"/>
                <w:w w:val="95"/>
              </w:rPr>
              <w:t>(in thousands except share and per share data)</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800" w:type="dxa"/>
            <w:vAlign w:val="bottom"/>
            <w:gridSpan w:val="2"/>
            <w:vMerge w:val="continue"/>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3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207,383</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153,744</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394,123</w:t>
            </w: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294,388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Subcontractor costs</w:t>
            </w: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(60,336)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6"/>
          </w:tcPr>
          <w:p>
            <w:pPr>
              <w:jc w:val="right"/>
              <w:ind w:right="160"/>
              <w:spacing w:after="0" w:line="149" w:lineRule="exact"/>
              <w:rPr>
                <w:sz w:val="20"/>
                <w:szCs w:val="20"/>
                <w:color w:val="auto"/>
              </w:rPr>
            </w:pPr>
            <w:r>
              <w:rPr>
                <w:rFonts w:ascii="Arial" w:cs="Arial" w:eastAsia="Arial" w:hAnsi="Arial"/>
                <w:sz w:val="14"/>
                <w:szCs w:val="14"/>
                <w:color w:val="auto"/>
              </w:rPr>
              <w:t>(46,308)</w:t>
            </w:r>
          </w:p>
        </w:tc>
        <w:tc>
          <w:tcPr>
            <w:tcW w:w="200" w:type="dxa"/>
            <w:vAlign w:val="bottom"/>
          </w:tcPr>
          <w:p>
            <w:pPr>
              <w:spacing w:after="0"/>
              <w:rPr>
                <w:sz w:val="13"/>
                <w:szCs w:val="13"/>
                <w:color w:val="auto"/>
              </w:rPr>
            </w:pPr>
          </w:p>
        </w:tc>
        <w:tc>
          <w:tcPr>
            <w:tcW w:w="108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(110,987)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6"/>
          </w:tcPr>
          <w:p>
            <w:pPr>
              <w:jc w:val="right"/>
              <w:ind w:right="60"/>
              <w:spacing w:after="0" w:line="149" w:lineRule="exact"/>
              <w:rPr>
                <w:sz w:val="20"/>
                <w:szCs w:val="20"/>
                <w:color w:val="auto"/>
              </w:rPr>
            </w:pPr>
            <w:r>
              <w:rPr>
                <w:rFonts w:ascii="Arial" w:cs="Arial" w:eastAsia="Arial" w:hAnsi="Arial"/>
                <w:sz w:val="14"/>
                <w:szCs w:val="14"/>
                <w:color w:val="auto"/>
              </w:rPr>
              <w:t>(88,457)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Net revenue</w:t>
            </w: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147,047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6"/>
          </w:tcPr>
          <w:p>
            <w:pPr>
              <w:jc w:val="right"/>
              <w:ind w:right="200"/>
              <w:spacing w:after="0" w:line="149" w:lineRule="exact"/>
              <w:rPr>
                <w:sz w:val="20"/>
                <w:szCs w:val="20"/>
                <w:color w:val="auto"/>
              </w:rPr>
            </w:pPr>
            <w:r>
              <w:rPr>
                <w:rFonts w:ascii="Arial" w:cs="Arial" w:eastAsia="Arial" w:hAnsi="Arial"/>
                <w:sz w:val="14"/>
                <w:szCs w:val="14"/>
                <w:color w:val="auto"/>
              </w:rPr>
              <w:t>107,436</w:t>
            </w:r>
          </w:p>
        </w:tc>
        <w:tc>
          <w:tcPr>
            <w:tcW w:w="200" w:type="dxa"/>
            <w:vAlign w:val="bottom"/>
          </w:tcPr>
          <w:p>
            <w:pPr>
              <w:spacing w:after="0"/>
              <w:rPr>
                <w:sz w:val="12"/>
                <w:szCs w:val="12"/>
                <w:color w:val="auto"/>
              </w:rPr>
            </w:pPr>
          </w:p>
        </w:tc>
        <w:tc>
          <w:tcPr>
            <w:tcW w:w="1080" w:type="dxa"/>
            <w:vAlign w:val="bottom"/>
            <w:gridSpan w:val="7"/>
          </w:tcPr>
          <w:p>
            <w:pPr>
              <w:jc w:val="right"/>
              <w:ind w:right="140"/>
              <w:spacing w:after="0" w:line="149" w:lineRule="exact"/>
              <w:rPr>
                <w:sz w:val="20"/>
                <w:szCs w:val="20"/>
                <w:color w:val="auto"/>
              </w:rPr>
            </w:pPr>
            <w:r>
              <w:rPr>
                <w:rFonts w:ascii="Arial" w:cs="Arial" w:eastAsia="Arial" w:hAnsi="Arial"/>
                <w:sz w:val="14"/>
                <w:szCs w:val="14"/>
                <w:color w:val="auto"/>
              </w:rPr>
              <w:t>283,136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205,931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83,875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60,014</w:t>
            </w:r>
          </w:p>
        </w:tc>
        <w:tc>
          <w:tcPr>
            <w:tcW w:w="200" w:type="dxa"/>
            <w:vAlign w:val="bottom"/>
            <w:shd w:val="clear" w:color="auto" w:fill="CCEEFF"/>
          </w:tcPr>
          <w:p>
            <w:pPr>
              <w:spacing w:after="0"/>
              <w:rPr>
                <w:sz w:val="12"/>
                <w:szCs w:val="12"/>
                <w:color w:val="auto"/>
              </w:rPr>
            </w:pP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162,432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42,662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6"/>
          </w:tcPr>
          <w:p>
            <w:pPr>
              <w:jc w:val="right"/>
              <w:ind w:right="200"/>
              <w:spacing w:after="0" w:line="149" w:lineRule="exact"/>
              <w:rPr>
                <w:sz w:val="20"/>
                <w:szCs w:val="20"/>
                <w:color w:val="auto"/>
              </w:rPr>
            </w:pPr>
            <w:r>
              <w:rPr>
                <w:rFonts w:ascii="Arial" w:cs="Arial" w:eastAsia="Arial" w:hAnsi="Arial"/>
                <w:sz w:val="14"/>
                <w:szCs w:val="14"/>
                <w:color w:val="auto"/>
              </w:rPr>
              <w:t>32,397</w:t>
            </w:r>
          </w:p>
        </w:tc>
        <w:tc>
          <w:tcPr>
            <w:tcW w:w="200" w:type="dxa"/>
            <w:vAlign w:val="bottom"/>
          </w:tcPr>
          <w:p>
            <w:pPr>
              <w:spacing w:after="0"/>
              <w:rPr>
                <w:sz w:val="12"/>
                <w:szCs w:val="12"/>
                <w:color w:val="auto"/>
              </w:rPr>
            </w:pPr>
          </w:p>
        </w:tc>
        <w:tc>
          <w:tcPr>
            <w:tcW w:w="1080" w:type="dxa"/>
            <w:vAlign w:val="bottom"/>
            <w:gridSpan w:val="7"/>
          </w:tcPr>
          <w:p>
            <w:pPr>
              <w:jc w:val="right"/>
              <w:ind w:right="140"/>
              <w:spacing w:after="0" w:line="149" w:lineRule="exact"/>
              <w:rPr>
                <w:sz w:val="20"/>
                <w:szCs w:val="20"/>
                <w:color w:val="auto"/>
              </w:rPr>
            </w:pPr>
            <w:r>
              <w:rPr>
                <w:rFonts w:ascii="Arial" w:cs="Arial" w:eastAsia="Arial" w:hAnsi="Arial"/>
                <w:sz w:val="14"/>
                <w:szCs w:val="14"/>
                <w:color w:val="auto"/>
              </w:rPr>
              <w:t>81,346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62,677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4,450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3,689</w:t>
            </w:r>
          </w:p>
        </w:tc>
        <w:tc>
          <w:tcPr>
            <w:tcW w:w="200" w:type="dxa"/>
            <w:vAlign w:val="bottom"/>
            <w:shd w:val="clear" w:color="auto" w:fill="CCEEFF"/>
          </w:tcPr>
          <w:p>
            <w:pPr>
              <w:spacing w:after="0"/>
              <w:rPr>
                <w:sz w:val="13"/>
                <w:szCs w:val="13"/>
                <w:color w:val="auto"/>
              </w:rPr>
            </w:pP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8,606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costs and expenses</w:t>
            </w:r>
          </w:p>
        </w:tc>
        <w:tc>
          <w:tcPr>
            <w:tcW w:w="3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130,987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96,100</w:t>
            </w:r>
          </w:p>
        </w:tc>
        <w:tc>
          <w:tcPr>
            <w:tcW w:w="200" w:type="dxa"/>
            <w:vAlign w:val="bottom"/>
            <w:shd w:val="clear" w:color="auto" w:fill="CCEEFF"/>
          </w:tcPr>
          <w:p>
            <w:pPr>
              <w:spacing w:after="0"/>
              <w:rPr>
                <w:sz w:val="13"/>
                <w:szCs w:val="13"/>
                <w:color w:val="auto"/>
              </w:rPr>
            </w:pP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252,384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184,529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3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16,060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11,336</w:t>
            </w:r>
          </w:p>
        </w:tc>
        <w:tc>
          <w:tcPr>
            <w:tcW w:w="200" w:type="dxa"/>
            <w:vAlign w:val="bottom"/>
            <w:shd w:val="clear" w:color="auto" w:fill="CCEEFF"/>
          </w:tcPr>
          <w:p>
            <w:pPr>
              <w:spacing w:after="0"/>
              <w:rPr>
                <w:sz w:val="12"/>
                <w:szCs w:val="12"/>
                <w:color w:val="auto"/>
              </w:rPr>
            </w:pP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30,752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993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7"/>
          </w:tcPr>
          <w:p>
            <w:pPr>
              <w:jc w:val="right"/>
              <w:ind w:right="140"/>
              <w:spacing w:after="0" w:line="149" w:lineRule="exact"/>
              <w:rPr>
                <w:sz w:val="20"/>
                <w:szCs w:val="20"/>
                <w:color w:val="auto"/>
              </w:rPr>
            </w:pPr>
            <w:r>
              <w:rPr>
                <w:rFonts w:ascii="Arial" w:cs="Arial" w:eastAsia="Arial" w:hAnsi="Arial"/>
                <w:sz w:val="14"/>
                <w:szCs w:val="14"/>
                <w:color w:val="auto"/>
              </w:rPr>
              <w:t>2,229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3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6"/>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3"/>
                <w:szCs w:val="13"/>
                <w:color w:val="auto"/>
              </w:rPr>
            </w:pPr>
          </w:p>
        </w:tc>
        <w:tc>
          <w:tcPr>
            <w:tcW w:w="108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6"/>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3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17,079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12,274</w:t>
            </w:r>
          </w:p>
        </w:tc>
        <w:tc>
          <w:tcPr>
            <w:tcW w:w="200" w:type="dxa"/>
            <w:vAlign w:val="bottom"/>
            <w:shd w:val="clear" w:color="auto" w:fill="CCEEFF"/>
          </w:tcPr>
          <w:p>
            <w:pPr>
              <w:spacing w:after="0"/>
              <w:rPr>
                <w:sz w:val="12"/>
                <w:szCs w:val="12"/>
                <w:color w:val="auto"/>
              </w:rPr>
            </w:pP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32,815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(3,758)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6"/>
          </w:tcPr>
          <w:p>
            <w:pPr>
              <w:jc w:val="right"/>
              <w:ind w:right="160"/>
              <w:spacing w:after="0" w:line="149" w:lineRule="exact"/>
              <w:rPr>
                <w:sz w:val="20"/>
                <w:szCs w:val="20"/>
                <w:color w:val="auto"/>
              </w:rPr>
            </w:pPr>
            <w:r>
              <w:rPr>
                <w:rFonts w:ascii="Arial" w:cs="Arial" w:eastAsia="Arial" w:hAnsi="Arial"/>
                <w:sz w:val="14"/>
                <w:szCs w:val="14"/>
                <w:color w:val="auto"/>
              </w:rPr>
              <w:t>(2,943)</w:t>
            </w:r>
          </w:p>
        </w:tc>
        <w:tc>
          <w:tcPr>
            <w:tcW w:w="200" w:type="dxa"/>
            <w:vAlign w:val="bottom"/>
          </w:tcPr>
          <w:p>
            <w:pPr>
              <w:spacing w:after="0"/>
              <w:rPr>
                <w:sz w:val="12"/>
                <w:szCs w:val="12"/>
                <w:color w:val="auto"/>
              </w:rPr>
            </w:pPr>
          </w:p>
        </w:tc>
        <w:tc>
          <w:tcPr>
            <w:tcW w:w="108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(7,186)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6"/>
          </w:tcPr>
          <w:p>
            <w:pPr>
              <w:jc w:val="right"/>
              <w:ind w:right="60"/>
              <w:spacing w:after="0" w:line="149" w:lineRule="exact"/>
              <w:rPr>
                <w:sz w:val="20"/>
                <w:szCs w:val="20"/>
                <w:color w:val="auto"/>
              </w:rPr>
            </w:pPr>
            <w:r>
              <w:rPr>
                <w:rFonts w:ascii="Arial" w:cs="Arial" w:eastAsia="Arial" w:hAnsi="Arial"/>
                <w:sz w:val="14"/>
                <w:szCs w:val="14"/>
                <w:color w:val="auto"/>
              </w:rPr>
              <w:t>(6,073)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6"/>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3"/>
                <w:szCs w:val="13"/>
                <w:color w:val="auto"/>
              </w:rPr>
            </w:pPr>
          </w:p>
        </w:tc>
        <w:tc>
          <w:tcPr>
            <w:tcW w:w="108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6"/>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8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13,315</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9,297</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25,581</w:t>
            </w: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Net income per Ordinary Share:</w:t>
            </w:r>
          </w:p>
        </w:tc>
        <w:tc>
          <w:tcPr>
            <w:tcW w:w="32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Basic</w:t>
            </w:r>
          </w:p>
        </w:tc>
        <w:tc>
          <w:tcPr>
            <w:tcW w:w="3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0.46</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6"/>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0.33</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0.89</w:t>
            </w: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ind w:left="160"/>
              <w:spacing w:after="0" w:line="142" w:lineRule="exact"/>
              <w:rPr>
                <w:sz w:val="20"/>
                <w:szCs w:val="20"/>
                <w:color w:val="auto"/>
              </w:rPr>
            </w:pPr>
            <w:r>
              <w:rPr>
                <w:rFonts w:ascii="Arial" w:cs="Arial" w:eastAsia="Arial" w:hAnsi="Arial"/>
                <w:sz w:val="14"/>
                <w:szCs w:val="14"/>
                <w:color w:val="auto"/>
              </w:rPr>
              <w:t>Diluted</w:t>
            </w:r>
          </w:p>
        </w:tc>
        <w:tc>
          <w:tcPr>
            <w:tcW w:w="34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6"/>
          </w:tcPr>
          <w:p>
            <w:pPr>
              <w:jc w:val="right"/>
              <w:spacing w:after="0" w:line="142" w:lineRule="exact"/>
              <w:rPr>
                <w:sz w:val="20"/>
                <w:szCs w:val="20"/>
                <w:color w:val="auto"/>
              </w:rPr>
            </w:pPr>
            <w:r>
              <w:rPr>
                <w:rFonts w:ascii="Arial" w:cs="Arial" w:eastAsia="Arial" w:hAnsi="Arial"/>
                <w:sz w:val="14"/>
                <w:szCs w:val="14"/>
                <w:color w:val="auto"/>
              </w:rPr>
              <w:t>0.45</w:t>
            </w:r>
          </w:p>
        </w:tc>
        <w:tc>
          <w:tcPr>
            <w:tcW w:w="140" w:type="dxa"/>
            <w:vAlign w:val="bottom"/>
          </w:tcPr>
          <w:p>
            <w:pPr>
              <w:spacing w:after="0"/>
              <w:rPr>
                <w:sz w:val="12"/>
                <w:szCs w:val="12"/>
                <w:color w:val="auto"/>
              </w:rPr>
            </w:pPr>
          </w:p>
        </w:tc>
        <w:tc>
          <w:tcPr>
            <w:tcW w:w="2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6"/>
          </w:tcPr>
          <w:p>
            <w:pPr>
              <w:jc w:val="right"/>
              <w:ind w:right="200"/>
              <w:spacing w:after="0" w:line="142" w:lineRule="exact"/>
              <w:rPr>
                <w:sz w:val="20"/>
                <w:szCs w:val="20"/>
                <w:color w:val="auto"/>
              </w:rPr>
            </w:pPr>
            <w:r>
              <w:rPr>
                <w:rFonts w:ascii="Arial" w:cs="Arial" w:eastAsia="Arial" w:hAnsi="Arial"/>
                <w:sz w:val="14"/>
                <w:szCs w:val="14"/>
                <w:color w:val="auto"/>
              </w:rPr>
              <w:t>0.32</w:t>
            </w: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gridSpan w:val="7"/>
          </w:tcPr>
          <w:p>
            <w:pPr>
              <w:jc w:val="right"/>
              <w:ind w:right="140"/>
              <w:spacing w:after="0" w:line="142" w:lineRule="exact"/>
              <w:rPr>
                <w:sz w:val="20"/>
                <w:szCs w:val="20"/>
                <w:color w:val="auto"/>
              </w:rPr>
            </w:pPr>
            <w:r>
              <w:rPr>
                <w:rFonts w:ascii="Arial" w:cs="Arial" w:eastAsia="Arial" w:hAnsi="Arial"/>
                <w:sz w:val="14"/>
                <w:szCs w:val="14"/>
                <w:color w:val="auto"/>
              </w:rPr>
              <w:t>0.86</w:t>
            </w:r>
          </w:p>
        </w:tc>
        <w:tc>
          <w:tcPr>
            <w:tcW w:w="38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6"/>
          </w:tcPr>
          <w:p>
            <w:pPr>
              <w:jc w:val="right"/>
              <w:ind w:right="100"/>
              <w:spacing w:after="0" w:line="142" w:lineRule="exact"/>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60" w:type="dxa"/>
            <w:vAlign w:val="bottom"/>
            <w:gridSpan w:val="3"/>
          </w:tcPr>
          <w:p>
            <w:pPr>
              <w:spacing w:after="0" w:line="149" w:lineRule="exact"/>
              <w:rPr>
                <w:sz w:val="20"/>
                <w:szCs w:val="20"/>
                <w:color w:val="auto"/>
              </w:rPr>
            </w:pPr>
            <w:r>
              <w:rPr>
                <w:rFonts w:ascii="Arial" w:cs="Arial" w:eastAsia="Arial" w:hAnsi="Arial"/>
                <w:sz w:val="14"/>
                <w:szCs w:val="14"/>
                <w:color w:val="auto"/>
              </w:rPr>
              <w:t>Weighted average number of Ordinary Shares 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Basic</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28,684,201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28,265,490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7"/>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28,624,350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28,174,762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ind w:left="160"/>
              <w:spacing w:after="0" w:line="142" w:lineRule="exact"/>
              <w:rPr>
                <w:sz w:val="20"/>
                <w:szCs w:val="20"/>
                <w:color w:val="auto"/>
              </w:rPr>
            </w:pPr>
            <w:r>
              <w:rPr>
                <w:rFonts w:ascii="Arial" w:cs="Arial" w:eastAsia="Arial" w:hAnsi="Arial"/>
                <w:sz w:val="14"/>
                <w:szCs w:val="14"/>
                <w:color w:val="auto"/>
              </w:rPr>
              <w:t>Diluted</w:t>
            </w: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6"/>
          </w:tcPr>
          <w:p>
            <w:pPr>
              <w:jc w:val="right"/>
              <w:spacing w:after="0" w:line="142" w:lineRule="exact"/>
              <w:rPr>
                <w:sz w:val="20"/>
                <w:szCs w:val="20"/>
                <w:color w:val="auto"/>
              </w:rPr>
            </w:pPr>
            <w:r>
              <w:rPr>
                <w:rFonts w:ascii="Arial" w:cs="Arial" w:eastAsia="Arial" w:hAnsi="Arial"/>
                <w:sz w:val="14"/>
                <w:szCs w:val="14"/>
                <w:color w:val="auto"/>
              </w:rPr>
              <w:t>29,685,489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28,695,530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7"/>
          </w:tcPr>
          <w:p>
            <w:pPr>
              <w:jc w:val="right"/>
              <w:ind w:right="140"/>
              <w:spacing w:after="0" w:line="142" w:lineRule="exact"/>
              <w:rPr>
                <w:sz w:val="20"/>
                <w:szCs w:val="20"/>
                <w:color w:val="auto"/>
              </w:rPr>
            </w:pPr>
            <w:r>
              <w:rPr>
                <w:rFonts w:ascii="Arial" w:cs="Arial" w:eastAsia="Arial" w:hAnsi="Arial"/>
                <w:sz w:val="14"/>
                <w:szCs w:val="14"/>
                <w:color w:val="auto"/>
              </w:rPr>
              <w:t>29,597,671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6"/>
          </w:tcPr>
          <w:p>
            <w:pPr>
              <w:jc w:val="right"/>
              <w:ind w:right="100"/>
              <w:spacing w:after="0" w:line="142" w:lineRule="exact"/>
              <w:rPr>
                <w:sz w:val="20"/>
                <w:szCs w:val="20"/>
                <w:color w:val="auto"/>
              </w:rPr>
            </w:pPr>
            <w:r>
              <w:rPr>
                <w:rFonts w:ascii="Arial" w:cs="Arial" w:eastAsia="Arial" w:hAnsi="Arial"/>
                <w:sz w:val="14"/>
                <w:szCs w:val="14"/>
                <w:color w:val="auto"/>
              </w:rPr>
              <w:t>28,499,356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680" w:right="5680" w:hanging="5669"/>
        <w:spacing w:after="0" w:line="499" w:lineRule="auto"/>
        <w:rPr>
          <w:sz w:val="20"/>
          <w:szCs w:val="20"/>
          <w:color w:val="auto"/>
        </w:rPr>
      </w:pPr>
      <w:r>
        <w:rPr>
          <w:rFonts w:ascii="Arial" w:cs="Arial" w:eastAsia="Arial" w:hAnsi="Arial"/>
          <w:sz w:val="12"/>
          <w:szCs w:val="12"/>
          <w:color w:val="auto"/>
        </w:rPr>
        <w:t>The accompanying notes are an integral part of these condensed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rPr>
              <w:t>ICON plc</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9"/>
              </w:rPr>
              <w:t>FOR THE SIX MONTHS ENDED JUNE 30, 2007 AND JUNE 30, 2006</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40" w:type="dxa"/>
            <w:vAlign w:val="bottom"/>
          </w:tcPr>
          <w:p>
            <w:pPr>
              <w:jc w:val="center"/>
              <w:ind w:left="2988"/>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2"/>
              </w:rPr>
              <w:t>Six Months Ended</w:t>
            </w:r>
          </w:p>
        </w:tc>
        <w:tc>
          <w:tcPr>
            <w:tcW w:w="7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June 30, 2007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4"/>
              </w:rPr>
              <w:t>June 30, 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36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25,581</w:t>
            </w: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8,606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7,134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grants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60"/>
              <w:spacing w:after="0" w:line="149" w:lineRule="exact"/>
              <w:rPr>
                <w:sz w:val="20"/>
                <w:szCs w:val="20"/>
                <w:color w:val="auto"/>
              </w:rPr>
            </w:pPr>
            <w:r>
              <w:rPr>
                <w:rFonts w:ascii="Arial" w:cs="Arial" w:eastAsia="Arial" w:hAnsi="Arial"/>
                <w:sz w:val="14"/>
                <w:szCs w:val="14"/>
                <w:color w:val="auto"/>
              </w:rPr>
              <w:t>Share compensation expense</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2,559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taxes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Decrease/(increase) in accounts receivable</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(8,575)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unbilled revenue</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(14,762)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Decrease in other receivables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prepayments and other current assets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(Decrease)/increase in payments on account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15,146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other liabilities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(10,907)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Increase in income taxes payable</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3,781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accounts payable</w:t>
            </w: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29,791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Purchase of property, plant and equipment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(30,393)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(10,827)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of short term investments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ind w:left="160"/>
              <w:spacing w:after="0" w:line="149" w:lineRule="exact"/>
              <w:rPr>
                <w:sz w:val="20"/>
                <w:szCs w:val="20"/>
                <w:color w:val="auto"/>
              </w:rPr>
            </w:pPr>
            <w:r>
              <w:rPr>
                <w:rFonts w:ascii="Arial" w:cs="Arial" w:eastAsia="Arial" w:hAnsi="Arial"/>
                <w:sz w:val="14"/>
                <w:szCs w:val="14"/>
                <w:color w:val="auto"/>
              </w:rPr>
              <w:t>Sale of short term investments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13,023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payments in respect of prior year acquisitions</w:t>
            </w: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(19,278)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Drawdown/(repayment) of bank credit lines and loan facilities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10,947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share options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3,056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Share issuance costs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the exercise of share options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Repayment of other liabilities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by/(used in) financing activities</w:t>
            </w: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14,836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color w:val="auto"/>
              </w:rPr>
              <w:t>Effect of exchange rate movements on cash</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tcPr>
          <w:p>
            <w:pPr>
              <w:spacing w:after="0" w:line="149" w:lineRule="exact"/>
              <w:rPr>
                <w:sz w:val="20"/>
                <w:szCs w:val="20"/>
                <w:color w:val="auto"/>
              </w:rPr>
            </w:pPr>
            <w:r>
              <w:rPr>
                <w:rFonts w:ascii="Arial" w:cs="Arial" w:eastAsia="Arial" w:hAnsi="Arial"/>
                <w:sz w:val="14"/>
                <w:szCs w:val="14"/>
                <w:b w:val="1"/>
                <w:bCs w:val="1"/>
                <w:color w:val="auto"/>
              </w:rPr>
              <w:t>Net increase in cash and cash equivalents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15,296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3,677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63,039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3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 at end of period</w:t>
            </w:r>
          </w:p>
        </w:tc>
        <w:tc>
          <w:tcPr>
            <w:tcW w:w="7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78,335</w:t>
            </w:r>
          </w:p>
        </w:tc>
        <w:tc>
          <w:tcPr>
            <w:tcW w:w="3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63,186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8360" w:type="dxa"/>
            <w:vAlign w:val="bottom"/>
            <w:gridSpan w:val="2"/>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gridSpan w:val="2"/>
          </w:tcPr>
          <w:p>
            <w:pPr>
              <w:jc w:val="center"/>
              <w:ind w:left="2988"/>
              <w:spacing w:after="0"/>
              <w:rPr>
                <w:sz w:val="20"/>
                <w:szCs w:val="20"/>
                <w:color w:val="auto"/>
              </w:rPr>
            </w:pPr>
            <w:r>
              <w:rPr>
                <w:rFonts w:ascii="Arial" w:cs="Arial" w:eastAsia="Arial" w:hAnsi="Arial"/>
                <w:sz w:val="14"/>
                <w:szCs w:val="14"/>
                <w:color w:val="auto"/>
                <w:w w:val="76"/>
              </w:rPr>
              <w:t>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60"/>
              <w:spacing w:after="0" w:line="161" w:lineRule="exact"/>
              <w:rPr>
                <w:sz w:val="20"/>
                <w:szCs w:val="20"/>
                <w:color w:val="auto"/>
              </w:rPr>
            </w:pPr>
            <w:r>
              <w:rPr>
                <w:rFonts w:ascii="Arial" w:cs="Arial" w:eastAsia="Arial" w:hAnsi="Arial"/>
                <w:sz w:val="14"/>
                <w:szCs w:val="14"/>
                <w:b w:val="1"/>
                <w:bCs w:val="1"/>
                <w:color w:val="auto"/>
                <w:w w:val="94"/>
              </w:rPr>
              <w:t>Paid</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in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12"/>
          </w:tcPr>
          <w:p>
            <w:pPr>
              <w:ind w:left="100"/>
              <w:spacing w:after="0"/>
              <w:rPr>
                <w:sz w:val="20"/>
                <w:szCs w:val="20"/>
                <w:color w:val="auto"/>
              </w:rPr>
            </w:pPr>
            <w:r>
              <w:rPr>
                <w:rFonts w:ascii="Arial" w:cs="Arial" w:eastAsia="Arial" w:hAnsi="Arial"/>
                <w:sz w:val="14"/>
                <w:szCs w:val="14"/>
                <w:b w:val="1"/>
                <w:bCs w:val="1"/>
                <w:color w:val="auto"/>
                <w:w w:val="99"/>
              </w:rPr>
              <w:t>(dollars in thousands, except share data)</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20" w:type="dxa"/>
            <w:vAlign w:val="bottom"/>
            <w:vMerge w:val="restart"/>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128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28,517,852</w:t>
            </w:r>
          </w:p>
        </w:tc>
        <w:tc>
          <w:tcPr>
            <w:tcW w:w="3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2,100</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133,996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14,515</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152,127</w:t>
            </w:r>
          </w:p>
        </w:tc>
        <w:tc>
          <w:tcPr>
            <w:tcW w:w="5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302,738</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25,581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25,581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Currency translation adjustment</w:t>
            </w:r>
          </w:p>
        </w:tc>
        <w:tc>
          <w:tcPr>
            <w:tcW w:w="3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2,323</w:t>
            </w:r>
          </w:p>
        </w:tc>
        <w:tc>
          <w:tcPr>
            <w:tcW w:w="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Total comprehensive income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330,642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 issuance costs</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Exercise of share options</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color w:val="auto"/>
              </w:rPr>
              <w:t>220,977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color w:val="auto"/>
              </w:rPr>
              <w:t>3,375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Non-cash stock compensation expense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2,559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Tax benefit on exercise of share options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color w:val="auto"/>
              </w:rPr>
              <w:t>1,003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2007</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28,738,829</w:t>
            </w:r>
          </w:p>
        </w:tc>
        <w:tc>
          <w:tcPr>
            <w:tcW w:w="12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2,117</w:t>
            </w:r>
          </w:p>
        </w:tc>
        <w:tc>
          <w:tcPr>
            <w:tcW w:w="2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140,816</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16,838</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177,708</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337,479</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980" w:type="dxa"/>
            <w:vAlign w:val="bottom"/>
            <w:gridSpan w:val="12"/>
          </w:tcPr>
          <w:p>
            <w:pPr>
              <w:spacing w:after="0"/>
              <w:rPr>
                <w:sz w:val="20"/>
                <w:szCs w:val="20"/>
                <w:color w:val="auto"/>
              </w:rPr>
            </w:pPr>
            <w:r>
              <w:rPr>
                <w:rFonts w:ascii="Arial" w:cs="Arial" w:eastAsia="Arial" w:hAnsi="Arial"/>
                <w:sz w:val="14"/>
                <w:szCs w:val="14"/>
                <w:color w:val="auto"/>
                <w:w w:val="96"/>
              </w:rPr>
              <w:t>The accompanying notes are an integral part of these condensed consolidated financial statements.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ind w:left="5240"/>
        <w:spacing w:after="0" w:line="22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JUNE 30, 2007</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35" w:lineRule="exact"/>
        <w:rPr>
          <w:sz w:val="20"/>
          <w:szCs w:val="20"/>
          <w:color w:val="auto"/>
        </w:rPr>
      </w:pPr>
    </w:p>
    <w:p>
      <w:pPr>
        <w:jc w:val="both"/>
        <w:ind w:right="20"/>
        <w:spacing w:after="0" w:line="234"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2006. Operating results for the six months ended June 30, 2007 are not necessarily indicative of the results that may be expected for the fiscal period ending December 31, 2007.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2. Goodwill</w:t>
            </w:r>
          </w:p>
        </w:tc>
        <w:tc>
          <w:tcPr>
            <w:tcW w:w="1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8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104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(in</w:t>
            </w:r>
          </w:p>
        </w:tc>
        <w:tc>
          <w:tcPr>
            <w:tcW w:w="142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Opening balance</w:t>
            </w:r>
          </w:p>
        </w:tc>
        <w:tc>
          <w:tcPr>
            <w:tcW w:w="26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78,717</w:t>
            </w:r>
          </w:p>
        </w:tc>
        <w:tc>
          <w:tcPr>
            <w:tcW w:w="3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65,731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Payments made in respect of current period acquisitions</w:t>
            </w: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9,005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made in respect of prior year acquisitions</w:t>
            </w:r>
          </w:p>
        </w:tc>
        <w:tc>
          <w:tcPr>
            <w:tcW w:w="1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Foreign exchange movement</w:t>
            </w:r>
          </w:p>
        </w:tc>
        <w:tc>
          <w:tcPr>
            <w:tcW w:w="19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685</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line="149" w:lineRule="exact"/>
              <w:rPr>
                <w:sz w:val="20"/>
                <w:szCs w:val="20"/>
                <w:color w:val="auto"/>
              </w:rPr>
            </w:pPr>
            <w:r>
              <w:rPr>
                <w:rFonts w:ascii="Arial" w:cs="Arial" w:eastAsia="Arial" w:hAnsi="Arial"/>
                <w:sz w:val="14"/>
                <w:szCs w:val="14"/>
                <w:color w:val="auto"/>
              </w:rPr>
              <w:t>3,885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Closing balance</w:t>
            </w:r>
          </w:p>
        </w:tc>
        <w:tc>
          <w:tcPr>
            <w:tcW w:w="26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79,402</w:t>
            </w:r>
          </w:p>
        </w:tc>
        <w:tc>
          <w:tcPr>
            <w:tcW w:w="3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78,717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6020" w:type="dxa"/>
            <w:vAlign w:val="bottom"/>
            <w:gridSpan w:val="2"/>
            <w:vMerge w:val="restart"/>
          </w:tcPr>
          <w:p>
            <w:pPr>
              <w:spacing w:after="0"/>
              <w:rPr>
                <w:sz w:val="20"/>
                <w:szCs w:val="20"/>
                <w:color w:val="auto"/>
              </w:rPr>
            </w:pPr>
            <w:r>
              <w:rPr>
                <w:rFonts w:ascii="Arial" w:cs="Arial" w:eastAsia="Arial" w:hAnsi="Arial"/>
                <w:sz w:val="14"/>
                <w:szCs w:val="14"/>
                <w:color w:val="auto"/>
              </w:rPr>
              <w:t>The goodwill balance relates entirely to the clinical research segment.</w:t>
            </w:r>
          </w:p>
        </w:tc>
        <w:tc>
          <w:tcPr>
            <w:tcW w:w="1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602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10, 2006 the Company acquired 100% of the common stock of Ovation Healthcare Research 2 Inc. (“Ovation”), based in Illinois, USA, for an initial cash consideration of U.S.$6.6 million, excluding costs of acquisition. Working capital provisions had been built into the acquisition contract requiring the potential payment of additional deferred consideration up to a maximum of U.S.$1.4 million. On October 27, 2006 $0.18 million was paid to the former shareholders of Ovation in full and final settlement of the working capital provisions.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acquisition of Ovation has been accounted for as a purchase in accordance with SFAS No. 141, “Business Combinations”. The following table summarises the fair values of the assets acquired and the liabilities assumed at the date of acquisition.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(in thousands)</w:t>
            </w:r>
          </w:p>
        </w:tc>
        <w:tc>
          <w:tcPr>
            <w:tcW w:w="86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3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53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9,005</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53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53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4,381</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5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(6,952)</w:t>
            </w:r>
          </w:p>
        </w:tc>
        <w:tc>
          <w:tcPr>
            <w:tcW w:w="860" w:type="dxa"/>
            <w:vAlign w:val="bottom"/>
          </w:tcPr>
          <w:p>
            <w:pPr>
              <w:spacing w:after="0"/>
              <w:rPr>
                <w:sz w:val="12"/>
                <w:szCs w:val="12"/>
                <w:color w:val="auto"/>
              </w:rPr>
            </w:pPr>
          </w:p>
        </w:tc>
      </w:tr>
      <w:tr>
        <w:trPr>
          <w:trHeight w:val="156"/>
        </w:trPr>
        <w:tc>
          <w:tcPr>
            <w:tcW w:w="880" w:type="dxa"/>
            <w:vAlign w:val="bottom"/>
          </w:tcPr>
          <w:p>
            <w:pPr>
              <w:spacing w:after="0"/>
              <w:rPr>
                <w:sz w:val="13"/>
                <w:szCs w:val="13"/>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Long term liabilities</w:t>
            </w:r>
          </w:p>
        </w:tc>
        <w:tc>
          <w:tcPr>
            <w:tcW w:w="5340" w:type="dxa"/>
            <w:vAlign w:val="bottom"/>
          </w:tcPr>
          <w:p>
            <w:pPr>
              <w:spacing w:after="0"/>
              <w:rPr>
                <w:sz w:val="13"/>
                <w:szCs w:val="13"/>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w:t>
            </w:r>
          </w:p>
        </w:tc>
        <w:tc>
          <w:tcPr>
            <w:tcW w:w="860" w:type="dxa"/>
            <w:vAlign w:val="bottom"/>
          </w:tcPr>
          <w:p>
            <w:pPr>
              <w:spacing w:after="0"/>
              <w:rPr>
                <w:sz w:val="13"/>
                <w:szCs w:val="13"/>
                <w:color w:val="auto"/>
              </w:rPr>
            </w:pPr>
          </w:p>
        </w:tc>
      </w:tr>
      <w:tr>
        <w:trPr>
          <w:trHeight w:val="149"/>
        </w:trPr>
        <w:tc>
          <w:tcPr>
            <w:tcW w:w="880" w:type="dxa"/>
            <w:vAlign w:val="bottom"/>
          </w:tcPr>
          <w:p>
            <w:pPr>
              <w:spacing w:after="0"/>
              <w:rPr>
                <w:sz w:val="12"/>
                <w:szCs w:val="12"/>
                <w:color w:val="auto"/>
              </w:rPr>
            </w:pPr>
          </w:p>
        </w:tc>
        <w:tc>
          <w:tcPr>
            <w:tcW w:w="3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5340" w:type="dxa"/>
            <w:vAlign w:val="bottom"/>
            <w:tcBorders>
              <w:top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7,035</w:t>
            </w:r>
          </w:p>
        </w:tc>
        <w:tc>
          <w:tcPr>
            <w:tcW w:w="80" w:type="dxa"/>
            <w:vAlign w:val="bottom"/>
            <w:shd w:val="clear" w:color="auto" w:fill="CCEEFF"/>
          </w:tcPr>
          <w:p>
            <w:pPr>
              <w:spacing w:after="0"/>
              <w:rPr>
                <w:sz w:val="12"/>
                <w:szCs w:val="12"/>
                <w:color w:val="auto"/>
              </w:rPr>
            </w:pPr>
          </w:p>
        </w:tc>
        <w:tc>
          <w:tcPr>
            <w:tcW w:w="860" w:type="dxa"/>
            <w:vAlign w:val="bottom"/>
          </w:tcPr>
          <w:p>
            <w:pPr>
              <w:spacing w:after="0"/>
              <w:rPr>
                <w:sz w:val="12"/>
                <w:szCs w:val="12"/>
                <w:color w:val="auto"/>
              </w:rPr>
            </w:pPr>
          </w:p>
        </w:tc>
      </w:tr>
      <w:tr>
        <w:trPr>
          <w:trHeight w:val="407"/>
        </w:trPr>
        <w:tc>
          <w:tcPr>
            <w:tcW w:w="8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340" w:type="dxa"/>
            <w:vAlign w:val="bottom"/>
          </w:tcPr>
          <w:p>
            <w:pPr>
              <w:jc w:val="right"/>
              <w:ind w:right="3688"/>
              <w:spacing w:after="0"/>
              <w:rPr>
                <w:sz w:val="20"/>
                <w:szCs w:val="20"/>
                <w:color w:val="auto"/>
              </w:rPr>
            </w:pPr>
            <w:r>
              <w:rPr>
                <w:rFonts w:ascii="Arial" w:cs="Arial" w:eastAsia="Arial" w:hAnsi="Arial"/>
                <w:sz w:val="14"/>
                <w:szCs w:val="14"/>
                <w:color w:val="auto"/>
              </w:rPr>
              <w:t>7</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3"/>
        </w:trPr>
        <w:tc>
          <w:tcPr>
            <w:tcW w:w="88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53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jc w:val="both"/>
        <w:spacing w:after="0" w:line="231" w:lineRule="auto"/>
        <w:rPr>
          <w:sz w:val="20"/>
          <w:szCs w:val="20"/>
          <w:color w:val="auto"/>
        </w:rPr>
      </w:pPr>
      <w:r>
        <w:rPr>
          <w:rFonts w:ascii="Arial" w:cs="Arial" w:eastAsia="Arial" w:hAnsi="Arial"/>
          <w:sz w:val="14"/>
          <w:szCs w:val="14"/>
          <w:color w:val="auto"/>
        </w:rPr>
        <w:t>On September 9, 2003 the Company acquired 100% of the outstanding shares of GloboMax LLC (“GloboMax”), based in Maryland, USA, for an initial cash consideration of $10.9 million, excluding costs of acquisition. Earn out provisions were built into the acquisition contract requiring the potential payment of additional deferred consideration up to a maximum of US$4 million depending on the performance of GloboMax over the period from date of acquisition to May 31, 2006. On August 26, 2005 cash consideration of US$1.4 million was paid to the former shareholders of GloboMax in respect of the first earn out target which was reached on May 31, 2005. On May 31, 2006 a final payment of $96,131 was made to the former shareholders of GloboMax. No further payments are anticipated.</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 Adoption of the provisions of FASB Interpretation No. 48 </w:t>
      </w:r>
      <w:r>
        <w:rPr>
          <w:rFonts w:ascii="Arial" w:cs="Arial" w:eastAsia="Arial" w:hAnsi="Arial"/>
          <w:sz w:val="14"/>
          <w:szCs w:val="14"/>
          <w:b w:val="1"/>
          <w:bCs w:val="1"/>
          <w:i w:val="1"/>
          <w:iCs w:val="1"/>
          <w:color w:val="auto"/>
        </w:rPr>
        <w:t>Accounting for Uncertainty in Income Taxes</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4"/>
          <w:szCs w:val="14"/>
          <w:color w:val="auto"/>
        </w:rPr>
        <w:t xml:space="preserve">In June 2006, the FASB issued FIN 48, </w:t>
      </w:r>
      <w:r>
        <w:rPr>
          <w:rFonts w:ascii="Arial" w:cs="Arial" w:eastAsia="Arial" w:hAnsi="Arial"/>
          <w:sz w:val="14"/>
          <w:szCs w:val="14"/>
          <w:i w:val="1"/>
          <w:iCs w:val="1"/>
          <w:color w:val="auto"/>
        </w:rPr>
        <w:t>Accounting for Uncertainty in Income Taxes – an Interpretation of FASB Statement No. 109, Accounting for Income Taxes</w:t>
      </w:r>
      <w:r>
        <w:rPr>
          <w:rFonts w:ascii="Arial" w:cs="Arial" w:eastAsia="Arial" w:hAnsi="Arial"/>
          <w:sz w:val="14"/>
          <w:szCs w:val="14"/>
          <w:color w:val="auto"/>
        </w:rPr>
        <w:t>. The Interpretation addresses the determination of whether tax benefits claimed or expected to be claimed on a tax return should be recorded in the financial statements.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Under FIN 48, the Company may recognize the tax benefits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recognized upon ultimate settlement.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FIN 48 also provides guidance on derecognition, classification, interest and penalties on income taxes, accounting in interim periods and requires increased disclosures.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adopted the provisions of FIN 48 effective January 1, 2007. As a result of the implementation of FIN 48, the Company maintains a $11.2 million liability for unrecognized tax benefit, which is comprised of $10.2 million related to items generating unrecognized tax benefits and $1.0 million for interest and related penalties to such items. The Company recognizes interest accrued on unrecognized tax benefits as an additional income tax expense.</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Any recognition of an unrecognized tax liability would impact the Company’s effective tax rate in that period. We do not anticipate that the total unrecognized tax benefits or our effective tax rate will significantly change due to the settlement of audits and the expiration of statutes of limitations within the next 12 months.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2003 through 2006 tax years. The Company does not believe that the outcome of any examination will have a material impact on its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Net income per ordinary share</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The reconciliation of the number of shares used in the computation of basic and diluted net income per ordinary share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88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2007</w:t>
            </w:r>
          </w:p>
        </w:tc>
        <w:tc>
          <w:tcPr>
            <w:tcW w:w="860" w:type="dxa"/>
            <w:vAlign w:val="bottom"/>
            <w:gridSpan w:val="2"/>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9"/>
              </w:rPr>
              <w:t>Weighted average number of ordinary shares outstanding for basic net income per ordinary share</w:t>
            </w:r>
          </w:p>
        </w:tc>
        <w:tc>
          <w:tcPr>
            <w:tcW w:w="11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28,684,201</w:t>
            </w:r>
          </w:p>
        </w:tc>
        <w:tc>
          <w:tcPr>
            <w:tcW w:w="13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28,265,490</w:t>
            </w:r>
          </w:p>
        </w:tc>
        <w:tc>
          <w:tcPr>
            <w:tcW w:w="380" w:type="dxa"/>
            <w:vAlign w:val="bottom"/>
            <w:shd w:val="clear" w:color="auto" w:fill="CCEEFF"/>
          </w:tcPr>
          <w:p>
            <w:pPr>
              <w:spacing w:after="0"/>
              <w:rPr>
                <w:sz w:val="12"/>
                <w:szCs w:val="12"/>
                <w:color w:val="auto"/>
              </w:rPr>
            </w:pPr>
          </w:p>
        </w:tc>
        <w:tc>
          <w:tcPr>
            <w:tcW w:w="1700" w:type="dxa"/>
            <w:vAlign w:val="bottom"/>
            <w:gridSpan w:val="5"/>
            <w:shd w:val="clear" w:color="auto" w:fill="CCEEFF"/>
          </w:tcPr>
          <w:p>
            <w:pPr>
              <w:jc w:val="right"/>
              <w:ind w:right="700"/>
              <w:spacing w:after="0" w:line="142" w:lineRule="exact"/>
              <w:rPr>
                <w:sz w:val="20"/>
                <w:szCs w:val="20"/>
                <w:color w:val="auto"/>
              </w:rPr>
            </w:pPr>
            <w:r>
              <w:rPr>
                <w:rFonts w:ascii="Arial" w:cs="Arial" w:eastAsia="Arial" w:hAnsi="Arial"/>
                <w:sz w:val="14"/>
                <w:szCs w:val="14"/>
                <w:color w:val="auto"/>
              </w:rPr>
              <w:t>28,624,350</w:t>
            </w:r>
          </w:p>
        </w:tc>
        <w:tc>
          <w:tcPr>
            <w:tcW w:w="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1"/>
              </w:rPr>
              <w:t>28,174,762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Effect of dilutive share options outstanding</w:t>
            </w:r>
          </w:p>
        </w:tc>
        <w:tc>
          <w:tcPr>
            <w:tcW w:w="11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1,001,288</w:t>
            </w:r>
          </w:p>
        </w:tc>
        <w:tc>
          <w:tcPr>
            <w:tcW w:w="1740" w:type="dxa"/>
            <w:vAlign w:val="bottom"/>
            <w:gridSpan w:val="5"/>
          </w:tcPr>
          <w:p>
            <w:pPr>
              <w:jc w:val="right"/>
              <w:ind w:right="360"/>
              <w:spacing w:after="0" w:line="149" w:lineRule="exact"/>
              <w:rPr>
                <w:sz w:val="20"/>
                <w:szCs w:val="20"/>
                <w:color w:val="auto"/>
              </w:rPr>
            </w:pPr>
            <w:r>
              <w:rPr>
                <w:rFonts w:ascii="Arial" w:cs="Arial" w:eastAsia="Arial" w:hAnsi="Arial"/>
                <w:sz w:val="14"/>
                <w:szCs w:val="14"/>
                <w:color w:val="auto"/>
              </w:rPr>
              <w:t>430,040</w:t>
            </w:r>
          </w:p>
        </w:tc>
        <w:tc>
          <w:tcPr>
            <w:tcW w:w="1700" w:type="dxa"/>
            <w:vAlign w:val="bottom"/>
            <w:gridSpan w:val="5"/>
          </w:tcPr>
          <w:p>
            <w:pPr>
              <w:jc w:val="right"/>
              <w:ind w:right="700"/>
              <w:spacing w:after="0" w:line="149" w:lineRule="exact"/>
              <w:rPr>
                <w:sz w:val="20"/>
                <w:szCs w:val="20"/>
                <w:color w:val="auto"/>
              </w:rPr>
            </w:pPr>
            <w:r>
              <w:rPr>
                <w:rFonts w:ascii="Arial" w:cs="Arial" w:eastAsia="Arial" w:hAnsi="Arial"/>
                <w:sz w:val="14"/>
                <w:szCs w:val="14"/>
                <w:color w:val="auto"/>
              </w:rPr>
              <w:t>973,321</w:t>
            </w:r>
          </w:p>
        </w:tc>
        <w:tc>
          <w:tcPr>
            <w:tcW w:w="20" w:type="dxa"/>
            <w:vAlign w:val="bottom"/>
          </w:tcPr>
          <w:p>
            <w:pPr>
              <w:spacing w:after="0"/>
              <w:rPr>
                <w:sz w:val="12"/>
                <w:szCs w:val="12"/>
                <w:color w:val="auto"/>
              </w:rPr>
            </w:pPr>
          </w:p>
        </w:tc>
        <w:tc>
          <w:tcPr>
            <w:tcW w:w="80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324,594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for diluted net income per ordinary share</w:t>
            </w:r>
          </w:p>
        </w:tc>
        <w:tc>
          <w:tcPr>
            <w:tcW w:w="11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29,685,489</w:t>
            </w:r>
          </w:p>
        </w:tc>
        <w:tc>
          <w:tcPr>
            <w:tcW w:w="13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28,695,530</w:t>
            </w:r>
          </w:p>
        </w:tc>
        <w:tc>
          <w:tcPr>
            <w:tcW w:w="380" w:type="dxa"/>
            <w:vAlign w:val="bottom"/>
            <w:shd w:val="clear" w:color="auto" w:fill="CCEEFF"/>
          </w:tcPr>
          <w:p>
            <w:pPr>
              <w:spacing w:after="0"/>
              <w:rPr>
                <w:sz w:val="14"/>
                <w:szCs w:val="14"/>
                <w:color w:val="auto"/>
              </w:rPr>
            </w:pPr>
          </w:p>
        </w:tc>
        <w:tc>
          <w:tcPr>
            <w:tcW w:w="1700" w:type="dxa"/>
            <w:vAlign w:val="bottom"/>
            <w:gridSpan w:val="5"/>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29,597,671</w:t>
            </w:r>
          </w:p>
        </w:tc>
        <w:tc>
          <w:tcPr>
            <w:tcW w:w="2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28,499,356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Stock Options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An aggregate of 3.0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No options can be granted after January 17, 2013.</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In December 2004, the Financial Accounting Standards Board (“FASB”) issued Statement of Accounting Standards (“SFAS”) 123 (revised 2004), </w:t>
      </w:r>
      <w:r>
        <w:rPr>
          <w:rFonts w:ascii="Arial" w:cs="Arial" w:eastAsia="Arial" w:hAnsi="Arial"/>
          <w:sz w:val="14"/>
          <w:szCs w:val="14"/>
          <w:i w:val="1"/>
          <w:iCs w:val="1"/>
          <w:color w:val="auto"/>
        </w:rPr>
        <w:t>Share Based Payment</w:t>
      </w:r>
      <w:r>
        <w:rPr>
          <w:rFonts w:ascii="Arial" w:cs="Arial" w:eastAsia="Arial" w:hAnsi="Arial"/>
          <w:sz w:val="14"/>
          <w:szCs w:val="14"/>
          <w:color w:val="auto"/>
        </w:rPr>
        <w:t xml:space="preserve"> (“SFAS 123R”) which replaced SFAS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and supersedes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209"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three months ended June 30, 2007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The following table summarizes option activity for the six months ended June 30, 2007: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9"/>
              </w:rPr>
              <w:t>Options Outstanding</w:t>
            </w:r>
          </w:p>
        </w:tc>
        <w:tc>
          <w:tcPr>
            <w:tcW w:w="580" w:type="dxa"/>
            <w:vAlign w:val="bottom"/>
          </w:tcPr>
          <w:p>
            <w:pPr>
              <w:spacing w:after="0"/>
              <w:rPr>
                <w:sz w:val="12"/>
                <w:szCs w:val="12"/>
                <w:color w:val="auto"/>
              </w:rPr>
            </w:pPr>
          </w:p>
        </w:tc>
        <w:tc>
          <w:tcPr>
            <w:tcW w:w="11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Average</w:t>
            </w:r>
          </w:p>
        </w:tc>
        <w:tc>
          <w:tcPr>
            <w:tcW w:w="5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Exercise</w:t>
            </w:r>
          </w:p>
        </w:tc>
        <w:tc>
          <w:tcPr>
            <w:tcW w:w="560" w:type="dxa"/>
            <w:vAlign w:val="bottom"/>
          </w:tcPr>
          <w:p>
            <w:pPr>
              <w:spacing w:after="0"/>
              <w:rPr>
                <w:sz w:val="12"/>
                <w:szCs w:val="12"/>
                <w:color w:val="auto"/>
              </w:rPr>
            </w:pPr>
          </w:p>
        </w:tc>
        <w:tc>
          <w:tcPr>
            <w:tcW w:w="1500" w:type="dxa"/>
            <w:vAlign w:val="bottom"/>
          </w:tcPr>
          <w:p>
            <w:pPr>
              <w:jc w:val="right"/>
              <w:ind w:right="408"/>
              <w:spacing w:after="0" w:line="149" w:lineRule="exact"/>
              <w:rPr>
                <w:sz w:val="20"/>
                <w:szCs w:val="20"/>
                <w:color w:val="auto"/>
              </w:rPr>
            </w:pPr>
            <w:r>
              <w:rPr>
                <w:rFonts w:ascii="Arial" w:cs="Arial" w:eastAsia="Arial" w:hAnsi="Arial"/>
                <w:sz w:val="14"/>
                <w:szCs w:val="14"/>
                <w:b w:val="1"/>
                <w:bCs w:val="1"/>
                <w:color w:val="auto"/>
              </w:rPr>
              <w:t>Average</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60" w:type="dxa"/>
            <w:vAlign w:val="bottom"/>
          </w:tcPr>
          <w:p>
            <w:pPr>
              <w:jc w:val="right"/>
              <w:ind w:right="268"/>
              <w:spacing w:after="0"/>
              <w:rPr>
                <w:sz w:val="20"/>
                <w:szCs w:val="20"/>
                <w:color w:val="auto"/>
              </w:rPr>
            </w:pPr>
            <w:r>
              <w:rPr>
                <w:rFonts w:ascii="Arial" w:cs="Arial" w:eastAsia="Arial" w:hAnsi="Arial"/>
                <w:sz w:val="14"/>
                <w:szCs w:val="14"/>
                <w:b w:val="1"/>
                <w:bCs w:val="1"/>
                <w:color w:val="auto"/>
              </w:rPr>
              <w:t>Number of Shares</w:t>
            </w:r>
          </w:p>
        </w:tc>
        <w:tc>
          <w:tcPr>
            <w:tcW w:w="5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w:t>
            </w:r>
          </w:p>
        </w:tc>
        <w:tc>
          <w:tcPr>
            <w:tcW w:w="560" w:type="dxa"/>
            <w:vAlign w:val="bottom"/>
          </w:tcPr>
          <w:p>
            <w:pPr>
              <w:spacing w:after="0"/>
              <w:rPr>
                <w:sz w:val="16"/>
                <w:szCs w:val="16"/>
                <w:color w:val="auto"/>
              </w:rPr>
            </w:pPr>
          </w:p>
        </w:tc>
        <w:tc>
          <w:tcPr>
            <w:tcW w:w="150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6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2006</w:t>
            </w:r>
          </w:p>
        </w:tc>
        <w:tc>
          <w:tcPr>
            <w:tcW w:w="16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2,321,852</w:t>
            </w:r>
          </w:p>
        </w:tc>
        <w:tc>
          <w:tcPr>
            <w:tcW w:w="58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18.61</w:t>
            </w:r>
          </w:p>
        </w:tc>
        <w:tc>
          <w:tcPr>
            <w:tcW w:w="5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8.45</w:t>
            </w:r>
          </w:p>
        </w:tc>
        <w:tc>
          <w:tcPr>
            <w:tcW w:w="12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623,190</w:t>
            </w:r>
          </w:p>
        </w:tc>
        <w:tc>
          <w:tcPr>
            <w:tcW w:w="5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42.50</w:t>
            </w:r>
          </w:p>
        </w:tc>
        <w:tc>
          <w:tcPr>
            <w:tcW w:w="5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18.21</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(221,057)</w:t>
            </w:r>
          </w:p>
        </w:tc>
        <w:tc>
          <w:tcPr>
            <w:tcW w:w="580" w:type="dxa"/>
            <w:vAlign w:val="bottom"/>
          </w:tcPr>
          <w:p>
            <w:pPr>
              <w:spacing w:after="0"/>
              <w:rPr>
                <w:sz w:val="12"/>
                <w:szCs w:val="12"/>
                <w:color w:val="auto"/>
              </w:rPr>
            </w:pPr>
          </w:p>
        </w:tc>
        <w:tc>
          <w:tcPr>
            <w:tcW w:w="11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16.15</w:t>
            </w:r>
          </w:p>
        </w:tc>
        <w:tc>
          <w:tcPr>
            <w:tcW w:w="560" w:type="dxa"/>
            <w:vAlign w:val="bottom"/>
          </w:tcPr>
          <w:p>
            <w:pPr>
              <w:spacing w:after="0"/>
              <w:rPr>
                <w:sz w:val="12"/>
                <w:szCs w:val="12"/>
                <w:color w:val="auto"/>
              </w:rPr>
            </w:pPr>
          </w:p>
        </w:tc>
        <w:tc>
          <w:tcPr>
            <w:tcW w:w="15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7.62</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6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(57,289)</w:t>
            </w:r>
          </w:p>
        </w:tc>
        <w:tc>
          <w:tcPr>
            <w:tcW w:w="5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18.79</w:t>
            </w:r>
          </w:p>
        </w:tc>
        <w:tc>
          <w:tcPr>
            <w:tcW w:w="5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8.32</w:t>
            </w:r>
          </w:p>
        </w:tc>
        <w:tc>
          <w:tcPr>
            <w:tcW w:w="12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June 30, 2007</w:t>
            </w:r>
          </w:p>
        </w:tc>
        <w:tc>
          <w:tcPr>
            <w:tcW w:w="1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2,666,696</w:t>
            </w:r>
          </w:p>
        </w:tc>
        <w:tc>
          <w:tcPr>
            <w:tcW w:w="58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24.36</w:t>
            </w:r>
          </w:p>
        </w:tc>
        <w:tc>
          <w:tcPr>
            <w:tcW w:w="5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10.80</w:t>
            </w:r>
          </w:p>
        </w:tc>
        <w:tc>
          <w:tcPr>
            <w:tcW w:w="1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Borders>
              <w:top w:val="single" w:sz="8" w:color="CCEEFF"/>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Exercisable at June 30, 2007</w:t>
            </w:r>
          </w:p>
        </w:tc>
        <w:tc>
          <w:tcPr>
            <w:tcW w:w="16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768,333</w:t>
            </w:r>
          </w:p>
        </w:tc>
        <w:tc>
          <w:tcPr>
            <w:tcW w:w="58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18.97</w:t>
            </w:r>
          </w:p>
        </w:tc>
        <w:tc>
          <w:tcPr>
            <w:tcW w:w="56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8.54</w:t>
            </w: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2007 is eight years.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weighted average fair value of stock options granted during the six months ended June 30, 2007 calculated using the Black-Scholes option pricing model, was $18.21 based on the following assumptions; dividend yield - 0%, risk free interest rate – 4.7%, expected volatility - 40% and weighted average expected life – 5.11 years.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210" w:lineRule="exact"/>
        <w:rPr>
          <w:sz w:val="20"/>
          <w:szCs w:val="20"/>
          <w:color w:val="auto"/>
        </w:rPr>
      </w:pPr>
    </w:p>
    <w:p>
      <w:pPr>
        <w:jc w:val="both"/>
        <w:ind w:right="60"/>
        <w:spacing w:after="0" w:line="238" w:lineRule="auto"/>
        <w:rPr>
          <w:sz w:val="20"/>
          <w:szCs w:val="20"/>
          <w:color w:val="auto"/>
        </w:rPr>
      </w:pPr>
      <w:r>
        <w:rPr>
          <w:rFonts w:ascii="Arial" w:cs="Arial" w:eastAsia="Arial" w:hAnsi="Arial"/>
          <w:sz w:val="14"/>
          <w:szCs w:val="14"/>
          <w:color w:val="auto"/>
        </w:rPr>
        <w:t>Income from operations for the six months ended June 30, 2007 is stated after charging $2.6 million in respect of non-cash stock compensation expense. Basic and diluted earnings per share for the six months ended June 30, 2007 had SFAS 123R not been introduced would have been $0.98 and $0.94 respectively. Non-cash stock compensation expense for the six months ended June 30, 2007 has been allocated to direct costs and selling, general and administrative expenses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6"/>
          </w:tcPr>
          <w:p>
            <w:pPr>
              <w:spacing w:after="0"/>
              <w:rPr>
                <w:sz w:val="20"/>
                <w:szCs w:val="20"/>
                <w:color w:val="auto"/>
              </w:rPr>
            </w:pPr>
            <w:r>
              <w:rPr>
                <w:rFonts w:ascii="Arial" w:cs="Arial" w:eastAsia="Arial" w:hAnsi="Arial"/>
                <w:sz w:val="14"/>
                <w:szCs w:val="14"/>
                <w:b w:val="1"/>
                <w:bCs w:val="1"/>
                <w:color w:val="auto"/>
                <w:w w:val="99"/>
              </w:rPr>
              <w:t>Three Months Ended</w:t>
            </w: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June 30,</w:t>
            </w: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gridSpan w:val="3"/>
          </w:tcPr>
          <w:p>
            <w:pPr>
              <w:jc w:val="right"/>
              <w:ind w:right="48"/>
              <w:spacing w:after="0" w:line="129" w:lineRule="exact"/>
              <w:rPr>
                <w:sz w:val="20"/>
                <w:szCs w:val="20"/>
                <w:color w:val="auto"/>
              </w:rPr>
            </w:pPr>
            <w:r>
              <w:rPr>
                <w:rFonts w:ascii="Arial" w:cs="Arial" w:eastAsia="Arial" w:hAnsi="Arial"/>
                <w:sz w:val="14"/>
                <w:szCs w:val="14"/>
                <w:b w:val="1"/>
                <w:bCs w:val="1"/>
                <w:color w:val="auto"/>
                <w:w w:val="74"/>
              </w:rPr>
              <w:t>June 30,</w:t>
            </w: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8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76"/>
              </w:rPr>
              <w:t>thousands</w:t>
            </w:r>
            <w:r>
              <w:rPr>
                <w:rFonts w:ascii="Arial" w:cs="Arial" w:eastAsia="Arial" w:hAnsi="Arial"/>
                <w:sz w:val="14"/>
                <w:szCs w:val="14"/>
                <w:color w:val="auto"/>
                <w:w w:val="76"/>
              </w:rPr>
              <w:t>)</w:t>
            </w: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8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76"/>
              </w:rPr>
              <w:t>thousands</w:t>
            </w:r>
            <w:r>
              <w:rPr>
                <w:rFonts w:ascii="Arial" w:cs="Arial" w:eastAsia="Arial" w:hAnsi="Arial"/>
                <w:sz w:val="14"/>
                <w:szCs w:val="14"/>
                <w:color w:val="auto"/>
                <w:w w:val="76"/>
              </w:rPr>
              <w:t>)</w:t>
            </w: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ind w:right="73"/>
              <w:spacing w:after="0" w:line="143" w:lineRule="exact"/>
              <w:rPr>
                <w:sz w:val="20"/>
                <w:szCs w:val="20"/>
                <w:color w:val="auto"/>
              </w:rPr>
            </w:pPr>
            <w:r>
              <w:rPr>
                <w:rFonts w:ascii="Arial" w:cs="Arial" w:eastAsia="Arial" w:hAnsi="Arial"/>
                <w:sz w:val="13"/>
                <w:szCs w:val="13"/>
                <w:b w:val="1"/>
                <w:bCs w:val="1"/>
                <w:color w:val="auto"/>
                <w:w w:val="75"/>
              </w:rPr>
              <w:t>(In</w:t>
            </w: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jc w:val="right"/>
              <w:ind w:right="73"/>
              <w:spacing w:after="0" w:line="143" w:lineRule="exact"/>
              <w:rPr>
                <w:sz w:val="20"/>
                <w:szCs w:val="20"/>
                <w:color w:val="auto"/>
              </w:rPr>
            </w:pPr>
            <w:r>
              <w:rPr>
                <w:rFonts w:ascii="Arial" w:cs="Arial" w:eastAsia="Arial" w:hAnsi="Arial"/>
                <w:sz w:val="13"/>
                <w:szCs w:val="13"/>
                <w:b w:val="1"/>
                <w:bCs w:val="1"/>
                <w:color w:val="auto"/>
                <w:w w:val="75"/>
              </w:rPr>
              <w:t>(In</w:t>
            </w: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28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ind w:right="248"/>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1,410</w:t>
            </w:r>
          </w:p>
        </w:tc>
        <w:tc>
          <w:tcPr>
            <w:tcW w:w="580" w:type="dxa"/>
            <w:vAlign w:val="bottom"/>
            <w:shd w:val="clear" w:color="auto" w:fill="CCEEFF"/>
          </w:tcPr>
          <w:p>
            <w:pPr>
              <w:jc w:val="center"/>
              <w:ind w:right="168"/>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56"/>
        </w:trPr>
        <w:tc>
          <w:tcPr>
            <w:tcW w:w="38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619</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466</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5"/>
          </w:tcPr>
          <w:p>
            <w:pPr>
              <w:jc w:val="right"/>
              <w:ind w:right="48"/>
              <w:spacing w:after="0" w:line="149" w:lineRule="exact"/>
              <w:rPr>
                <w:sz w:val="20"/>
                <w:szCs w:val="20"/>
                <w:color w:val="auto"/>
              </w:rPr>
            </w:pPr>
            <w:r>
              <w:rPr>
                <w:rFonts w:ascii="Arial" w:cs="Arial" w:eastAsia="Arial" w:hAnsi="Arial"/>
                <w:sz w:val="14"/>
                <w:szCs w:val="14"/>
                <w:color w:val="auto"/>
              </w:rPr>
              <w:t>1,149</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8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4"/>
          </w:tcPr>
          <w:p>
            <w:pPr>
              <w:jc w:val="right"/>
              <w:ind w:right="48"/>
              <w:spacing w:after="0" w:line="149" w:lineRule="exact"/>
              <w:rPr>
                <w:sz w:val="20"/>
                <w:szCs w:val="20"/>
                <w:color w:val="auto"/>
              </w:rPr>
            </w:pPr>
            <w:r>
              <w:rPr>
                <w:rFonts w:ascii="Arial" w:cs="Arial" w:eastAsia="Arial" w:hAnsi="Arial"/>
                <w:sz w:val="14"/>
                <w:szCs w:val="14"/>
                <w:color w:val="auto"/>
              </w:rPr>
              <w:t>1,379</w:t>
            </w:r>
          </w:p>
        </w:tc>
        <w:tc>
          <w:tcPr>
            <w:tcW w:w="660" w:type="dxa"/>
            <w:vAlign w:val="bottom"/>
          </w:tcPr>
          <w:p>
            <w:pPr>
              <w:jc w:val="center"/>
              <w:ind w:right="248"/>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1,038</w:t>
            </w:r>
          </w:p>
        </w:tc>
        <w:tc>
          <w:tcPr>
            <w:tcW w:w="4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5"/>
          </w:tcPr>
          <w:p>
            <w:pPr>
              <w:jc w:val="right"/>
              <w:ind w:right="48"/>
              <w:spacing w:after="0" w:line="149" w:lineRule="exact"/>
              <w:rPr>
                <w:sz w:val="20"/>
                <w:szCs w:val="20"/>
                <w:color w:val="auto"/>
              </w:rPr>
            </w:pPr>
            <w:r>
              <w:rPr>
                <w:rFonts w:ascii="Arial" w:cs="Arial" w:eastAsia="Arial" w:hAnsi="Arial"/>
                <w:sz w:val="14"/>
                <w:szCs w:val="14"/>
                <w:color w:val="auto"/>
              </w:rPr>
              <w:t>2,559</w:t>
            </w:r>
          </w:p>
        </w:tc>
        <w:tc>
          <w:tcPr>
            <w:tcW w:w="58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2"/>
                <w:szCs w:val="12"/>
                <w:color w:val="auto"/>
              </w:rPr>
            </w:pPr>
          </w:p>
        </w:tc>
        <w:tc>
          <w:tcPr>
            <w:tcW w:w="6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180" w:type="dxa"/>
            <w:vAlign w:val="bottom"/>
            <w:vMerge w:val="restart"/>
          </w:tcPr>
          <w:p>
            <w:pPr>
              <w:jc w:val="right"/>
              <w:ind w:right="148"/>
              <w:spacing w:after="0"/>
              <w:rPr>
                <w:sz w:val="20"/>
                <w:szCs w:val="20"/>
                <w:color w:val="auto"/>
              </w:rPr>
            </w:pPr>
            <w:r>
              <w:rPr>
                <w:rFonts w:ascii="Arial" w:cs="Arial" w:eastAsia="Arial" w:hAnsi="Arial"/>
                <w:sz w:val="14"/>
                <w:szCs w:val="14"/>
                <w:color w:val="auto"/>
              </w:rPr>
              <w:t>10</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38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82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6400" w:type="dxa"/>
            <w:vAlign w:val="bottom"/>
            <w:gridSpan w:val="2"/>
          </w:tcPr>
          <w:p>
            <w:pPr>
              <w:spacing w:after="0"/>
              <w:rPr>
                <w:sz w:val="20"/>
                <w:szCs w:val="20"/>
                <w:color w:val="auto"/>
              </w:rPr>
            </w:pPr>
            <w:r>
              <w:rPr>
                <w:rFonts w:ascii="Arial" w:cs="Arial" w:eastAsia="Arial" w:hAnsi="Arial"/>
                <w:sz w:val="14"/>
                <w:szCs w:val="14"/>
                <w:color w:val="auto"/>
              </w:rPr>
              <w:t>Non vested shares outstanding as at June 30, 2007 are as follows:</w:t>
            </w:r>
          </w:p>
        </w:tc>
        <w:tc>
          <w:tcPr>
            <w:tcW w:w="1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3"/>
              </w:rPr>
              <w:t>Weighted Average</w:t>
            </w:r>
          </w:p>
        </w:tc>
        <w:tc>
          <w:tcPr>
            <w:tcW w:w="220" w:type="dxa"/>
            <w:vAlign w:val="bottom"/>
          </w:tcPr>
          <w:p>
            <w:pPr>
              <w:spacing w:after="0"/>
              <w:rPr>
                <w:sz w:val="9"/>
                <w:szCs w:val="9"/>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6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660" w:type="dxa"/>
            <w:vAlign w:val="bottom"/>
          </w:tcPr>
          <w:p>
            <w:pPr>
              <w:ind w:left="18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6"/>
                <w:szCs w:val="16"/>
                <w:color w:val="auto"/>
              </w:rPr>
            </w:pPr>
          </w:p>
        </w:tc>
        <w:tc>
          <w:tcPr>
            <w:tcW w:w="1460" w:type="dxa"/>
            <w:vAlign w:val="bottom"/>
          </w:tcPr>
          <w:p>
            <w:pPr>
              <w:jc w:val="right"/>
              <w:ind w:right="348"/>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December 31, 2006</w:t>
            </w:r>
          </w:p>
        </w:tc>
        <w:tc>
          <w:tcPr>
            <w:tcW w:w="1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1,788,308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19.32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80" w:type="dxa"/>
            <w:vAlign w:val="bottom"/>
            <w:tcBorders>
              <w:top w:val="single" w:sz="8" w:color="CCEEFF"/>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623,190</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42.50</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Vested</w:t>
            </w:r>
          </w:p>
        </w:tc>
        <w:tc>
          <w:tcPr>
            <w:tcW w:w="1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(455,846)</w:t>
            </w: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20.80</w:t>
            </w:r>
          </w:p>
        </w:tc>
        <w:tc>
          <w:tcPr>
            <w:tcW w:w="2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(57,289)</w:t>
            </w: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18.79</w:t>
            </w:r>
          </w:p>
        </w:tc>
        <w:tc>
          <w:tcPr>
            <w:tcW w:w="2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80" w:type="dxa"/>
            <w:vAlign w:val="bottom"/>
            <w:tcBorders>
              <w:top w:val="single" w:sz="8" w:color="CCEEFF"/>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June 30, 2007</w:t>
            </w:r>
          </w:p>
        </w:tc>
        <w:tc>
          <w:tcPr>
            <w:tcW w:w="16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1,898,363</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26.54</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As at June 30, 2007 total unrecognized compensation cost related to unvested options, which the Company expects to recognize over a weighted average period of 2.22 years, amounted to $15.63 million. The Company has granted options with fair values ranging from $5.78 to $18.21 per option or a weighted average fair value of $9.68 per option. The Company issues new ordinary shares for all options exercised. The total amount of fully vested share options which remained outstanding at June 30, 2007 was 768,333. The fully vested options have an average remaining contractual term of 4.8 years and average exercise price of $18.97. The total intrinsic value of options exercised during the period was $9.91 million (three months ended June 30, 2007 was $4.35 million).</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Business Segment Information</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Company's areas of operation outside of Ireland principally include the United Kingdom, United States, Germany, Australia, Argentina, Chile, France, Italy, Japan, Israel, Singapore, Canada, Sweden, The Netherlands, Latvia, Russia, Lithuania, Poland, Taiwan, Hong Kong, South Africa, Spain, Hungary, India, Mexico, Brazil, South Korea, China, Thailand and Peru. Segment information for the three and six month periods ended June 30, 2007 and June 30, 2006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020" w:type="dxa"/>
            <w:vAlign w:val="bottom"/>
          </w:tcPr>
          <w:p>
            <w:pPr>
              <w:ind w:left="320"/>
              <w:spacing w:after="0"/>
              <w:rPr>
                <w:sz w:val="20"/>
                <w:szCs w:val="20"/>
                <w:color w:val="auto"/>
              </w:rPr>
            </w:pPr>
            <w:r>
              <w:rPr>
                <w:rFonts w:ascii="Arial" w:cs="Arial" w:eastAsia="Arial" w:hAnsi="Arial"/>
                <w:sz w:val="14"/>
                <w:szCs w:val="14"/>
                <w:color w:val="auto"/>
              </w:rPr>
              <w:t>a) The distribution of net revenue by geographical area was as follows:</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w w:val="98"/>
              </w:rPr>
              <w:t>Six Months Ended</w:t>
            </w:r>
          </w:p>
        </w:tc>
        <w:tc>
          <w:tcPr>
            <w:tcW w:w="7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6"/>
              </w:rPr>
              <w:t>June 30,</w:t>
            </w: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71"/>
              </w:rPr>
              <w:t>thousands)</w:t>
            </w: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thousands)</w:t>
            </w:r>
          </w:p>
        </w:tc>
        <w:tc>
          <w:tcPr>
            <w:tcW w:w="80" w:type="dxa"/>
            <w:vAlign w:val="bottom"/>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jc w:val="right"/>
              <w:ind w:right="93"/>
              <w:spacing w:after="0" w:line="143" w:lineRule="exact"/>
              <w:rPr>
                <w:sz w:val="20"/>
                <w:szCs w:val="20"/>
                <w:color w:val="auto"/>
              </w:rPr>
            </w:pPr>
            <w:r>
              <w:rPr>
                <w:rFonts w:ascii="Arial" w:cs="Arial" w:eastAsia="Arial" w:hAnsi="Arial"/>
                <w:sz w:val="13"/>
                <w:szCs w:val="13"/>
                <w:b w:val="1"/>
                <w:bCs w:val="1"/>
                <w:color w:val="auto"/>
                <w:w w:val="75"/>
              </w:rPr>
              <w:t>(in</w:t>
            </w: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74"/>
              </w:rPr>
              <w:t>(in</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38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27,685</w:t>
            </w:r>
          </w:p>
        </w:tc>
        <w:tc>
          <w:tcPr>
            <w:tcW w:w="760" w:type="dxa"/>
            <w:vAlign w:val="bottom"/>
            <w:shd w:val="clear" w:color="auto" w:fill="CCEEFF"/>
          </w:tcPr>
          <w:p>
            <w:pPr>
              <w:jc w:val="center"/>
              <w:ind w:right="148"/>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11,423</w:t>
            </w:r>
          </w:p>
        </w:tc>
        <w:tc>
          <w:tcPr>
            <w:tcW w:w="4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50,388</w:t>
            </w:r>
          </w:p>
        </w:tc>
        <w:tc>
          <w:tcPr>
            <w:tcW w:w="5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1380" w:type="dxa"/>
            <w:vAlign w:val="bottom"/>
          </w:tcPr>
          <w:p>
            <w:pPr>
              <w:spacing w:after="0"/>
              <w:rPr>
                <w:sz w:val="12"/>
                <w:szCs w:val="12"/>
                <w:color w:val="auto"/>
              </w:rPr>
            </w:pP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35,453</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23,173</w:t>
            </w:r>
          </w:p>
        </w:tc>
        <w:tc>
          <w:tcPr>
            <w:tcW w:w="460" w:type="dxa"/>
            <w:vAlign w:val="bottom"/>
          </w:tcPr>
          <w:p>
            <w:pPr>
              <w:spacing w:after="0"/>
              <w:rPr>
                <w:sz w:val="12"/>
                <w:szCs w:val="12"/>
                <w:color w:val="auto"/>
              </w:rPr>
            </w:pPr>
          </w:p>
        </w:tc>
        <w:tc>
          <w:tcPr>
            <w:tcW w:w="88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67,549</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46,125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3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76,023</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65,010</w:t>
            </w:r>
          </w:p>
        </w:tc>
        <w:tc>
          <w:tcPr>
            <w:tcW w:w="46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148,993</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125,860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Rest of the World</w:t>
            </w:r>
          </w:p>
        </w:tc>
        <w:tc>
          <w:tcPr>
            <w:tcW w:w="1380" w:type="dxa"/>
            <w:vAlign w:val="bottom"/>
          </w:tcPr>
          <w:p>
            <w:pPr>
              <w:spacing w:after="0"/>
              <w:rPr>
                <w:sz w:val="13"/>
                <w:szCs w:val="13"/>
                <w:color w:val="auto"/>
              </w:rPr>
            </w:pP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7,886</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7,830</w:t>
            </w:r>
          </w:p>
        </w:tc>
        <w:tc>
          <w:tcPr>
            <w:tcW w:w="460" w:type="dxa"/>
            <w:vAlign w:val="bottom"/>
          </w:tcPr>
          <w:p>
            <w:pPr>
              <w:spacing w:after="0"/>
              <w:rPr>
                <w:sz w:val="13"/>
                <w:szCs w:val="13"/>
                <w:color w:val="auto"/>
              </w:rPr>
            </w:pPr>
          </w:p>
        </w:tc>
        <w:tc>
          <w:tcPr>
            <w:tcW w:w="88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16,206</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14,636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13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147,047</w:t>
            </w: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8"/>
              </w:rPr>
              <w:t>107,436</w:t>
            </w:r>
          </w:p>
        </w:tc>
        <w:tc>
          <w:tcPr>
            <w:tcW w:w="4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283,136</w:t>
            </w:r>
          </w:p>
        </w:tc>
        <w:tc>
          <w:tcPr>
            <w:tcW w:w="58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205,931</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5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 All sales shown for Ireland are export sales.</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380" w:type="dxa"/>
            <w:vAlign w:val="bottom"/>
          </w:tcPr>
          <w:p>
            <w:pPr>
              <w:jc w:val="right"/>
              <w:ind w:right="56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5540" w:type="dxa"/>
            <w:vAlign w:val="bottom"/>
            <w:gridSpan w:val="2"/>
          </w:tcPr>
          <w:p>
            <w:pPr>
              <w:spacing w:after="0"/>
              <w:rPr>
                <w:sz w:val="20"/>
                <w:szCs w:val="20"/>
                <w:color w:val="auto"/>
              </w:rPr>
            </w:pPr>
            <w:r>
              <w:rPr>
                <w:rFonts w:ascii="Arial" w:cs="Arial" w:eastAsia="Arial" w:hAnsi="Arial"/>
                <w:sz w:val="14"/>
                <w:szCs w:val="14"/>
                <w:color w:val="auto"/>
              </w:rPr>
              <w:t>b) The distribution of net revenue by business segment was as follows:</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15"/>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6"/>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June 30,</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99"/>
              </w:rPr>
              <w:t>June 30,</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5"/>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5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86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74"/>
              </w:rPr>
              <w:t>thousands)</w:t>
            </w:r>
          </w:p>
        </w:tc>
        <w:tc>
          <w:tcPr>
            <w:tcW w:w="5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top w:val="single" w:sz="8" w:color="auto"/>
            </w:tcBorders>
            <w:gridSpan w:val="6"/>
          </w:tcPr>
          <w:p>
            <w:pPr>
              <w:ind w:left="220"/>
              <w:spacing w:after="0" w:line="129" w:lineRule="exact"/>
              <w:rPr>
                <w:sz w:val="20"/>
                <w:szCs w:val="20"/>
                <w:color w:val="auto"/>
              </w:rPr>
            </w:pPr>
            <w:r>
              <w:rPr>
                <w:rFonts w:ascii="Arial" w:cs="Arial" w:eastAsia="Arial" w:hAnsi="Arial"/>
                <w:sz w:val="14"/>
                <w:szCs w:val="14"/>
                <w:b w:val="1"/>
                <w:bCs w:val="1"/>
                <w:color w:val="auto"/>
                <w:w w:val="83"/>
              </w:rPr>
              <w:t>2007</w:t>
            </w:r>
          </w:p>
        </w:tc>
        <w:tc>
          <w:tcPr>
            <w:tcW w:w="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540" w:type="dxa"/>
            <w:vAlign w:val="bottom"/>
            <w:tcBorders>
              <w:top w:val="single" w:sz="8" w:color="auto"/>
            </w:tcBorders>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12,880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328"/>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11,516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25,957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right="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gridSpan w:val="7"/>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20,805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Clinical research</w:t>
            </w:r>
          </w:p>
        </w:tc>
        <w:tc>
          <w:tcPr>
            <w:tcW w:w="840" w:type="dxa"/>
            <w:vAlign w:val="bottom"/>
          </w:tcPr>
          <w:p>
            <w:pPr>
              <w:spacing w:after="0"/>
              <w:rPr>
                <w:sz w:val="13"/>
                <w:szCs w:val="13"/>
                <w:color w:val="auto"/>
              </w:rPr>
            </w:pPr>
          </w:p>
        </w:tc>
        <w:tc>
          <w:tcPr>
            <w:tcW w:w="78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134,167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95,920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257,179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7"/>
          </w:tcPr>
          <w:p>
            <w:pPr>
              <w:jc w:val="right"/>
              <w:ind w:right="40"/>
              <w:spacing w:after="0" w:line="149" w:lineRule="exact"/>
              <w:rPr>
                <w:sz w:val="20"/>
                <w:szCs w:val="20"/>
                <w:color w:val="auto"/>
              </w:rPr>
            </w:pPr>
            <w:r>
              <w:rPr>
                <w:rFonts w:ascii="Arial" w:cs="Arial" w:eastAsia="Arial" w:hAnsi="Arial"/>
                <w:sz w:val="14"/>
                <w:szCs w:val="14"/>
                <w:color w:val="auto"/>
              </w:rPr>
              <w:t>185,126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147,047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w w:val="98"/>
              </w:rPr>
              <w:t>107,436</w:t>
            </w:r>
          </w:p>
        </w:tc>
        <w:tc>
          <w:tcPr>
            <w:tcW w:w="80" w:type="dxa"/>
            <w:vAlign w:val="bottom"/>
          </w:tcPr>
          <w:p>
            <w:pPr>
              <w:spacing w:after="0"/>
              <w:rPr>
                <w:sz w:val="12"/>
                <w:szCs w:val="12"/>
                <w:color w:val="auto"/>
              </w:rPr>
            </w:pPr>
          </w:p>
        </w:tc>
        <w:tc>
          <w:tcPr>
            <w:tcW w:w="4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283,136</w:t>
            </w:r>
          </w:p>
        </w:tc>
        <w:tc>
          <w:tcPr>
            <w:tcW w:w="100" w:type="dxa"/>
            <w:vAlign w:val="bottom"/>
          </w:tcPr>
          <w:p>
            <w:pPr>
              <w:spacing w:after="0"/>
              <w:rPr>
                <w:sz w:val="12"/>
                <w:szCs w:val="12"/>
                <w:color w:val="auto"/>
              </w:rPr>
            </w:pPr>
          </w:p>
        </w:tc>
        <w:tc>
          <w:tcPr>
            <w:tcW w:w="42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7"/>
          </w:tcPr>
          <w:p>
            <w:pPr>
              <w:jc w:val="right"/>
              <w:ind w:right="40"/>
              <w:spacing w:after="0" w:line="149" w:lineRule="exact"/>
              <w:rPr>
                <w:sz w:val="20"/>
                <w:szCs w:val="20"/>
                <w:color w:val="auto"/>
              </w:rPr>
            </w:pPr>
            <w:r>
              <w:rPr>
                <w:rFonts w:ascii="Arial" w:cs="Arial" w:eastAsia="Arial" w:hAnsi="Arial"/>
                <w:sz w:val="14"/>
                <w:szCs w:val="14"/>
                <w:color w:val="auto"/>
              </w:rPr>
              <w:t>205,931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540" w:type="dxa"/>
            <w:vAlign w:val="bottom"/>
            <w:gridSpan w:val="2"/>
          </w:tcPr>
          <w:p>
            <w:pPr>
              <w:spacing w:after="0"/>
              <w:rPr>
                <w:sz w:val="20"/>
                <w:szCs w:val="20"/>
                <w:color w:val="auto"/>
              </w:rPr>
            </w:pPr>
            <w:r>
              <w:rPr>
                <w:rFonts w:ascii="Arial" w:cs="Arial" w:eastAsia="Arial" w:hAnsi="Arial"/>
                <w:sz w:val="14"/>
                <w:szCs w:val="14"/>
                <w:color w:val="auto"/>
              </w:rPr>
              <w:t>c) The distribution of income from operations by geographical area was as follows: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10"/>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17"/>
          </w:tcPr>
          <w:p>
            <w:pPr>
              <w:jc w:val="right"/>
              <w:ind w:right="84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top w:val="single" w:sz="8" w:color="auto"/>
            </w:tcBorders>
            <w:gridSpan w:val="7"/>
          </w:tcPr>
          <w:p>
            <w:pPr>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220" w:type="dxa"/>
            <w:vAlign w:val="bottom"/>
            <w:tcBorders>
              <w:top w:val="single" w:sz="8" w:color="auto"/>
            </w:tcBorders>
            <w:gridSpan w:val="2"/>
          </w:tcPr>
          <w:p>
            <w:pPr>
              <w:spacing w:after="0"/>
              <w:rPr>
                <w:sz w:val="17"/>
                <w:szCs w:val="17"/>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gridSpan w:val="2"/>
          </w:tcPr>
          <w:p>
            <w:pPr>
              <w:spacing w:after="0"/>
              <w:rPr>
                <w:sz w:val="17"/>
                <w:szCs w:val="17"/>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50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7"/>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6"/>
          </w:tcPr>
          <w:p>
            <w:pPr>
              <w:ind w:left="12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gridSpan w:val="7"/>
            <w:shd w:val="clear" w:color="auto" w:fill="CCEEFF"/>
          </w:tcPr>
          <w:p>
            <w:pPr>
              <w:jc w:val="right"/>
              <w:spacing w:after="0"/>
              <w:rPr>
                <w:sz w:val="20"/>
                <w:szCs w:val="20"/>
                <w:color w:val="auto"/>
              </w:rPr>
            </w:pPr>
            <w:r>
              <w:rPr>
                <w:rFonts w:ascii="Arial" w:cs="Arial" w:eastAsia="Arial" w:hAnsi="Arial"/>
                <w:sz w:val="14"/>
                <w:szCs w:val="14"/>
                <w:color w:val="auto"/>
              </w:rPr>
              <w:t>9,106</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4,261</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9"/>
            <w:shd w:val="clear" w:color="auto" w:fill="CCEEFF"/>
          </w:tcPr>
          <w:p>
            <w:pPr>
              <w:jc w:val="right"/>
              <w:ind w:right="28"/>
              <w:spacing w:after="0"/>
              <w:rPr>
                <w:sz w:val="20"/>
                <w:szCs w:val="20"/>
                <w:color w:val="auto"/>
              </w:rPr>
            </w:pPr>
            <w:r>
              <w:rPr>
                <w:rFonts w:ascii="Arial" w:cs="Arial" w:eastAsia="Arial" w:hAnsi="Arial"/>
                <w:sz w:val="14"/>
                <w:szCs w:val="14"/>
                <w:color w:val="auto"/>
              </w:rPr>
              <w:t>19,938</w:t>
            </w:r>
          </w:p>
        </w:tc>
        <w:tc>
          <w:tcPr>
            <w:tcW w:w="42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76"/>
              </w:rPr>
              <w:t>$</w:t>
            </w:r>
          </w:p>
        </w:tc>
        <w:tc>
          <w:tcPr>
            <w:tcW w:w="940" w:type="dxa"/>
            <w:vAlign w:val="bottom"/>
            <w:gridSpan w:val="8"/>
            <w:shd w:val="clear" w:color="auto" w:fill="CCEEFF"/>
          </w:tcPr>
          <w:p>
            <w:pPr>
              <w:jc w:val="right"/>
              <w:ind w:right="100"/>
              <w:spacing w:after="0"/>
              <w:rPr>
                <w:sz w:val="20"/>
                <w:szCs w:val="20"/>
                <w:color w:val="auto"/>
              </w:rPr>
            </w:pPr>
            <w:r>
              <w:rPr>
                <w:rFonts w:ascii="Arial" w:cs="Arial" w:eastAsia="Arial" w:hAnsi="Arial"/>
                <w:sz w:val="14"/>
                <w:szCs w:val="14"/>
                <w:color w:val="auto"/>
              </w:rPr>
              <w:t>3,932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840" w:type="dxa"/>
            <w:vAlign w:val="bottom"/>
          </w:tcPr>
          <w:p>
            <w:pPr>
              <w:spacing w:after="0"/>
              <w:rPr>
                <w:sz w:val="12"/>
                <w:szCs w:val="12"/>
                <w:color w:val="auto"/>
              </w:rPr>
            </w:pPr>
          </w:p>
        </w:tc>
        <w:tc>
          <w:tcPr>
            <w:tcW w:w="86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1,738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6"/>
          </w:tcPr>
          <w:p>
            <w:pPr>
              <w:jc w:val="right"/>
              <w:ind w:right="80"/>
              <w:spacing w:after="0" w:line="149" w:lineRule="exact"/>
              <w:rPr>
                <w:sz w:val="20"/>
                <w:szCs w:val="20"/>
                <w:color w:val="auto"/>
              </w:rPr>
            </w:pPr>
            <w:r>
              <w:rPr>
                <w:rFonts w:ascii="Arial" w:cs="Arial" w:eastAsia="Arial" w:hAnsi="Arial"/>
                <w:sz w:val="14"/>
                <w:szCs w:val="14"/>
                <w:color w:val="auto"/>
              </w:rPr>
              <w:t>1,186</w:t>
            </w:r>
          </w:p>
        </w:tc>
        <w:tc>
          <w:tcPr>
            <w:tcW w:w="440" w:type="dxa"/>
            <w:vAlign w:val="bottom"/>
          </w:tcPr>
          <w:p>
            <w:pPr>
              <w:spacing w:after="0"/>
              <w:rPr>
                <w:sz w:val="12"/>
                <w:szCs w:val="12"/>
                <w:color w:val="auto"/>
              </w:rPr>
            </w:pPr>
          </w:p>
        </w:tc>
        <w:tc>
          <w:tcPr>
            <w:tcW w:w="920" w:type="dxa"/>
            <w:vAlign w:val="bottom"/>
            <w:gridSpan w:val="9"/>
          </w:tcPr>
          <w:p>
            <w:pPr>
              <w:jc w:val="right"/>
              <w:ind w:right="28"/>
              <w:spacing w:after="0" w:line="149" w:lineRule="exact"/>
              <w:rPr>
                <w:sz w:val="20"/>
                <w:szCs w:val="20"/>
                <w:color w:val="auto"/>
              </w:rPr>
            </w:pPr>
            <w:r>
              <w:rPr>
                <w:rFonts w:ascii="Arial" w:cs="Arial" w:eastAsia="Arial" w:hAnsi="Arial"/>
                <w:sz w:val="14"/>
                <w:szCs w:val="14"/>
                <w:color w:val="auto"/>
              </w:rPr>
              <w:t>3,075</w:t>
            </w:r>
          </w:p>
        </w:tc>
        <w:tc>
          <w:tcPr>
            <w:tcW w:w="420" w:type="dxa"/>
            <w:vAlign w:val="bottom"/>
          </w:tcPr>
          <w:p>
            <w:pPr>
              <w:spacing w:after="0"/>
              <w:rPr>
                <w:sz w:val="12"/>
                <w:szCs w:val="12"/>
                <w:color w:val="auto"/>
              </w:rPr>
            </w:pPr>
          </w:p>
        </w:tc>
        <w:tc>
          <w:tcPr>
            <w:tcW w:w="940" w:type="dxa"/>
            <w:vAlign w:val="bottom"/>
            <w:gridSpan w:val="8"/>
          </w:tcPr>
          <w:p>
            <w:pPr>
              <w:jc w:val="right"/>
              <w:ind w:right="100"/>
              <w:spacing w:after="0" w:line="149" w:lineRule="exact"/>
              <w:rPr>
                <w:sz w:val="20"/>
                <w:szCs w:val="20"/>
                <w:color w:val="auto"/>
              </w:rPr>
            </w:pPr>
            <w:r>
              <w:rPr>
                <w:rFonts w:ascii="Arial" w:cs="Arial" w:eastAsia="Arial" w:hAnsi="Arial"/>
                <w:sz w:val="14"/>
                <w:szCs w:val="14"/>
                <w:color w:val="auto"/>
              </w:rPr>
              <w:t>6,371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spacing w:after="0"/>
              <w:rPr>
                <w:sz w:val="12"/>
                <w:szCs w:val="12"/>
                <w:color w:val="auto"/>
              </w:rPr>
            </w:pPr>
          </w:p>
        </w:tc>
        <w:tc>
          <w:tcPr>
            <w:tcW w:w="86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5,268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6"/>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4,496</w:t>
            </w:r>
          </w:p>
        </w:tc>
        <w:tc>
          <w:tcPr>
            <w:tcW w:w="440" w:type="dxa"/>
            <w:vAlign w:val="bottom"/>
            <w:shd w:val="clear" w:color="auto" w:fill="CCEEFF"/>
          </w:tcPr>
          <w:p>
            <w:pPr>
              <w:spacing w:after="0"/>
              <w:rPr>
                <w:sz w:val="12"/>
                <w:szCs w:val="12"/>
                <w:color w:val="auto"/>
              </w:rPr>
            </w:pPr>
          </w:p>
        </w:tc>
        <w:tc>
          <w:tcPr>
            <w:tcW w:w="920" w:type="dxa"/>
            <w:vAlign w:val="bottom"/>
            <w:gridSpan w:val="9"/>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7,697</w:t>
            </w:r>
          </w:p>
        </w:tc>
        <w:tc>
          <w:tcPr>
            <w:tcW w:w="420" w:type="dxa"/>
            <w:vAlign w:val="bottom"/>
            <w:shd w:val="clear" w:color="auto" w:fill="CCEEFF"/>
          </w:tcPr>
          <w:p>
            <w:pPr>
              <w:spacing w:after="0"/>
              <w:rPr>
                <w:sz w:val="12"/>
                <w:szCs w:val="12"/>
                <w:color w:val="auto"/>
              </w:rPr>
            </w:pPr>
          </w:p>
        </w:tc>
        <w:tc>
          <w:tcPr>
            <w:tcW w:w="940" w:type="dxa"/>
            <w:vAlign w:val="bottom"/>
            <w:gridSpan w:val="8"/>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the World</w:t>
            </w:r>
          </w:p>
        </w:tc>
        <w:tc>
          <w:tcPr>
            <w:tcW w:w="840" w:type="dxa"/>
            <w:vAlign w:val="bottom"/>
          </w:tcPr>
          <w:p>
            <w:pPr>
              <w:spacing w:after="0"/>
              <w:rPr>
                <w:sz w:val="13"/>
                <w:szCs w:val="13"/>
                <w:color w:val="auto"/>
              </w:rPr>
            </w:pPr>
          </w:p>
        </w:tc>
        <w:tc>
          <w:tcPr>
            <w:tcW w:w="960" w:type="dxa"/>
            <w:vAlign w:val="bottom"/>
            <w:gridSpan w:val="8"/>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6"/>
          </w:tcPr>
          <w:p>
            <w:pPr>
              <w:jc w:val="right"/>
              <w:ind w:right="80"/>
              <w:spacing w:after="0" w:line="149" w:lineRule="exact"/>
              <w:rPr>
                <w:sz w:val="20"/>
                <w:szCs w:val="20"/>
                <w:color w:val="auto"/>
              </w:rPr>
            </w:pPr>
            <w:r>
              <w:rPr>
                <w:rFonts w:ascii="Arial" w:cs="Arial" w:eastAsia="Arial" w:hAnsi="Arial"/>
                <w:sz w:val="14"/>
                <w:szCs w:val="14"/>
                <w:color w:val="auto"/>
              </w:rPr>
              <w:t>1,393</w:t>
            </w:r>
          </w:p>
        </w:tc>
        <w:tc>
          <w:tcPr>
            <w:tcW w:w="440" w:type="dxa"/>
            <w:vAlign w:val="bottom"/>
          </w:tcPr>
          <w:p>
            <w:pPr>
              <w:spacing w:after="0"/>
              <w:rPr>
                <w:sz w:val="13"/>
                <w:szCs w:val="13"/>
                <w:color w:val="auto"/>
              </w:rPr>
            </w:pPr>
          </w:p>
        </w:tc>
        <w:tc>
          <w:tcPr>
            <w:tcW w:w="82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8"/>
          </w:tcPr>
          <w:p>
            <w:pPr>
              <w:jc w:val="right"/>
              <w:ind w:right="100"/>
              <w:spacing w:after="0" w:line="149" w:lineRule="exact"/>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8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16,060</w:t>
            </w:r>
          </w:p>
        </w:tc>
        <w:tc>
          <w:tcPr>
            <w:tcW w:w="100" w:type="dxa"/>
            <w:vAlign w:val="bottom"/>
          </w:tcPr>
          <w:p>
            <w:pPr>
              <w:spacing w:after="0"/>
              <w:rPr>
                <w:sz w:val="12"/>
                <w:szCs w:val="12"/>
                <w:color w:val="auto"/>
              </w:rPr>
            </w:pPr>
          </w:p>
        </w:tc>
        <w:tc>
          <w:tcPr>
            <w:tcW w:w="5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6"/>
          </w:tcPr>
          <w:p>
            <w:pPr>
              <w:jc w:val="right"/>
              <w:ind w:right="80"/>
              <w:spacing w:after="0" w:line="149" w:lineRule="exact"/>
              <w:rPr>
                <w:sz w:val="20"/>
                <w:szCs w:val="20"/>
                <w:color w:val="auto"/>
              </w:rPr>
            </w:pPr>
            <w:r>
              <w:rPr>
                <w:rFonts w:ascii="Arial" w:cs="Arial" w:eastAsia="Arial" w:hAnsi="Arial"/>
                <w:sz w:val="14"/>
                <w:szCs w:val="14"/>
                <w:color w:val="auto"/>
              </w:rPr>
              <w:t>11,336</w:t>
            </w:r>
          </w:p>
        </w:tc>
        <w:tc>
          <w:tcPr>
            <w:tcW w:w="4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9"/>
          </w:tcPr>
          <w:p>
            <w:pPr>
              <w:jc w:val="right"/>
              <w:ind w:right="28"/>
              <w:spacing w:after="0" w:line="149" w:lineRule="exact"/>
              <w:rPr>
                <w:sz w:val="20"/>
                <w:szCs w:val="20"/>
                <w:color w:val="auto"/>
              </w:rPr>
            </w:pPr>
            <w:r>
              <w:rPr>
                <w:rFonts w:ascii="Arial" w:cs="Arial" w:eastAsia="Arial" w:hAnsi="Arial"/>
                <w:sz w:val="14"/>
                <w:szCs w:val="14"/>
                <w:color w:val="auto"/>
              </w:rPr>
              <w:t>30,752</w:t>
            </w:r>
          </w:p>
        </w:tc>
        <w:tc>
          <w:tcPr>
            <w:tcW w:w="4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8"/>
          </w:tcPr>
          <w:p>
            <w:pPr>
              <w:jc w:val="right"/>
              <w:ind w:right="100"/>
              <w:spacing w:after="0" w:line="149" w:lineRule="exact"/>
              <w:rPr>
                <w:sz w:val="20"/>
                <w:szCs w:val="20"/>
                <w:color w:val="auto"/>
              </w:rPr>
            </w:pPr>
            <w:r>
              <w:rPr>
                <w:rFonts w:ascii="Arial" w:cs="Arial" w:eastAsia="Arial" w:hAnsi="Arial"/>
                <w:sz w:val="14"/>
                <w:szCs w:val="14"/>
                <w:color w:val="auto"/>
              </w:rPr>
              <w:t>21,402</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540" w:type="dxa"/>
            <w:vAlign w:val="bottom"/>
            <w:gridSpan w:val="2"/>
          </w:tcPr>
          <w:p>
            <w:pPr>
              <w:spacing w:after="0"/>
              <w:rPr>
                <w:sz w:val="20"/>
                <w:szCs w:val="20"/>
                <w:color w:val="auto"/>
              </w:rPr>
            </w:pPr>
            <w:r>
              <w:rPr>
                <w:rFonts w:ascii="Arial" w:cs="Arial" w:eastAsia="Arial" w:hAnsi="Arial"/>
                <w:sz w:val="14"/>
                <w:szCs w:val="14"/>
                <w:color w:val="auto"/>
              </w:rPr>
              <w:t>d) The distribution of income from operations by business segment was as follows: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15"/>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6"/>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June 30,</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1"/>
                <w:szCs w:val="11"/>
                <w:color w:val="auto"/>
              </w:rPr>
            </w:pPr>
          </w:p>
        </w:tc>
        <w:tc>
          <w:tcPr>
            <w:tcW w:w="340" w:type="dxa"/>
            <w:vAlign w:val="bottom"/>
            <w:gridSpan w:val="4"/>
          </w:tcPr>
          <w:p>
            <w:pPr>
              <w:spacing w:after="0"/>
              <w:rPr>
                <w:sz w:val="11"/>
                <w:szCs w:val="11"/>
                <w:color w:val="auto"/>
              </w:rPr>
            </w:pPr>
          </w:p>
        </w:tc>
        <w:tc>
          <w:tcPr>
            <w:tcW w:w="58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99"/>
              </w:rPr>
              <w:t>June 30,</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5"/>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5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86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74"/>
              </w:rPr>
              <w:t>thousands)</w:t>
            </w:r>
          </w:p>
        </w:tc>
        <w:tc>
          <w:tcPr>
            <w:tcW w:w="5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top w:val="single" w:sz="8" w:color="auto"/>
            </w:tcBorders>
            <w:gridSpan w:val="6"/>
          </w:tcPr>
          <w:p>
            <w:pPr>
              <w:ind w:left="220"/>
              <w:spacing w:after="0" w:line="129" w:lineRule="exact"/>
              <w:rPr>
                <w:sz w:val="20"/>
                <w:szCs w:val="20"/>
                <w:color w:val="auto"/>
              </w:rPr>
            </w:pPr>
            <w:r>
              <w:rPr>
                <w:rFonts w:ascii="Arial" w:cs="Arial" w:eastAsia="Arial" w:hAnsi="Arial"/>
                <w:sz w:val="14"/>
                <w:szCs w:val="14"/>
                <w:b w:val="1"/>
                <w:bCs w:val="1"/>
                <w:color w:val="auto"/>
                <w:w w:val="83"/>
              </w:rPr>
              <w:t>2007</w:t>
            </w:r>
          </w:p>
        </w:tc>
        <w:tc>
          <w:tcPr>
            <w:tcW w:w="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300" w:type="dxa"/>
            <w:vAlign w:val="bottom"/>
            <w:gridSpan w:val="3"/>
          </w:tcPr>
          <w:p>
            <w:pPr>
              <w:spacing w:after="0"/>
              <w:rPr>
                <w:sz w:val="11"/>
                <w:szCs w:val="11"/>
                <w:color w:val="auto"/>
              </w:rPr>
            </w:pPr>
          </w:p>
        </w:tc>
        <w:tc>
          <w:tcPr>
            <w:tcW w:w="540" w:type="dxa"/>
            <w:vAlign w:val="bottom"/>
            <w:tcBorders>
              <w:top w:val="single" w:sz="8" w:color="auto"/>
            </w:tcBorders>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328"/>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1,793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center"/>
              <w:ind w:right="8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8"/>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Clinical research</w:t>
            </w:r>
          </w:p>
        </w:tc>
        <w:tc>
          <w:tcPr>
            <w:tcW w:w="840" w:type="dxa"/>
            <w:vAlign w:val="bottom"/>
          </w:tcPr>
          <w:p>
            <w:pPr>
              <w:spacing w:after="0"/>
              <w:rPr>
                <w:sz w:val="13"/>
                <w:szCs w:val="13"/>
                <w:color w:val="auto"/>
              </w:rPr>
            </w:pPr>
          </w:p>
        </w:tc>
        <w:tc>
          <w:tcPr>
            <w:tcW w:w="78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15,215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11,013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28,959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7"/>
          </w:tcPr>
          <w:p>
            <w:pPr>
              <w:jc w:val="right"/>
              <w:ind w:right="40"/>
              <w:spacing w:after="0" w:line="149" w:lineRule="exact"/>
              <w:rPr>
                <w:sz w:val="20"/>
                <w:szCs w:val="20"/>
                <w:color w:val="auto"/>
              </w:rPr>
            </w:pPr>
            <w:r>
              <w:rPr>
                <w:rFonts w:ascii="Arial" w:cs="Arial" w:eastAsia="Arial" w:hAnsi="Arial"/>
                <w:sz w:val="14"/>
                <w:szCs w:val="14"/>
                <w:color w:val="auto"/>
              </w:rPr>
              <w:t>21,736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16,060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11,336</w:t>
            </w:r>
          </w:p>
        </w:tc>
        <w:tc>
          <w:tcPr>
            <w:tcW w:w="80" w:type="dxa"/>
            <w:vAlign w:val="bottom"/>
          </w:tcPr>
          <w:p>
            <w:pPr>
              <w:spacing w:after="0"/>
              <w:rPr>
                <w:sz w:val="12"/>
                <w:szCs w:val="12"/>
                <w:color w:val="auto"/>
              </w:rPr>
            </w:pPr>
          </w:p>
        </w:tc>
        <w:tc>
          <w:tcPr>
            <w:tcW w:w="4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30,752</w:t>
            </w:r>
          </w:p>
        </w:tc>
        <w:tc>
          <w:tcPr>
            <w:tcW w:w="100" w:type="dxa"/>
            <w:vAlign w:val="bottom"/>
          </w:tcPr>
          <w:p>
            <w:pPr>
              <w:spacing w:after="0"/>
              <w:rPr>
                <w:sz w:val="12"/>
                <w:szCs w:val="12"/>
                <w:color w:val="auto"/>
              </w:rPr>
            </w:pPr>
          </w:p>
        </w:tc>
        <w:tc>
          <w:tcPr>
            <w:tcW w:w="42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7"/>
          </w:tcPr>
          <w:p>
            <w:pPr>
              <w:jc w:val="right"/>
              <w:ind w:right="40"/>
              <w:spacing w:after="0" w:line="149" w:lineRule="exact"/>
              <w:rPr>
                <w:sz w:val="20"/>
                <w:szCs w:val="20"/>
                <w:color w:val="auto"/>
              </w:rPr>
            </w:pPr>
            <w:r>
              <w:rPr>
                <w:rFonts w:ascii="Arial" w:cs="Arial" w:eastAsia="Arial" w:hAnsi="Arial"/>
                <w:sz w:val="14"/>
                <w:szCs w:val="14"/>
                <w:color w:val="auto"/>
              </w:rPr>
              <w:t>21,402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540" w:type="dxa"/>
            <w:vAlign w:val="bottom"/>
            <w:gridSpan w:val="2"/>
          </w:tcPr>
          <w:p>
            <w:pPr>
              <w:spacing w:after="0"/>
              <w:rPr>
                <w:sz w:val="20"/>
                <w:szCs w:val="20"/>
                <w:color w:val="auto"/>
              </w:rPr>
            </w:pPr>
            <w:r>
              <w:rPr>
                <w:rFonts w:ascii="Arial" w:cs="Arial" w:eastAsia="Arial" w:hAnsi="Arial"/>
                <w:sz w:val="14"/>
                <w:szCs w:val="14"/>
                <w:color w:val="auto"/>
                <w:w w:val="94"/>
              </w:rPr>
              <w:t>e) The distribution of property, plant and equipment, net, by geographical area was as follows: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7"/>
          </w:tcPr>
          <w:p>
            <w:pPr>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24"/>
                <w:szCs w:val="24"/>
                <w:color w:val="auto"/>
              </w:rPr>
            </w:pPr>
          </w:p>
        </w:tc>
        <w:tc>
          <w:tcPr>
            <w:tcW w:w="94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gridSpan w:val="3"/>
          </w:tcPr>
          <w:p>
            <w:pPr>
              <w:spacing w:after="0"/>
              <w:rPr>
                <w:sz w:val="11"/>
                <w:szCs w:val="11"/>
                <w:color w:val="auto"/>
              </w:rPr>
            </w:pPr>
          </w:p>
        </w:tc>
        <w:tc>
          <w:tcPr>
            <w:tcW w:w="50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Borders>
              <w:top w:val="single" w:sz="8" w:color="auto"/>
            </w:tcBorders>
            <w:gridSpan w:val="7"/>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60" w:type="dxa"/>
            <w:vAlign w:val="bottom"/>
            <w:gridSpan w:val="8"/>
            <w:vMerge w:val="restart"/>
          </w:tcPr>
          <w:p>
            <w:pPr>
              <w:jc w:val="center"/>
              <w:ind w:right="520"/>
              <w:spacing w:after="0"/>
              <w:rPr>
                <w:sz w:val="20"/>
                <w:szCs w:val="20"/>
                <w:color w:val="auto"/>
              </w:rPr>
            </w:pPr>
            <w:r>
              <w:rPr>
                <w:rFonts w:ascii="Arial" w:cs="Arial" w:eastAsia="Arial" w:hAnsi="Arial"/>
                <w:sz w:val="14"/>
                <w:szCs w:val="14"/>
                <w:b w:val="1"/>
                <w:bCs w:val="1"/>
                <w:color w:val="auto"/>
                <w:w w:val="71"/>
              </w:rPr>
              <w:t>thousands)</w:t>
            </w: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8"/>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9"/>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52,740</w:t>
            </w:r>
          </w:p>
        </w:tc>
        <w:tc>
          <w:tcPr>
            <w:tcW w:w="420" w:type="dxa"/>
            <w:vAlign w:val="bottom"/>
            <w:shd w:val="clear" w:color="auto" w:fill="CCEEFF"/>
          </w:tcPr>
          <w:p>
            <w:pPr>
              <w:jc w:val="center"/>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8"/>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9"/>
          </w:tcPr>
          <w:p>
            <w:pPr>
              <w:jc w:val="right"/>
              <w:ind w:right="28"/>
              <w:spacing w:after="0" w:line="149" w:lineRule="exact"/>
              <w:rPr>
                <w:sz w:val="20"/>
                <w:szCs w:val="20"/>
                <w:color w:val="auto"/>
              </w:rPr>
            </w:pPr>
            <w:r>
              <w:rPr>
                <w:rFonts w:ascii="Arial" w:cs="Arial" w:eastAsia="Arial" w:hAnsi="Arial"/>
                <w:sz w:val="14"/>
                <w:szCs w:val="14"/>
                <w:color w:val="auto"/>
              </w:rPr>
              <w:t>10,405</w:t>
            </w:r>
          </w:p>
        </w:tc>
        <w:tc>
          <w:tcPr>
            <w:tcW w:w="420" w:type="dxa"/>
            <w:vAlign w:val="bottom"/>
          </w:tcPr>
          <w:p>
            <w:pPr>
              <w:spacing w:after="0"/>
              <w:rPr>
                <w:sz w:val="12"/>
                <w:szCs w:val="12"/>
                <w:color w:val="auto"/>
              </w:rPr>
            </w:pPr>
          </w:p>
        </w:tc>
        <w:tc>
          <w:tcPr>
            <w:tcW w:w="940" w:type="dxa"/>
            <w:vAlign w:val="bottom"/>
            <w:gridSpan w:val="8"/>
          </w:tcPr>
          <w:p>
            <w:pPr>
              <w:jc w:val="right"/>
              <w:ind w:right="100"/>
              <w:spacing w:after="0" w:line="149" w:lineRule="exact"/>
              <w:rPr>
                <w:sz w:val="20"/>
                <w:szCs w:val="20"/>
                <w:color w:val="auto"/>
              </w:rPr>
            </w:pPr>
            <w:r>
              <w:rPr>
                <w:rFonts w:ascii="Arial" w:cs="Arial" w:eastAsia="Arial" w:hAnsi="Arial"/>
                <w:sz w:val="14"/>
                <w:szCs w:val="14"/>
                <w:color w:val="auto"/>
              </w:rPr>
              <w:t>9,213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gridSpan w:val="9"/>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23,683</w:t>
            </w:r>
          </w:p>
        </w:tc>
        <w:tc>
          <w:tcPr>
            <w:tcW w:w="420" w:type="dxa"/>
            <w:vAlign w:val="bottom"/>
            <w:shd w:val="clear" w:color="auto" w:fill="CCEEFF"/>
          </w:tcPr>
          <w:p>
            <w:pPr>
              <w:spacing w:after="0"/>
              <w:rPr>
                <w:sz w:val="12"/>
                <w:szCs w:val="12"/>
                <w:color w:val="auto"/>
              </w:rPr>
            </w:pPr>
          </w:p>
        </w:tc>
        <w:tc>
          <w:tcPr>
            <w:tcW w:w="940" w:type="dxa"/>
            <w:vAlign w:val="bottom"/>
            <w:gridSpan w:val="8"/>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9"/>
          </w:tcPr>
          <w:p>
            <w:pPr>
              <w:jc w:val="right"/>
              <w:ind w:right="28"/>
              <w:spacing w:after="0" w:line="149" w:lineRule="exact"/>
              <w:rPr>
                <w:sz w:val="20"/>
                <w:szCs w:val="20"/>
                <w:color w:val="auto"/>
              </w:rPr>
            </w:pPr>
            <w:r>
              <w:rPr>
                <w:rFonts w:ascii="Arial" w:cs="Arial" w:eastAsia="Arial" w:hAnsi="Arial"/>
                <w:sz w:val="14"/>
                <w:szCs w:val="14"/>
                <w:color w:val="auto"/>
              </w:rPr>
              <w:t>4,412</w:t>
            </w: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7"/>
          </w:tcPr>
          <w:p>
            <w:pPr>
              <w:jc w:val="right"/>
              <w:spacing w:after="0" w:line="149" w:lineRule="exact"/>
              <w:rPr>
                <w:sz w:val="20"/>
                <w:szCs w:val="20"/>
                <w:color w:val="auto"/>
              </w:rPr>
            </w:pPr>
            <w:r>
              <w:rPr>
                <w:rFonts w:ascii="Arial" w:cs="Arial" w:eastAsia="Arial" w:hAnsi="Arial"/>
                <w:sz w:val="14"/>
                <w:szCs w:val="14"/>
                <w:color w:val="auto"/>
              </w:rPr>
              <w:t>3,575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9"/>
          </w:tcPr>
          <w:p>
            <w:pPr>
              <w:jc w:val="right"/>
              <w:ind w:right="28"/>
              <w:spacing w:after="0" w:line="149" w:lineRule="exact"/>
              <w:rPr>
                <w:sz w:val="20"/>
                <w:szCs w:val="20"/>
                <w:color w:val="auto"/>
              </w:rPr>
            </w:pPr>
            <w:r>
              <w:rPr>
                <w:rFonts w:ascii="Arial" w:cs="Arial" w:eastAsia="Arial" w:hAnsi="Arial"/>
                <w:sz w:val="14"/>
                <w:szCs w:val="14"/>
                <w:color w:val="auto"/>
              </w:rPr>
              <w:t>91,240</w:t>
            </w:r>
          </w:p>
        </w:tc>
        <w:tc>
          <w:tcPr>
            <w:tcW w:w="42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8"/>
          </w:tcPr>
          <w:p>
            <w:pPr>
              <w:jc w:val="right"/>
              <w:ind w:right="100"/>
              <w:spacing w:after="0" w:line="149" w:lineRule="exact"/>
              <w:rPr>
                <w:sz w:val="20"/>
                <w:szCs w:val="20"/>
                <w:color w:val="auto"/>
              </w:rPr>
            </w:pPr>
            <w:r>
              <w:rPr>
                <w:rFonts w:ascii="Arial" w:cs="Arial" w:eastAsia="Arial" w:hAnsi="Arial"/>
                <w:sz w:val="14"/>
                <w:szCs w:val="14"/>
                <w:color w:val="auto"/>
              </w:rPr>
              <w:t>68,208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40" w:type="dxa"/>
            <w:vAlign w:val="bottom"/>
          </w:tcPr>
          <w:p>
            <w:pPr>
              <w:jc w:val="right"/>
              <w:ind w:right="52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5520" w:type="dxa"/>
            <w:vAlign w:val="bottom"/>
            <w:gridSpan w:val="2"/>
          </w:tcPr>
          <w:p>
            <w:pPr>
              <w:spacing w:after="0"/>
              <w:rPr>
                <w:sz w:val="20"/>
                <w:szCs w:val="20"/>
                <w:color w:val="auto"/>
              </w:rPr>
            </w:pPr>
            <w:r>
              <w:rPr>
                <w:rFonts w:ascii="Arial" w:cs="Arial" w:eastAsia="Arial" w:hAnsi="Arial"/>
                <w:sz w:val="14"/>
                <w:szCs w:val="14"/>
                <w:color w:val="auto"/>
                <w:w w:val="95"/>
              </w:rPr>
              <w:t>f) The distribution of property, plant and equipment, net, by business segment was as follows:</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11"/>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24"/>
                <w:szCs w:val="24"/>
                <w:color w:val="auto"/>
              </w:rPr>
            </w:pPr>
          </w:p>
        </w:tc>
        <w:tc>
          <w:tcPr>
            <w:tcW w:w="980" w:type="dxa"/>
            <w:vAlign w:val="bottom"/>
            <w:gridSpan w:val="10"/>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Borders>
              <w:top w:val="single" w:sz="8" w:color="auto"/>
            </w:tcBorders>
            <w:gridSpan w:val="8"/>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Borders>
              <w:top w:val="single" w:sz="8" w:color="auto"/>
            </w:tcBorders>
            <w:gridSpan w:val="8"/>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gridSpan w:val="4"/>
          </w:tcPr>
          <w:p>
            <w:pPr>
              <w:jc w:val="center"/>
              <w:ind w:right="88"/>
              <w:spacing w:after="0" w:line="142" w:lineRule="exact"/>
              <w:rPr>
                <w:sz w:val="20"/>
                <w:szCs w:val="20"/>
                <w:color w:val="auto"/>
              </w:rPr>
            </w:pPr>
            <w:r>
              <w:rPr>
                <w:rFonts w:ascii="Arial" w:cs="Arial" w:eastAsia="Arial" w:hAnsi="Arial"/>
                <w:sz w:val="14"/>
                <w:szCs w:val="14"/>
                <w:b w:val="1"/>
                <w:bCs w:val="1"/>
                <w:color w:val="auto"/>
                <w:w w:val="81"/>
              </w:rPr>
              <w:t>(in</w:t>
            </w:r>
          </w:p>
        </w:tc>
        <w:tc>
          <w:tcPr>
            <w:tcW w:w="1080" w:type="dxa"/>
            <w:vAlign w:val="bottom"/>
            <w:gridSpan w:val="9"/>
          </w:tcPr>
          <w:p>
            <w:pPr>
              <w:jc w:val="center"/>
              <w:ind w:right="468"/>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10"/>
            <w:shd w:val="clear" w:color="auto" w:fill="CCEEFF"/>
          </w:tcPr>
          <w:p>
            <w:pPr>
              <w:jc w:val="right"/>
              <w:spacing w:after="0" w:line="149" w:lineRule="exact"/>
              <w:rPr>
                <w:sz w:val="20"/>
                <w:szCs w:val="20"/>
                <w:color w:val="auto"/>
              </w:rPr>
            </w:pPr>
            <w:r>
              <w:rPr>
                <w:rFonts w:ascii="Arial" w:cs="Arial" w:eastAsia="Arial" w:hAnsi="Arial"/>
                <w:sz w:val="14"/>
                <w:szCs w:val="14"/>
                <w:color w:val="auto"/>
              </w:rPr>
              <w:t>5,256</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9"/>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Clinical research</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10"/>
          </w:tcPr>
          <w:p>
            <w:pPr>
              <w:jc w:val="right"/>
              <w:spacing w:after="0" w:line="149" w:lineRule="exact"/>
              <w:rPr>
                <w:sz w:val="20"/>
                <w:szCs w:val="20"/>
                <w:color w:val="auto"/>
              </w:rPr>
            </w:pPr>
            <w:r>
              <w:rPr>
                <w:rFonts w:ascii="Arial" w:cs="Arial" w:eastAsia="Arial" w:hAnsi="Arial"/>
                <w:sz w:val="14"/>
                <w:szCs w:val="14"/>
                <w:color w:val="auto"/>
              </w:rPr>
              <w:t>85,984</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9"/>
          </w:tcPr>
          <w:p>
            <w:pPr>
              <w:jc w:val="right"/>
              <w:ind w:right="40"/>
              <w:spacing w:after="0" w:line="149" w:lineRule="exact"/>
              <w:rPr>
                <w:sz w:val="20"/>
                <w:szCs w:val="20"/>
                <w:color w:val="auto"/>
              </w:rPr>
            </w:pPr>
            <w:r>
              <w:rPr>
                <w:rFonts w:ascii="Arial" w:cs="Arial" w:eastAsia="Arial" w:hAnsi="Arial"/>
                <w:sz w:val="14"/>
                <w:szCs w:val="14"/>
                <w:color w:val="auto"/>
              </w:rPr>
              <w:t>63,158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10"/>
          </w:tcPr>
          <w:p>
            <w:pPr>
              <w:jc w:val="right"/>
              <w:spacing w:after="0" w:line="149" w:lineRule="exact"/>
              <w:rPr>
                <w:sz w:val="20"/>
                <w:szCs w:val="20"/>
                <w:color w:val="auto"/>
              </w:rPr>
            </w:pPr>
            <w:r>
              <w:rPr>
                <w:rFonts w:ascii="Arial" w:cs="Arial" w:eastAsia="Arial" w:hAnsi="Arial"/>
                <w:sz w:val="14"/>
                <w:szCs w:val="14"/>
                <w:color w:val="auto"/>
              </w:rPr>
              <w:t>91,240</w:t>
            </w:r>
          </w:p>
        </w:tc>
        <w:tc>
          <w:tcPr>
            <w:tcW w:w="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9"/>
          </w:tcPr>
          <w:p>
            <w:pPr>
              <w:jc w:val="right"/>
              <w:ind w:right="40"/>
              <w:spacing w:after="0" w:line="149" w:lineRule="exact"/>
              <w:rPr>
                <w:sz w:val="20"/>
                <w:szCs w:val="20"/>
                <w:color w:val="auto"/>
              </w:rPr>
            </w:pPr>
            <w:r>
              <w:rPr>
                <w:rFonts w:ascii="Arial" w:cs="Arial" w:eastAsia="Arial" w:hAnsi="Arial"/>
                <w:sz w:val="14"/>
                <w:szCs w:val="14"/>
                <w:color w:val="auto"/>
              </w:rPr>
              <w:t>68,208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520" w:type="dxa"/>
            <w:vAlign w:val="bottom"/>
            <w:gridSpan w:val="2"/>
          </w:tcPr>
          <w:p>
            <w:pPr>
              <w:spacing w:after="0"/>
              <w:rPr>
                <w:sz w:val="20"/>
                <w:szCs w:val="20"/>
                <w:color w:val="auto"/>
              </w:rPr>
            </w:pPr>
            <w:r>
              <w:rPr>
                <w:rFonts w:ascii="Arial" w:cs="Arial" w:eastAsia="Arial" w:hAnsi="Arial"/>
                <w:sz w:val="14"/>
                <w:szCs w:val="14"/>
                <w:color w:val="auto"/>
              </w:rPr>
              <w:t>g) The distribution of depreciation and amortization by geographical area was as follows: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9"/>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18"/>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gridSpan w:val="7"/>
          </w:tcPr>
          <w:p>
            <w:pPr>
              <w:spacing w:after="0" w:line="129" w:lineRule="exact"/>
              <w:rPr>
                <w:sz w:val="20"/>
                <w:szCs w:val="20"/>
                <w:color w:val="auto"/>
              </w:rPr>
            </w:pPr>
            <w:r>
              <w:rPr>
                <w:rFonts w:ascii="Arial" w:cs="Arial" w:eastAsia="Arial" w:hAnsi="Arial"/>
                <w:sz w:val="14"/>
                <w:szCs w:val="14"/>
                <w:b w:val="1"/>
                <w:bCs w:val="1"/>
                <w:color w:val="auto"/>
                <w:w w:val="82"/>
              </w:rPr>
              <w:t>June 30,</w:t>
            </w: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6"/>
          </w:tcPr>
          <w:p>
            <w:pPr>
              <w:jc w:val="right"/>
              <w:ind w:right="100"/>
              <w:spacing w:after="0" w:line="12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5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520" w:type="dxa"/>
            <w:vAlign w:val="bottom"/>
            <w:tcBorders>
              <w:top w:val="single" w:sz="8" w:color="auto"/>
            </w:tcBorders>
            <w:gridSpan w:val="8"/>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gridSpan w:val="2"/>
          </w:tcPr>
          <w:p>
            <w:pPr>
              <w:jc w:val="right"/>
              <w:ind w:right="88"/>
              <w:spacing w:after="0" w:line="143" w:lineRule="exact"/>
              <w:rPr>
                <w:sz w:val="20"/>
                <w:szCs w:val="20"/>
                <w:color w:val="auto"/>
              </w:rPr>
            </w:pPr>
            <w:r>
              <w:rPr>
                <w:rFonts w:ascii="Arial" w:cs="Arial" w:eastAsia="Arial" w:hAnsi="Arial"/>
                <w:sz w:val="13"/>
                <w:szCs w:val="13"/>
                <w:b w:val="1"/>
                <w:bCs w:val="1"/>
                <w:color w:val="auto"/>
                <w:w w:val="75"/>
              </w:rPr>
              <w:t>(in</w:t>
            </w:r>
          </w:p>
        </w:tc>
        <w:tc>
          <w:tcPr>
            <w:tcW w:w="78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1"/>
                <w:szCs w:val="11"/>
                <w:b w:val="1"/>
                <w:bCs w:val="1"/>
                <w:color w:val="auto"/>
                <w:w w:val="74"/>
              </w:rPr>
              <w:t>(in</w:t>
            </w:r>
          </w:p>
        </w:tc>
        <w:tc>
          <w:tcPr>
            <w:tcW w:w="1060" w:type="dxa"/>
            <w:vAlign w:val="bottom"/>
            <w:gridSpan w:val="9"/>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00" w:type="dxa"/>
            <w:vAlign w:val="bottom"/>
            <w:tcBorders>
              <w:top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8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68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6"/>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1,306</w:t>
            </w:r>
          </w:p>
        </w:tc>
        <w:tc>
          <w:tcPr>
            <w:tcW w:w="4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11"/>
            <w:shd w:val="clear" w:color="auto" w:fill="CCEEFF"/>
          </w:tcPr>
          <w:p>
            <w:pPr>
              <w:jc w:val="right"/>
              <w:spacing w:after="0" w:line="149" w:lineRule="exact"/>
              <w:rPr>
                <w:sz w:val="20"/>
                <w:szCs w:val="20"/>
                <w:color w:val="auto"/>
              </w:rPr>
            </w:pPr>
            <w:r>
              <w:rPr>
                <w:rFonts w:ascii="Arial" w:cs="Arial" w:eastAsia="Arial" w:hAnsi="Arial"/>
                <w:sz w:val="14"/>
                <w:szCs w:val="14"/>
                <w:color w:val="auto"/>
              </w:rPr>
              <w:t>2,762</w:t>
            </w: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10"/>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860" w:type="dxa"/>
            <w:vAlign w:val="bottom"/>
          </w:tcPr>
          <w:p>
            <w:pPr>
              <w:spacing w:after="0"/>
              <w:rPr>
                <w:sz w:val="12"/>
                <w:szCs w:val="12"/>
                <w:color w:val="auto"/>
              </w:rPr>
            </w:pPr>
          </w:p>
        </w:tc>
        <w:tc>
          <w:tcPr>
            <w:tcW w:w="86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747</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612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11"/>
          </w:tcPr>
          <w:p>
            <w:pPr>
              <w:jc w:val="right"/>
              <w:spacing w:after="0" w:line="149" w:lineRule="exact"/>
              <w:rPr>
                <w:sz w:val="20"/>
                <w:szCs w:val="20"/>
                <w:color w:val="auto"/>
              </w:rPr>
            </w:pPr>
            <w:r>
              <w:rPr>
                <w:rFonts w:ascii="Arial" w:cs="Arial" w:eastAsia="Arial" w:hAnsi="Arial"/>
                <w:sz w:val="14"/>
                <w:szCs w:val="14"/>
                <w:color w:val="auto"/>
              </w:rPr>
              <w:t>1,452</w:t>
            </w:r>
          </w:p>
        </w:tc>
        <w:tc>
          <w:tcPr>
            <w:tcW w:w="460" w:type="dxa"/>
            <w:vAlign w:val="bottom"/>
          </w:tcPr>
          <w:p>
            <w:pPr>
              <w:spacing w:after="0"/>
              <w:rPr>
                <w:sz w:val="12"/>
                <w:szCs w:val="12"/>
                <w:color w:val="auto"/>
              </w:rPr>
            </w:pPr>
          </w:p>
        </w:tc>
        <w:tc>
          <w:tcPr>
            <w:tcW w:w="980" w:type="dxa"/>
            <w:vAlign w:val="bottom"/>
            <w:gridSpan w:val="10"/>
          </w:tcPr>
          <w:p>
            <w:pPr>
              <w:jc w:val="right"/>
              <w:ind w:right="100"/>
              <w:spacing w:after="0" w:line="149"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60" w:type="dxa"/>
            <w:vAlign w:val="bottom"/>
            <w:shd w:val="clear" w:color="auto" w:fill="CCEEFF"/>
          </w:tcPr>
          <w:p>
            <w:pPr>
              <w:spacing w:after="0"/>
              <w:rPr>
                <w:sz w:val="12"/>
                <w:szCs w:val="12"/>
                <w:color w:val="auto"/>
              </w:rPr>
            </w:pPr>
          </w:p>
        </w:tc>
        <w:tc>
          <w:tcPr>
            <w:tcW w:w="86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1,929</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6"/>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1,576</w:t>
            </w:r>
          </w:p>
        </w:tc>
        <w:tc>
          <w:tcPr>
            <w:tcW w:w="440" w:type="dxa"/>
            <w:vAlign w:val="bottom"/>
            <w:shd w:val="clear" w:color="auto" w:fill="CCEEFF"/>
          </w:tcPr>
          <w:p>
            <w:pPr>
              <w:spacing w:after="0"/>
              <w:rPr>
                <w:sz w:val="12"/>
                <w:szCs w:val="12"/>
                <w:color w:val="auto"/>
              </w:rPr>
            </w:pPr>
          </w:p>
        </w:tc>
        <w:tc>
          <w:tcPr>
            <w:tcW w:w="840" w:type="dxa"/>
            <w:vAlign w:val="bottom"/>
            <w:gridSpan w:val="11"/>
            <w:shd w:val="clear" w:color="auto" w:fill="CCEEFF"/>
          </w:tcPr>
          <w:p>
            <w:pPr>
              <w:jc w:val="right"/>
              <w:spacing w:after="0" w:line="149" w:lineRule="exact"/>
              <w:rPr>
                <w:sz w:val="20"/>
                <w:szCs w:val="20"/>
                <w:color w:val="auto"/>
              </w:rPr>
            </w:pPr>
            <w:r>
              <w:rPr>
                <w:rFonts w:ascii="Arial" w:cs="Arial" w:eastAsia="Arial" w:hAnsi="Arial"/>
                <w:sz w:val="14"/>
                <w:szCs w:val="14"/>
                <w:color w:val="auto"/>
              </w:rPr>
              <w:t>3,721</w:t>
            </w:r>
          </w:p>
        </w:tc>
        <w:tc>
          <w:tcPr>
            <w:tcW w:w="460" w:type="dxa"/>
            <w:vAlign w:val="bottom"/>
            <w:shd w:val="clear" w:color="auto" w:fill="CCEEFF"/>
          </w:tcPr>
          <w:p>
            <w:pPr>
              <w:spacing w:after="0"/>
              <w:rPr>
                <w:sz w:val="12"/>
                <w:szCs w:val="12"/>
                <w:color w:val="auto"/>
              </w:rPr>
            </w:pPr>
          </w:p>
        </w:tc>
        <w:tc>
          <w:tcPr>
            <w:tcW w:w="980" w:type="dxa"/>
            <w:vAlign w:val="bottom"/>
            <w:gridSpan w:val="10"/>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Rest of the World</w:t>
            </w:r>
          </w:p>
        </w:tc>
        <w:tc>
          <w:tcPr>
            <w:tcW w:w="860" w:type="dxa"/>
            <w:vAlign w:val="bottom"/>
          </w:tcPr>
          <w:p>
            <w:pPr>
              <w:spacing w:after="0"/>
              <w:rPr>
                <w:sz w:val="13"/>
                <w:szCs w:val="13"/>
                <w:color w:val="auto"/>
              </w:rPr>
            </w:pPr>
          </w:p>
        </w:tc>
        <w:tc>
          <w:tcPr>
            <w:tcW w:w="86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345</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195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gridSpan w:val="11"/>
          </w:tcPr>
          <w:p>
            <w:pPr>
              <w:jc w:val="right"/>
              <w:spacing w:after="0" w:line="149" w:lineRule="exact"/>
              <w:rPr>
                <w:sz w:val="20"/>
                <w:szCs w:val="20"/>
                <w:color w:val="auto"/>
              </w:rPr>
            </w:pPr>
            <w:r>
              <w:rPr>
                <w:rFonts w:ascii="Arial" w:cs="Arial" w:eastAsia="Arial" w:hAnsi="Arial"/>
                <w:sz w:val="14"/>
                <w:szCs w:val="14"/>
                <w:color w:val="auto"/>
              </w:rPr>
              <w:t>671</w:t>
            </w:r>
          </w:p>
        </w:tc>
        <w:tc>
          <w:tcPr>
            <w:tcW w:w="460" w:type="dxa"/>
            <w:vAlign w:val="bottom"/>
          </w:tcPr>
          <w:p>
            <w:pPr>
              <w:spacing w:after="0"/>
              <w:rPr>
                <w:sz w:val="13"/>
                <w:szCs w:val="13"/>
                <w:color w:val="auto"/>
              </w:rPr>
            </w:pPr>
          </w:p>
        </w:tc>
        <w:tc>
          <w:tcPr>
            <w:tcW w:w="980" w:type="dxa"/>
            <w:vAlign w:val="bottom"/>
            <w:gridSpan w:val="10"/>
          </w:tcPr>
          <w:p>
            <w:pPr>
              <w:jc w:val="right"/>
              <w:ind w:right="10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8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4,450</w:t>
            </w: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6"/>
          </w:tcPr>
          <w:p>
            <w:pPr>
              <w:jc w:val="right"/>
              <w:ind w:right="80"/>
              <w:spacing w:after="0" w:line="149" w:lineRule="exact"/>
              <w:rPr>
                <w:sz w:val="20"/>
                <w:szCs w:val="20"/>
                <w:color w:val="auto"/>
              </w:rPr>
            </w:pPr>
            <w:r>
              <w:rPr>
                <w:rFonts w:ascii="Arial" w:cs="Arial" w:eastAsia="Arial" w:hAnsi="Arial"/>
                <w:sz w:val="14"/>
                <w:szCs w:val="14"/>
                <w:color w:val="auto"/>
              </w:rPr>
              <w:t>3,689</w:t>
            </w:r>
          </w:p>
        </w:tc>
        <w:tc>
          <w:tcPr>
            <w:tcW w:w="4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11"/>
          </w:tcPr>
          <w:p>
            <w:pPr>
              <w:jc w:val="right"/>
              <w:spacing w:after="0" w:line="149" w:lineRule="exact"/>
              <w:rPr>
                <w:sz w:val="20"/>
                <w:szCs w:val="20"/>
                <w:color w:val="auto"/>
              </w:rPr>
            </w:pPr>
            <w:r>
              <w:rPr>
                <w:rFonts w:ascii="Arial" w:cs="Arial" w:eastAsia="Arial" w:hAnsi="Arial"/>
                <w:sz w:val="14"/>
                <w:szCs w:val="14"/>
                <w:color w:val="auto"/>
              </w:rPr>
              <w:t>8,606</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10"/>
          </w:tcPr>
          <w:p>
            <w:pPr>
              <w:jc w:val="right"/>
              <w:ind w:right="100"/>
              <w:spacing w:after="0" w:line="149" w:lineRule="exact"/>
              <w:rPr>
                <w:sz w:val="20"/>
                <w:szCs w:val="20"/>
                <w:color w:val="auto"/>
              </w:rPr>
            </w:pPr>
            <w:r>
              <w:rPr>
                <w:rFonts w:ascii="Arial" w:cs="Arial" w:eastAsia="Arial" w:hAnsi="Arial"/>
                <w:sz w:val="14"/>
                <w:szCs w:val="14"/>
                <w:color w:val="auto"/>
              </w:rPr>
              <w:t>7,134</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520" w:type="dxa"/>
            <w:vAlign w:val="bottom"/>
            <w:gridSpan w:val="2"/>
          </w:tcPr>
          <w:p>
            <w:pPr>
              <w:spacing w:after="0"/>
              <w:rPr>
                <w:sz w:val="20"/>
                <w:szCs w:val="20"/>
                <w:color w:val="auto"/>
              </w:rPr>
            </w:pPr>
            <w:r>
              <w:rPr>
                <w:rFonts w:ascii="Arial" w:cs="Arial" w:eastAsia="Arial" w:hAnsi="Arial"/>
                <w:sz w:val="14"/>
                <w:szCs w:val="14"/>
                <w:color w:val="auto"/>
              </w:rPr>
              <w:t>h) The distribution of depreciation and amortization by business segment was as follows: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0"/>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6"/>
          </w:tcPr>
          <w:p>
            <w:pPr>
              <w:jc w:val="right"/>
              <w:ind w:right="8"/>
              <w:spacing w:after="0" w:line="129" w:lineRule="exact"/>
              <w:rPr>
                <w:sz w:val="20"/>
                <w:szCs w:val="20"/>
                <w:color w:val="auto"/>
              </w:rPr>
            </w:pPr>
            <w:r>
              <w:rPr>
                <w:rFonts w:ascii="Arial" w:cs="Arial" w:eastAsia="Arial" w:hAnsi="Arial"/>
                <w:sz w:val="14"/>
                <w:szCs w:val="14"/>
                <w:b w:val="1"/>
                <w:bCs w:val="1"/>
                <w:color w:val="auto"/>
                <w:w w:val="89"/>
              </w:rPr>
              <w:t>June 30,</w:t>
            </w: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6"/>
          </w:tcPr>
          <w:p>
            <w:pPr>
              <w:jc w:val="right"/>
              <w:ind w:right="160"/>
              <w:spacing w:after="0" w:line="129" w:lineRule="exact"/>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1"/>
                <w:szCs w:val="11"/>
                <w:color w:val="auto"/>
              </w:rPr>
            </w:pPr>
          </w:p>
        </w:tc>
        <w:tc>
          <w:tcPr>
            <w:tcW w:w="320" w:type="dxa"/>
            <w:vAlign w:val="bottom"/>
            <w:gridSpan w:val="3"/>
          </w:tcPr>
          <w:p>
            <w:pPr>
              <w:spacing w:after="0"/>
              <w:rPr>
                <w:sz w:val="11"/>
                <w:szCs w:val="11"/>
                <w:color w:val="auto"/>
              </w:rPr>
            </w:pPr>
          </w:p>
        </w:tc>
        <w:tc>
          <w:tcPr>
            <w:tcW w:w="520" w:type="dxa"/>
            <w:vAlign w:val="bottom"/>
            <w:tcBorders>
              <w:top w:val="single" w:sz="8" w:color="auto"/>
            </w:tcBorders>
            <w:gridSpan w:val="8"/>
          </w:tcPr>
          <w:p>
            <w:pPr>
              <w:spacing w:after="0" w:line="129" w:lineRule="exact"/>
              <w:rPr>
                <w:sz w:val="20"/>
                <w:szCs w:val="20"/>
                <w:color w:val="auto"/>
              </w:rPr>
            </w:pPr>
            <w:r>
              <w:rPr>
                <w:rFonts w:ascii="Arial" w:cs="Arial" w:eastAsia="Arial" w:hAnsi="Arial"/>
                <w:sz w:val="14"/>
                <w:szCs w:val="14"/>
                <w:b w:val="1"/>
                <w:bCs w:val="1"/>
                <w:color w:val="auto"/>
                <w:w w:val="89"/>
              </w:rPr>
              <w:t>June 30,</w:t>
            </w: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6"/>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52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top w:val="single" w:sz="8" w:color="auto"/>
            </w:tcBorders>
            <w:gridSpan w:val="7"/>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spacing w:after="0"/>
              <w:rPr>
                <w:sz w:val="11"/>
                <w:szCs w:val="11"/>
                <w:color w:val="auto"/>
              </w:rPr>
            </w:pPr>
          </w:p>
        </w:tc>
        <w:tc>
          <w:tcPr>
            <w:tcW w:w="5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gridSpan w:val="2"/>
          </w:tcPr>
          <w:p>
            <w:pPr>
              <w:jc w:val="right"/>
              <w:ind w:right="93"/>
              <w:spacing w:after="0" w:line="143" w:lineRule="exact"/>
              <w:rPr>
                <w:sz w:val="20"/>
                <w:szCs w:val="20"/>
                <w:color w:val="auto"/>
              </w:rPr>
            </w:pPr>
            <w:r>
              <w:rPr>
                <w:rFonts w:ascii="Arial" w:cs="Arial" w:eastAsia="Arial" w:hAnsi="Arial"/>
                <w:sz w:val="13"/>
                <w:szCs w:val="13"/>
                <w:b w:val="1"/>
                <w:bCs w:val="1"/>
                <w:color w:val="auto"/>
                <w:w w:val="75"/>
              </w:rPr>
              <w:t>(in</w:t>
            </w:r>
          </w:p>
        </w:tc>
        <w:tc>
          <w:tcPr>
            <w:tcW w:w="86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gridSpan w:val="3"/>
          </w:tcPr>
          <w:p>
            <w:pPr>
              <w:jc w:val="center"/>
              <w:ind w:right="83"/>
              <w:spacing w:after="0" w:line="142" w:lineRule="exact"/>
              <w:rPr>
                <w:sz w:val="20"/>
                <w:szCs w:val="20"/>
                <w:color w:val="auto"/>
              </w:rPr>
            </w:pPr>
            <w:r>
              <w:rPr>
                <w:rFonts w:ascii="Arial" w:cs="Arial" w:eastAsia="Arial" w:hAnsi="Arial"/>
                <w:sz w:val="14"/>
                <w:szCs w:val="14"/>
                <w:b w:val="1"/>
                <w:bCs w:val="1"/>
                <w:color w:val="auto"/>
                <w:w w:val="81"/>
              </w:rPr>
              <w:t>(in</w:t>
            </w:r>
          </w:p>
        </w:tc>
        <w:tc>
          <w:tcPr>
            <w:tcW w:w="1100" w:type="dxa"/>
            <w:vAlign w:val="bottom"/>
            <w:gridSpan w:val="10"/>
          </w:tcPr>
          <w:p>
            <w:pPr>
              <w:jc w:val="center"/>
              <w:ind w:right="468"/>
              <w:spacing w:after="0" w:line="142" w:lineRule="exact"/>
              <w:rPr>
                <w:sz w:val="20"/>
                <w:szCs w:val="20"/>
                <w:color w:val="auto"/>
              </w:rPr>
            </w:pPr>
            <w:r>
              <w:rPr>
                <w:rFonts w:ascii="Arial" w:cs="Arial" w:eastAsia="Arial" w:hAnsi="Arial"/>
                <w:sz w:val="14"/>
                <w:szCs w:val="14"/>
                <w:b w:val="1"/>
                <w:bCs w:val="1"/>
                <w:color w:val="auto"/>
                <w:w w:val="74"/>
              </w:rPr>
              <w:t>thousands)</w:t>
            </w:r>
          </w:p>
        </w:tc>
        <w:tc>
          <w:tcPr>
            <w:tcW w:w="280" w:type="dxa"/>
            <w:vAlign w:val="bottom"/>
            <w:tcBorders>
              <w:top w:val="single" w:sz="8" w:color="auto"/>
            </w:tcBorders>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86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center"/>
              <w:ind w:right="228"/>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9"/>
            <w:shd w:val="clear" w:color="auto" w:fill="CCEEFF"/>
          </w:tcPr>
          <w:p>
            <w:pPr>
              <w:jc w:val="right"/>
              <w:spacing w:after="0" w:line="149" w:lineRule="exact"/>
              <w:rPr>
                <w:sz w:val="20"/>
                <w:szCs w:val="20"/>
                <w:color w:val="auto"/>
              </w:rPr>
            </w:pPr>
            <w:r>
              <w:rPr>
                <w:rFonts w:ascii="Arial" w:cs="Arial" w:eastAsia="Arial" w:hAnsi="Arial"/>
                <w:sz w:val="14"/>
                <w:szCs w:val="14"/>
                <w:color w:val="auto"/>
              </w:rPr>
              <w:t>843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9"/>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Clinical research</w:t>
            </w:r>
          </w:p>
        </w:tc>
        <w:tc>
          <w:tcPr>
            <w:tcW w:w="860" w:type="dxa"/>
            <w:vAlign w:val="bottom"/>
          </w:tcPr>
          <w:p>
            <w:pPr>
              <w:spacing w:after="0"/>
              <w:rPr>
                <w:sz w:val="13"/>
                <w:szCs w:val="13"/>
                <w:color w:val="auto"/>
              </w:rPr>
            </w:pPr>
          </w:p>
        </w:tc>
        <w:tc>
          <w:tcPr>
            <w:tcW w:w="78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4,036</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3,373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10"/>
          </w:tcPr>
          <w:p>
            <w:pPr>
              <w:jc w:val="right"/>
              <w:spacing w:after="0" w:line="149" w:lineRule="exact"/>
              <w:rPr>
                <w:sz w:val="20"/>
                <w:szCs w:val="20"/>
                <w:color w:val="auto"/>
              </w:rPr>
            </w:pPr>
            <w:r>
              <w:rPr>
                <w:rFonts w:ascii="Arial" w:cs="Arial" w:eastAsia="Arial" w:hAnsi="Arial"/>
                <w:sz w:val="14"/>
                <w:szCs w:val="14"/>
                <w:color w:val="auto"/>
              </w:rPr>
              <w:t>7,763</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9"/>
          </w:tcPr>
          <w:p>
            <w:pPr>
              <w:jc w:val="right"/>
              <w:ind w:right="40"/>
              <w:spacing w:after="0" w:line="149" w:lineRule="exact"/>
              <w:rPr>
                <w:sz w:val="20"/>
                <w:szCs w:val="20"/>
                <w:color w:val="auto"/>
              </w:rPr>
            </w:pPr>
            <w:r>
              <w:rPr>
                <w:rFonts w:ascii="Arial" w:cs="Arial" w:eastAsia="Arial" w:hAnsi="Arial"/>
                <w:sz w:val="14"/>
                <w:szCs w:val="14"/>
                <w:color w:val="auto"/>
              </w:rPr>
              <w:t>6,512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86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4,450</w:t>
            </w:r>
          </w:p>
        </w:tc>
        <w:tc>
          <w:tcPr>
            <w:tcW w:w="80" w:type="dxa"/>
            <w:vAlign w:val="bottom"/>
          </w:tcPr>
          <w:p>
            <w:pPr>
              <w:spacing w:after="0"/>
              <w:rPr>
                <w:sz w:val="12"/>
                <w:szCs w:val="12"/>
                <w:color w:val="auto"/>
              </w:rPr>
            </w:pPr>
          </w:p>
        </w:tc>
        <w:tc>
          <w:tcPr>
            <w:tcW w:w="68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3,689</w:t>
            </w:r>
          </w:p>
        </w:tc>
        <w:tc>
          <w:tcPr>
            <w:tcW w:w="80" w:type="dxa"/>
            <w:vAlign w:val="bottom"/>
          </w:tcPr>
          <w:p>
            <w:pPr>
              <w:spacing w:after="0"/>
              <w:rPr>
                <w:sz w:val="12"/>
                <w:szCs w:val="12"/>
                <w:color w:val="auto"/>
              </w:rPr>
            </w:pPr>
          </w:p>
        </w:tc>
        <w:tc>
          <w:tcPr>
            <w:tcW w:w="4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10"/>
          </w:tcPr>
          <w:p>
            <w:pPr>
              <w:jc w:val="right"/>
              <w:spacing w:after="0" w:line="149" w:lineRule="exact"/>
              <w:rPr>
                <w:sz w:val="20"/>
                <w:szCs w:val="20"/>
                <w:color w:val="auto"/>
              </w:rPr>
            </w:pPr>
            <w:r>
              <w:rPr>
                <w:rFonts w:ascii="Arial" w:cs="Arial" w:eastAsia="Arial" w:hAnsi="Arial"/>
                <w:sz w:val="14"/>
                <w:szCs w:val="14"/>
                <w:color w:val="auto"/>
              </w:rPr>
              <w:t>8,606</w:t>
            </w:r>
          </w:p>
        </w:tc>
        <w:tc>
          <w:tcPr>
            <w:tcW w:w="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9"/>
          </w:tcPr>
          <w:p>
            <w:pPr>
              <w:jc w:val="right"/>
              <w:ind w:right="40"/>
              <w:spacing w:after="0" w:line="149" w:lineRule="exact"/>
              <w:rPr>
                <w:sz w:val="20"/>
                <w:szCs w:val="20"/>
                <w:color w:val="auto"/>
              </w:rPr>
            </w:pPr>
            <w:r>
              <w:rPr>
                <w:rFonts w:ascii="Arial" w:cs="Arial" w:eastAsia="Arial" w:hAnsi="Arial"/>
                <w:sz w:val="14"/>
                <w:szCs w:val="14"/>
                <w:color w:val="auto"/>
              </w:rPr>
              <w:t>7,134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520" w:type="dxa"/>
            <w:vAlign w:val="bottom"/>
            <w:gridSpan w:val="2"/>
          </w:tcPr>
          <w:p>
            <w:pPr>
              <w:spacing w:after="0"/>
              <w:rPr>
                <w:sz w:val="20"/>
                <w:szCs w:val="20"/>
                <w:color w:val="auto"/>
              </w:rPr>
            </w:pPr>
            <w:r>
              <w:rPr>
                <w:rFonts w:ascii="Arial" w:cs="Arial" w:eastAsia="Arial" w:hAnsi="Arial"/>
                <w:sz w:val="14"/>
                <w:szCs w:val="14"/>
                <w:color w:val="auto"/>
              </w:rPr>
              <w:t>i) The distribution of total assets by geographical area was as follows: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540" w:type="dxa"/>
            <w:vAlign w:val="bottom"/>
            <w:tcBorders>
              <w:top w:val="single" w:sz="8" w:color="auto"/>
            </w:tcBorders>
            <w:gridSpan w:val="9"/>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gridSpan w:val="8"/>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gridSpan w:val="5"/>
          </w:tcPr>
          <w:p>
            <w:pPr>
              <w:jc w:val="center"/>
              <w:ind w:right="108"/>
              <w:spacing w:after="0" w:line="142" w:lineRule="exact"/>
              <w:rPr>
                <w:sz w:val="20"/>
                <w:szCs w:val="20"/>
                <w:color w:val="auto"/>
              </w:rPr>
            </w:pPr>
            <w:r>
              <w:rPr>
                <w:rFonts w:ascii="Arial" w:cs="Arial" w:eastAsia="Arial" w:hAnsi="Arial"/>
                <w:sz w:val="14"/>
                <w:szCs w:val="14"/>
                <w:b w:val="1"/>
                <w:bCs w:val="1"/>
                <w:color w:val="auto"/>
                <w:w w:val="93"/>
              </w:rPr>
              <w:t>(in</w:t>
            </w:r>
          </w:p>
        </w:tc>
        <w:tc>
          <w:tcPr>
            <w:tcW w:w="1040" w:type="dxa"/>
            <w:vAlign w:val="bottom"/>
            <w:gridSpan w:val="8"/>
          </w:tcPr>
          <w:p>
            <w:pPr>
              <w:jc w:val="center"/>
              <w:ind w:right="520"/>
              <w:spacing w:after="0" w:line="143" w:lineRule="exact"/>
              <w:rPr>
                <w:sz w:val="20"/>
                <w:szCs w:val="20"/>
                <w:color w:val="auto"/>
              </w:rPr>
            </w:pPr>
            <w:r>
              <w:rPr>
                <w:rFonts w:ascii="Arial" w:cs="Arial" w:eastAsia="Arial" w:hAnsi="Arial"/>
                <w:sz w:val="13"/>
                <w:szCs w:val="13"/>
                <w:b w:val="1"/>
                <w:bCs w:val="1"/>
                <w:color w:val="auto"/>
                <w:w w:val="74"/>
              </w:rPr>
              <w:t>thousands)</w:t>
            </w:r>
          </w:p>
        </w:tc>
        <w:tc>
          <w:tcPr>
            <w:tcW w:w="300" w:type="dxa"/>
            <w:vAlign w:val="bottom"/>
            <w:tcBorders>
              <w:top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11"/>
            <w:shd w:val="clear" w:color="auto" w:fill="CCEEFF"/>
          </w:tcPr>
          <w:p>
            <w:pPr>
              <w:jc w:val="right"/>
              <w:spacing w:after="0" w:line="149" w:lineRule="exact"/>
              <w:rPr>
                <w:sz w:val="20"/>
                <w:szCs w:val="20"/>
                <w:color w:val="auto"/>
              </w:rPr>
            </w:pPr>
            <w:r>
              <w:rPr>
                <w:rFonts w:ascii="Arial" w:cs="Arial" w:eastAsia="Arial" w:hAnsi="Arial"/>
                <w:sz w:val="14"/>
                <w:szCs w:val="14"/>
                <w:color w:val="auto"/>
              </w:rPr>
              <w:t>132,605</w:t>
            </w: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10"/>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11"/>
          </w:tcPr>
          <w:p>
            <w:pPr>
              <w:jc w:val="right"/>
              <w:spacing w:after="0" w:line="149" w:lineRule="exact"/>
              <w:rPr>
                <w:sz w:val="20"/>
                <w:szCs w:val="20"/>
                <w:color w:val="auto"/>
              </w:rPr>
            </w:pPr>
            <w:r>
              <w:rPr>
                <w:rFonts w:ascii="Arial" w:cs="Arial" w:eastAsia="Arial" w:hAnsi="Arial"/>
                <w:sz w:val="14"/>
                <w:szCs w:val="14"/>
                <w:color w:val="auto"/>
              </w:rPr>
              <w:t>118,380</w:t>
            </w:r>
          </w:p>
        </w:tc>
        <w:tc>
          <w:tcPr>
            <w:tcW w:w="460" w:type="dxa"/>
            <w:vAlign w:val="bottom"/>
          </w:tcPr>
          <w:p>
            <w:pPr>
              <w:spacing w:after="0"/>
              <w:rPr>
                <w:sz w:val="12"/>
                <w:szCs w:val="12"/>
                <w:color w:val="auto"/>
              </w:rPr>
            </w:pPr>
          </w:p>
        </w:tc>
        <w:tc>
          <w:tcPr>
            <w:tcW w:w="980" w:type="dxa"/>
            <w:vAlign w:val="bottom"/>
            <w:gridSpan w:val="10"/>
          </w:tcPr>
          <w:p>
            <w:pPr>
              <w:jc w:val="right"/>
              <w:ind w:right="100"/>
              <w:spacing w:after="0" w:line="149" w:lineRule="exact"/>
              <w:rPr>
                <w:sz w:val="20"/>
                <w:szCs w:val="20"/>
                <w:color w:val="auto"/>
              </w:rPr>
            </w:pPr>
            <w:r>
              <w:rPr>
                <w:rFonts w:ascii="Arial" w:cs="Arial" w:eastAsia="Arial" w:hAnsi="Arial"/>
                <w:sz w:val="14"/>
                <w:szCs w:val="14"/>
                <w:color w:val="auto"/>
              </w:rPr>
              <w:t>100,212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gridSpan w:val="11"/>
            <w:shd w:val="clear" w:color="auto" w:fill="CCEEFF"/>
          </w:tcPr>
          <w:p>
            <w:pPr>
              <w:jc w:val="right"/>
              <w:spacing w:after="0" w:line="149" w:lineRule="exact"/>
              <w:rPr>
                <w:sz w:val="20"/>
                <w:szCs w:val="20"/>
                <w:color w:val="auto"/>
              </w:rPr>
            </w:pPr>
            <w:r>
              <w:rPr>
                <w:rFonts w:ascii="Arial" w:cs="Arial" w:eastAsia="Arial" w:hAnsi="Arial"/>
                <w:sz w:val="14"/>
                <w:szCs w:val="14"/>
                <w:color w:val="auto"/>
              </w:rPr>
              <w:t>247,558</w:t>
            </w:r>
          </w:p>
        </w:tc>
        <w:tc>
          <w:tcPr>
            <w:tcW w:w="460" w:type="dxa"/>
            <w:vAlign w:val="bottom"/>
            <w:shd w:val="clear" w:color="auto" w:fill="CCEEFF"/>
          </w:tcPr>
          <w:p>
            <w:pPr>
              <w:spacing w:after="0"/>
              <w:rPr>
                <w:sz w:val="12"/>
                <w:szCs w:val="12"/>
                <w:color w:val="auto"/>
              </w:rPr>
            </w:pPr>
          </w:p>
        </w:tc>
        <w:tc>
          <w:tcPr>
            <w:tcW w:w="980" w:type="dxa"/>
            <w:vAlign w:val="bottom"/>
            <w:gridSpan w:val="10"/>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245,381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11"/>
          </w:tcPr>
          <w:p>
            <w:pPr>
              <w:jc w:val="right"/>
              <w:spacing w:after="0" w:line="149" w:lineRule="exact"/>
              <w:rPr>
                <w:sz w:val="20"/>
                <w:szCs w:val="20"/>
                <w:color w:val="auto"/>
              </w:rPr>
            </w:pPr>
            <w:r>
              <w:rPr>
                <w:rFonts w:ascii="Arial" w:cs="Arial" w:eastAsia="Arial" w:hAnsi="Arial"/>
                <w:sz w:val="14"/>
                <w:szCs w:val="14"/>
                <w:color w:val="auto"/>
              </w:rPr>
              <w:t>23,386</w:t>
            </w: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9"/>
          </w:tcPr>
          <w:p>
            <w:pPr>
              <w:jc w:val="right"/>
              <w:spacing w:after="0" w:line="149" w:lineRule="exact"/>
              <w:rPr>
                <w:sz w:val="20"/>
                <w:szCs w:val="20"/>
                <w:color w:val="auto"/>
              </w:rPr>
            </w:pPr>
            <w:r>
              <w:rPr>
                <w:rFonts w:ascii="Arial" w:cs="Arial" w:eastAsia="Arial" w:hAnsi="Arial"/>
                <w:sz w:val="14"/>
                <w:szCs w:val="14"/>
                <w:color w:val="auto"/>
              </w:rPr>
              <w:t>14,946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11"/>
          </w:tcPr>
          <w:p>
            <w:pPr>
              <w:jc w:val="right"/>
              <w:spacing w:after="0" w:line="149" w:lineRule="exact"/>
              <w:rPr>
                <w:sz w:val="20"/>
                <w:szCs w:val="20"/>
                <w:color w:val="auto"/>
              </w:rPr>
            </w:pPr>
            <w:r>
              <w:rPr>
                <w:rFonts w:ascii="Arial" w:cs="Arial" w:eastAsia="Arial" w:hAnsi="Arial"/>
                <w:sz w:val="14"/>
                <w:szCs w:val="14"/>
                <w:color w:val="auto"/>
              </w:rPr>
              <w:t>521,929</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10"/>
          </w:tcPr>
          <w:p>
            <w:pPr>
              <w:jc w:val="right"/>
              <w:ind w:right="100"/>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60" w:type="dxa"/>
            <w:vAlign w:val="bottom"/>
          </w:tcPr>
          <w:p>
            <w:pPr>
              <w:jc w:val="right"/>
              <w:ind w:right="52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4820" w:type="dxa"/>
            <w:vAlign w:val="bottom"/>
            <w:gridSpan w:val="2"/>
          </w:tcPr>
          <w:p>
            <w:pPr>
              <w:spacing w:after="0"/>
              <w:rPr>
                <w:sz w:val="20"/>
                <w:szCs w:val="20"/>
                <w:color w:val="auto"/>
              </w:rPr>
            </w:pPr>
            <w:r>
              <w:rPr>
                <w:rFonts w:ascii="Arial" w:cs="Arial" w:eastAsia="Arial" w:hAnsi="Arial"/>
                <w:sz w:val="14"/>
                <w:szCs w:val="14"/>
                <w:color w:val="auto"/>
              </w:rPr>
              <w:t>j) The distribution of total assets by business segment was as follows:</w:t>
            </w:r>
          </w:p>
        </w:tc>
        <w:tc>
          <w:tcPr>
            <w:tcW w:w="4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81"/>
              </w:rPr>
              <w:t>(in</w:t>
            </w:r>
          </w:p>
        </w:tc>
        <w:tc>
          <w:tcPr>
            <w:tcW w:w="1060" w:type="dxa"/>
            <w:vAlign w:val="bottom"/>
            <w:gridSpan w:val="2"/>
          </w:tcPr>
          <w:p>
            <w:pPr>
              <w:jc w:val="center"/>
              <w:ind w:right="448"/>
              <w:spacing w:after="0" w:line="142" w:lineRule="exact"/>
              <w:rPr>
                <w:sz w:val="20"/>
                <w:szCs w:val="20"/>
                <w:color w:val="auto"/>
              </w:rPr>
            </w:pPr>
            <w:r>
              <w:rPr>
                <w:rFonts w:ascii="Arial" w:cs="Arial" w:eastAsia="Arial" w:hAnsi="Arial"/>
                <w:sz w:val="14"/>
                <w:szCs w:val="14"/>
                <w:b w:val="1"/>
                <w:bCs w:val="1"/>
                <w:color w:val="auto"/>
                <w:w w:val="71"/>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Central laboratory</w:t>
            </w:r>
          </w:p>
        </w:tc>
        <w:tc>
          <w:tcPr>
            <w:tcW w:w="434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30,809</w:t>
            </w:r>
          </w:p>
        </w:tc>
        <w:tc>
          <w:tcPr>
            <w:tcW w:w="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Clinical research</w:t>
            </w:r>
          </w:p>
        </w:tc>
        <w:tc>
          <w:tcPr>
            <w:tcW w:w="4340" w:type="dxa"/>
            <w:vAlign w:val="bottom"/>
          </w:tcPr>
          <w:p>
            <w:pPr>
              <w:spacing w:after="0"/>
              <w:rPr>
                <w:sz w:val="13"/>
                <w:szCs w:val="13"/>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491,120</w:t>
            </w:r>
          </w:p>
        </w:tc>
        <w:tc>
          <w:tcPr>
            <w:tcW w:w="520" w:type="dxa"/>
            <w:vAlign w:val="bottom"/>
          </w:tcPr>
          <w:p>
            <w:pPr>
              <w:spacing w:after="0"/>
              <w:rPr>
                <w:sz w:val="13"/>
                <w:szCs w:val="13"/>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448,069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43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521,929</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340" w:type="dxa"/>
            <w:vAlign w:val="bottom"/>
          </w:tcPr>
          <w:p>
            <w:pPr>
              <w:jc w:val="right"/>
              <w:ind w:right="3308"/>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2006. The Consolidated Financial Statements have been prepared in accordance with accounting principles generally accepted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June 30, 2007 we had approximately 4,800 employees worldwide, with operations in 53 locations in 31 countries including the United States and major markets in Europe and Rest of World. For the six months ended June 30, 2007 we derived approximately 52.6%, 41.7%, and 5.7% of our net revenue in the United States, Europe and Rest of World, respectively.</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differs from expected results, an adjustment is recorded in the period in which they become readily estimable.</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78"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 w:name="page18"/>
    <w:bookmarkEnd w:id="17"/>
    <w:p>
      <w:pPr>
        <w:ind w:right="40"/>
        <w:spacing w:after="0" w:line="245"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18 operations operating in U.S. dollars, 6 trading in Euros, 3 in pounds Sterling, 2 each in Indian Rupee, Russian Rouble and Japanese Yen, and 1 each in Australian dollars, Singapore dollars, Israeli New Shekels, Latvian Lats, Swedish Krona, Argentine Peso, South African Rand, Canadian dollar, Hungarian Forint, Hong Kong dollar, Taiwan dollar, Mexican Peso, Brazilian Real, Chilean Peso, South Korean Won, Thai Baht, Polish Zloty, Chinese Yuan Renminbi, Lithuanian Litas and Peruvian Neuvo Sol.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207"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June 30, 2007 we have received $2.8 million and $2.1 million under the capital grants and operating grants, respectively. Pursuant to the terms of the grant agreements, we are restricted from distributing some of these amounts by way of dividend or otherwise.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June 30, 2007 compared with Three Months Ended June 30, 2006</w:t>
      </w:r>
    </w:p>
    <w:p>
      <w:pPr>
        <w:spacing w:after="0" w:line="231"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gridSpan w:val="5"/>
          </w:tcPr>
          <w:p>
            <w:pPr>
              <w:jc w:val="center"/>
              <w:ind w:left="6688"/>
              <w:spacing w:after="0"/>
              <w:rPr>
                <w:sz w:val="20"/>
                <w:szCs w:val="20"/>
                <w:color w:val="auto"/>
              </w:rPr>
            </w:pPr>
            <w:r>
              <w:rPr>
                <w:rFonts w:ascii="Arial" w:cs="Arial" w:eastAsia="Arial" w:hAnsi="Arial"/>
                <w:sz w:val="14"/>
                <w:szCs w:val="14"/>
                <w:b w:val="1"/>
                <w:bCs w:val="1"/>
                <w:color w:val="auto"/>
                <w:w w:val="89"/>
              </w:rPr>
              <w:t>June 30,</w:t>
            </w:r>
          </w:p>
        </w:tc>
        <w:tc>
          <w:tcPr>
            <w:tcW w:w="2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240" w:type="dxa"/>
            <w:vAlign w:val="bottom"/>
            <w:gridSpan w:val="6"/>
          </w:tcPr>
          <w:p>
            <w:pPr>
              <w:jc w:val="center"/>
              <w:ind w:left="728"/>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Borders>
              <w:right w:val="single" w:sz="8" w:color="auto"/>
            </w:tcBorders>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0"/>
              </w:rPr>
              <w:t>2007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2006</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1"/>
              </w:rPr>
              <w:t>to 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40" w:type="dxa"/>
            <w:vAlign w:val="bottom"/>
            <w:tcBorders>
              <w:bottom w:val="single" w:sz="8" w:color="auto"/>
            </w:tcBorders>
            <w:gridSpan w:val="7"/>
          </w:tcPr>
          <w:p>
            <w:pPr>
              <w:spacing w:after="0" w:line="149" w:lineRule="exact"/>
              <w:rPr>
                <w:sz w:val="20"/>
                <w:szCs w:val="20"/>
                <w:color w:val="auto"/>
              </w:rPr>
            </w:pPr>
            <w:r>
              <w:rPr>
                <w:rFonts w:ascii="Arial" w:cs="Arial" w:eastAsia="Arial" w:hAnsi="Arial"/>
                <w:sz w:val="14"/>
                <w:szCs w:val="14"/>
                <w:b w:val="1"/>
                <w:bCs w:val="1"/>
                <w:color w:val="auto"/>
                <w:w w:val="89"/>
              </w:rPr>
              <w:t>Percentage of Net Revenue</w:t>
            </w:r>
          </w:p>
        </w:tc>
        <w:tc>
          <w:tcPr>
            <w:tcW w:w="18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9"/>
          </w:tcPr>
          <w:p>
            <w:pPr>
              <w:jc w:val="center"/>
              <w:ind w:left="48"/>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8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w w:val="79"/>
              </w:rPr>
              <w:t>100.0%</w:t>
            </w:r>
          </w:p>
        </w:tc>
        <w:tc>
          <w:tcPr>
            <w:tcW w:w="1940" w:type="dxa"/>
            <w:vAlign w:val="bottom"/>
            <w:gridSpan w:val="9"/>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gridSpan w:val="5"/>
          </w:tcPr>
          <w:p>
            <w:pPr>
              <w:spacing w:after="0" w:line="149" w:lineRule="exact"/>
              <w:rPr>
                <w:sz w:val="20"/>
                <w:szCs w:val="20"/>
                <w:color w:val="auto"/>
              </w:rPr>
            </w:pPr>
            <w:r>
              <w:rPr>
                <w:rFonts w:ascii="Arial" w:cs="Arial" w:eastAsia="Arial" w:hAnsi="Arial"/>
                <w:sz w:val="14"/>
                <w:szCs w:val="14"/>
                <w:color w:val="auto"/>
              </w:rPr>
              <w:t>Costs and expenses: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8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w w:val="90"/>
              </w:rPr>
              <w:t>57.0%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w w:val="95"/>
              </w:rPr>
              <w:t>55.9%</w:t>
            </w:r>
          </w:p>
        </w:tc>
        <w:tc>
          <w:tcPr>
            <w:tcW w:w="1940" w:type="dxa"/>
            <w:vAlign w:val="bottom"/>
            <w:gridSpan w:val="9"/>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gridSpan w:val="5"/>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60" w:type="dxa"/>
            <w:vAlign w:val="bottom"/>
          </w:tcPr>
          <w:p>
            <w:pPr>
              <w:jc w:val="right"/>
              <w:ind w:right="408"/>
              <w:spacing w:after="0" w:line="149" w:lineRule="exact"/>
              <w:rPr>
                <w:sz w:val="20"/>
                <w:szCs w:val="20"/>
                <w:color w:val="auto"/>
              </w:rPr>
            </w:pPr>
            <w:r>
              <w:rPr>
                <w:rFonts w:ascii="Arial" w:cs="Arial" w:eastAsia="Arial" w:hAnsi="Arial"/>
                <w:sz w:val="14"/>
                <w:szCs w:val="14"/>
                <w:color w:val="auto"/>
                <w:w w:val="90"/>
              </w:rPr>
              <w:t>29.0%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388"/>
              <w:spacing w:after="0" w:line="149" w:lineRule="exact"/>
              <w:rPr>
                <w:sz w:val="20"/>
                <w:szCs w:val="20"/>
                <w:color w:val="auto"/>
              </w:rPr>
            </w:pPr>
            <w:r>
              <w:rPr>
                <w:rFonts w:ascii="Arial" w:cs="Arial" w:eastAsia="Arial" w:hAnsi="Arial"/>
                <w:sz w:val="14"/>
                <w:szCs w:val="14"/>
                <w:color w:val="auto"/>
                <w:w w:val="95"/>
              </w:rPr>
              <w:t>30.2%</w:t>
            </w:r>
          </w:p>
        </w:tc>
        <w:tc>
          <w:tcPr>
            <w:tcW w:w="1940" w:type="dxa"/>
            <w:vAlign w:val="bottom"/>
            <w:gridSpan w:val="9"/>
          </w:tcPr>
          <w:p>
            <w:pPr>
              <w:jc w:val="right"/>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3.4%</w:t>
            </w:r>
          </w:p>
        </w:tc>
        <w:tc>
          <w:tcPr>
            <w:tcW w:w="1940" w:type="dxa"/>
            <w:vAlign w:val="bottom"/>
            <w:gridSpan w:val="9"/>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60" w:type="dxa"/>
            <w:vAlign w:val="bottom"/>
            <w:gridSpan w:val="5"/>
          </w:tcPr>
          <w:p>
            <w:pPr>
              <w:spacing w:after="0"/>
              <w:rPr>
                <w:sz w:val="20"/>
                <w:szCs w:val="20"/>
                <w:color w:val="auto"/>
              </w:rPr>
            </w:pPr>
            <w:r>
              <w:rPr>
                <w:rFonts w:ascii="Arial" w:cs="Arial" w:eastAsia="Arial" w:hAnsi="Arial"/>
                <w:sz w:val="14"/>
                <w:szCs w:val="14"/>
                <w:color w:val="auto"/>
              </w:rPr>
              <w:t>Income from operations</w:t>
            </w:r>
          </w:p>
        </w:tc>
        <w:tc>
          <w:tcPr>
            <w:tcW w:w="860" w:type="dxa"/>
            <w:vAlign w:val="bottom"/>
          </w:tcPr>
          <w:p>
            <w:pPr>
              <w:jc w:val="right"/>
              <w:ind w:right="408"/>
              <w:spacing w:after="0"/>
              <w:rPr>
                <w:sz w:val="20"/>
                <w:szCs w:val="20"/>
                <w:color w:val="auto"/>
              </w:rPr>
            </w:pPr>
            <w:r>
              <w:rPr>
                <w:rFonts w:ascii="Arial" w:cs="Arial" w:eastAsia="Arial" w:hAnsi="Arial"/>
                <w:sz w:val="14"/>
                <w:szCs w:val="14"/>
                <w:color w:val="auto"/>
                <w:w w:val="90"/>
              </w:rPr>
              <w:t>10.9%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88"/>
              <w:spacing w:after="0"/>
              <w:rPr>
                <w:sz w:val="20"/>
                <w:szCs w:val="20"/>
                <w:color w:val="auto"/>
              </w:rPr>
            </w:pPr>
            <w:r>
              <w:rPr>
                <w:rFonts w:ascii="Arial" w:cs="Arial" w:eastAsia="Arial" w:hAnsi="Arial"/>
                <w:sz w:val="14"/>
                <w:szCs w:val="14"/>
                <w:color w:val="auto"/>
                <w:w w:val="95"/>
              </w:rPr>
              <w:t>10.5%</w:t>
            </w:r>
          </w:p>
        </w:tc>
        <w:tc>
          <w:tcPr>
            <w:tcW w:w="1940" w:type="dxa"/>
            <w:vAlign w:val="bottom"/>
            <w:gridSpan w:val="9"/>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373"/>
        </w:trPr>
        <w:tc>
          <w:tcPr>
            <w:tcW w:w="6800" w:type="dxa"/>
            <w:vAlign w:val="bottom"/>
            <w:gridSpan w:val="2"/>
          </w:tcPr>
          <w:p>
            <w:pPr>
              <w:jc w:val="right"/>
              <w:ind w:right="948"/>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spacing w:after="0" w:line="229" w:lineRule="auto"/>
        <w:rPr>
          <w:sz w:val="20"/>
          <w:szCs w:val="20"/>
          <w:color w:val="auto"/>
        </w:rPr>
      </w:pPr>
      <w:r>
        <w:rPr>
          <w:rFonts w:ascii="Arial" w:cs="Arial" w:eastAsia="Arial" w:hAnsi="Arial"/>
          <w:sz w:val="14"/>
          <w:szCs w:val="14"/>
          <w:color w:val="auto"/>
        </w:rPr>
        <w:t>Net revenue increased by $39.6 million, or 36.9%, from $107.4 million for the three months ended June 30, 2006 to $147.0 million for the three months ended June 30, 2007. In the three months ended June 30, 2007 net revenue from our central laboratory business increased by 11.8%, from $11.5 million, to $12.9 million, while our clinical research segment grew by 39.9%, from $95.9 million, to $134.2 million, in each case over the period ended June 30, 2006. The increase in net revenue in our central laboratory segment is primarily due to higher testing volumes over the comparative period. The improvement in net revenue in the clinical research segment arose through a combination of increased business from existing clients, and business won from new clients due to increased use of outsourcing by the pharmaceutical, biotechnology and medical device industries, an underlying increase in research and development spending and consolidation in the CRO industry.</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Direct costs increased by $23.9 million, or 39.8%, from $60.0 million for the three months ended June 30, 2006 to $83.9 million for the three months ended June 30, 2007 primarily due to increased staff numbers needed to support increased project related activity. Direct costs as a percentage of net revenue increased from 55.9% for the three months ended June 30, 2006, to 57% for three months ended June 30, 2007.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Selling, general and administrative expenses increased by $10.3 million, or 31.7%, from $32.4 million for the three months ended June 30, 2006 to $42.7 million for the three months ended June 30, 2007. This increase is due to the continued expansion of our operations. As a percentage of net revenue, selling, general and administrative expenses, decreased from 30.2% in the three months ended June 30, 2006 to 29.0% in the three months ended June 30, 2007.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Depreciation and amortization expense increased by $0.8 million, or 20.6%, from $3.7 million for the three months ended June 30, 2006 to $4.5 million for the three months ended June 30, 2007. This increase is due to the continued investment in facilities and information technology to support the growth in activity and in providing for future capacity. As a percentage of net revenue, depreciation and amortization decreased from 3.4% in the three months ended June 30, 2006 to 3.0% in the three months ended June 30, 2007.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Income from operations increased by $4.7 million, or 41.7%, from $11.3 million for the three months ended June 30, 2006 to $16.1 million for the three months ended June 30, 2007. The operating income for the quarter is derived after the recognition of the non cash stock compensation charge of $1.4 million. As a percentage of net revenue, income from operations increased from 10.5% for the three months ended June 30, 2006 to 10.9% of net revenues for the three months ended June 30, 2007.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three months ended June 30, 2007 saw a continued improvement in the performance of the central laboratory business, from an operating profit of 2.8% for the three months ended June 30, 2006 to an operating profit of 6.6% for the three months ended June 30, 2007. The central laboratory constitutes approximately 8.8% of our business revenues for the three months ended June 30, 2007.</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Net interest income for the three months ended June 30, 2007 was $1.0 million, an increase of $.01 million over the amount of net interest income for the three months ended June 30, 2006. Higher average level of funds invested and higher interest rates over the comparative period contributed to the increased net interest income.</w:t>
      </w:r>
    </w:p>
    <w:p>
      <w:pPr>
        <w:spacing w:after="0" w:line="20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ICON's effective tax rate for the three months ended June 30, 2007 was 22.0% compared with 24.0% for the three months ended June 30, 2006. The decrease is due mainly to the changes in the geographic distribution of pre-tax earnings.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Six Months Ended June 30, 2007 Compared with Six Months Ended June 30, 2006</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Six Months Ended</w:t>
            </w:r>
          </w:p>
        </w:tc>
        <w:tc>
          <w:tcPr>
            <w:tcW w:w="1680" w:type="dxa"/>
            <w:vAlign w:val="bottom"/>
            <w:gridSpan w:val="4"/>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500" w:type="dxa"/>
            <w:vAlign w:val="bottom"/>
            <w:gridSpan w:val="6"/>
          </w:tcPr>
          <w:p>
            <w:pPr>
              <w:ind w:left="2380"/>
              <w:spacing w:after="0"/>
              <w:rPr>
                <w:sz w:val="20"/>
                <w:szCs w:val="20"/>
                <w:color w:val="auto"/>
              </w:rPr>
            </w:pPr>
            <w:r>
              <w:rPr>
                <w:rFonts w:ascii="Arial" w:cs="Arial" w:eastAsia="Arial" w:hAnsi="Arial"/>
                <w:sz w:val="14"/>
                <w:szCs w:val="14"/>
                <w:b w:val="1"/>
                <w:bCs w:val="1"/>
                <w:color w:val="auto"/>
              </w:rPr>
              <w:t>June 30,</w:t>
            </w:r>
          </w:p>
        </w:tc>
        <w:tc>
          <w:tcPr>
            <w:tcW w:w="20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June 30,</w:t>
            </w:r>
          </w:p>
        </w:tc>
        <w:tc>
          <w:tcPr>
            <w:tcW w:w="800" w:type="dxa"/>
            <w:vAlign w:val="bottom"/>
            <w:gridSpan w:val="5"/>
          </w:tcPr>
          <w:p>
            <w:pPr>
              <w:jc w:val="center"/>
              <w:ind w:left="328"/>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2006</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91"/>
              </w:rPr>
              <w:t>to 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89"/>
              </w:rPr>
              <w:t>Percentage of Net Revenue</w:t>
            </w:r>
          </w:p>
        </w:tc>
        <w:tc>
          <w:tcPr>
            <w:tcW w:w="1480" w:type="dxa"/>
            <w:vAlign w:val="bottom"/>
            <w:gridSpan w:val="3"/>
          </w:tcPr>
          <w:p>
            <w:pPr>
              <w:spacing w:after="0"/>
              <w:rPr>
                <w:sz w:val="17"/>
                <w:szCs w:val="17"/>
                <w:color w:val="auto"/>
              </w:rPr>
            </w:pPr>
          </w:p>
        </w:tc>
        <w:tc>
          <w:tcPr>
            <w:tcW w:w="15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3500" w:type="dxa"/>
            <w:vAlign w:val="bottom"/>
            <w:gridSpan w:val="6"/>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2000" w:type="dxa"/>
            <w:vAlign w:val="bottom"/>
            <w:gridSpan w:val="5"/>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100.0%</w:t>
            </w:r>
          </w:p>
        </w:tc>
        <w:tc>
          <w:tcPr>
            <w:tcW w:w="152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500" w:type="dxa"/>
            <w:vAlign w:val="bottom"/>
            <w:gridSpan w:val="6"/>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57.4%</w:t>
            </w:r>
          </w:p>
        </w:tc>
        <w:tc>
          <w:tcPr>
            <w:tcW w:w="2000" w:type="dxa"/>
            <w:vAlign w:val="bottom"/>
            <w:gridSpan w:val="5"/>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55.7%</w:t>
            </w:r>
          </w:p>
        </w:tc>
        <w:tc>
          <w:tcPr>
            <w:tcW w:w="152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500" w:type="dxa"/>
            <w:vAlign w:val="bottom"/>
            <w:gridSpan w:val="6"/>
          </w:tcPr>
          <w:p>
            <w:pPr>
              <w:jc w:val="right"/>
              <w:ind w:right="240"/>
              <w:spacing w:after="0" w:line="149" w:lineRule="exact"/>
              <w:rPr>
                <w:sz w:val="20"/>
                <w:szCs w:val="20"/>
                <w:color w:val="auto"/>
              </w:rPr>
            </w:pPr>
            <w:r>
              <w:rPr>
                <w:rFonts w:ascii="Arial" w:cs="Arial" w:eastAsia="Arial" w:hAnsi="Arial"/>
                <w:sz w:val="14"/>
                <w:szCs w:val="14"/>
                <w:color w:val="auto"/>
              </w:rPr>
              <w:t>28.7%</w:t>
            </w:r>
          </w:p>
        </w:tc>
        <w:tc>
          <w:tcPr>
            <w:tcW w:w="2000" w:type="dxa"/>
            <w:vAlign w:val="bottom"/>
            <w:gridSpan w:val="5"/>
          </w:tcPr>
          <w:p>
            <w:pPr>
              <w:jc w:val="right"/>
              <w:ind w:right="880"/>
              <w:spacing w:after="0" w:line="149" w:lineRule="exact"/>
              <w:rPr>
                <w:sz w:val="20"/>
                <w:szCs w:val="20"/>
                <w:color w:val="auto"/>
              </w:rPr>
            </w:pPr>
            <w:r>
              <w:rPr>
                <w:rFonts w:ascii="Arial" w:cs="Arial" w:eastAsia="Arial" w:hAnsi="Arial"/>
                <w:sz w:val="14"/>
                <w:szCs w:val="14"/>
                <w:color w:val="auto"/>
              </w:rPr>
              <w:t>30.4%</w:t>
            </w:r>
          </w:p>
        </w:tc>
        <w:tc>
          <w:tcPr>
            <w:tcW w:w="152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500" w:type="dxa"/>
            <w:vAlign w:val="bottom"/>
            <w:gridSpan w:val="6"/>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2000" w:type="dxa"/>
            <w:vAlign w:val="bottom"/>
            <w:gridSpan w:val="5"/>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3.5%</w:t>
            </w:r>
          </w:p>
        </w:tc>
        <w:tc>
          <w:tcPr>
            <w:tcW w:w="152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Arial" w:cs="Arial" w:eastAsia="Arial" w:hAnsi="Arial"/>
                <w:sz w:val="14"/>
                <w:szCs w:val="14"/>
                <w:color w:val="auto"/>
              </w:rPr>
              <w:t>Income from operations</w:t>
            </w:r>
          </w:p>
        </w:tc>
        <w:tc>
          <w:tcPr>
            <w:tcW w:w="3500" w:type="dxa"/>
            <w:vAlign w:val="bottom"/>
            <w:gridSpan w:val="6"/>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2000" w:type="dxa"/>
            <w:vAlign w:val="bottom"/>
            <w:gridSpan w:val="5"/>
          </w:tcPr>
          <w:p>
            <w:pPr>
              <w:jc w:val="right"/>
              <w:ind w:right="880"/>
              <w:spacing w:after="0" w:line="149" w:lineRule="exact"/>
              <w:rPr>
                <w:sz w:val="20"/>
                <w:szCs w:val="20"/>
                <w:color w:val="auto"/>
              </w:rPr>
            </w:pPr>
            <w:r>
              <w:rPr>
                <w:rFonts w:ascii="Arial" w:cs="Arial" w:eastAsia="Arial" w:hAnsi="Arial"/>
                <w:sz w:val="14"/>
                <w:szCs w:val="14"/>
                <w:color w:val="auto"/>
              </w:rPr>
              <w:t>10.4%</w:t>
            </w:r>
          </w:p>
        </w:tc>
        <w:tc>
          <w:tcPr>
            <w:tcW w:w="152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Net revenue increased by $77.2 million, or 37.5%, from $205.9 million for the six months ended June 30, 2006 to $283.1 million for the six months ended June 30, 2007. This improvement arose through a combination of increased business from existing clients and business won from new clients. In the six months ended June 30, 2007 net revenue from our central laboratory business increased by 24.8% from $20.8 million for the six months ended June 30, 2006 to $26.0 million for the six months ended June 30, 2007 while our clinical research segment grew by 38.9% from $185.1 million to $257.2 million over the comparable period. The increase in net revenue in our central laboratory segment is primarily due to higher testing volumes in 2007.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Direct costs increased by $47.7 million, or 41.6%, from $114.7 million for the six months ended June 30, 2006 to $162.4 million for the six months ended June 30, 2007 primarily due to increased staff numbers needed to support increased project related activity. Direct costs as a percentage of net revenue increased from 55.7% in the six months ended June 30, 2006 to 57.4% in the six months ended June 30, 2007.</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Selling, general and administrative expenses increased by $18.7 million, or 29.8%, from $62.7 million for the six months ended June 30, 2006 to $81.3 million for the six months ended June 30, 2007. This increase is due to the continued expansion of our operations. As a percentage of net revenue, selling, general and administrative expenses, decreased from 30.4% in the six months ended June 30, 2006 to 28.7% in the six months ended June 30, 2007.</w:t>
      </w:r>
    </w:p>
    <w:p>
      <w:pPr>
        <w:spacing w:after="0" w:line="210"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Depreciation and amortization expense increased by $1.5 million, or 20.6%, from $7.1 million for the six months ended June 30, 2006 to $8.6 million for the six months ended June 30, 2007. This increase is due to the continued investment in facilities and information technology to support the growth in activity and in providing for future capacity. As a percentage of net revenue, depreciation and amortization, decreased from 3.5% in the six months ended June 30, 2006 to 3.0% in the six months ended June 30, 2007.</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Income from operations increased by $9.4 million, or 43.7%, from $21.4 million for the six months ended June 30, 2006 to $30.8 million for the six months ended June 30, 2007. As a percentage of net revenue, income from operations increased from 10.4% for the six months ended June 30, 2006 to 10.9% of net revenues for the six months ended June 30, 2007. The operating income for the six months is derived after the recognition of the non cash stock compensation charge of $2.6 million. As a percentage of net revenue, the central laboratory business generated operating profits of 6.9% for the six months ended June 30, 2007 compared to losses from operations of 1.6% for the six months ended June 30, 2006 due to the efficiencies gained in the higher testing volumes in fiscal 2007. For the six months ended June 30, 2007 the central laboratory constituted approximately 9.2% of our business revenues.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both"/>
        <w:ind w:right="20"/>
        <w:spacing w:after="0" w:line="253" w:lineRule="auto"/>
        <w:rPr>
          <w:sz w:val="20"/>
          <w:szCs w:val="20"/>
          <w:color w:val="auto"/>
        </w:rPr>
      </w:pPr>
      <w:r>
        <w:rPr>
          <w:rFonts w:ascii="Arial" w:cs="Arial" w:eastAsia="Arial" w:hAnsi="Arial"/>
          <w:sz w:val="14"/>
          <w:szCs w:val="14"/>
          <w:color w:val="auto"/>
        </w:rPr>
        <w:t>Net interest income for the six months ended June 30, 2007 was $2.1 million, an increase of $0.5 million over the amount of net interest income for the six months ended June 30, 2006. Higher average level of funds invested and higher interest rates over the prior period contributed to the increased interest income.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ICON's effective tax rate for the six months ended June 30, 2007 was 21.9% compared with 26.4% for the six months ended June 30, 2006.</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six months ended June 30, 2007 amounted to $172.1 million compared to $123.8 million for the six months ended June 30, 2006. Investing activities primarily reflect capital expenditures for facilities and for information systems enhancements, the sale and purchase of short-term investments and acquisitions.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As of June 30, 2007 our working capital amounted to $169.7 million, compared to $160.3 million at December 31, 2006.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53 days at June 30, 2007 and at December 31, 2006.</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Net cash provided by operating activities was $19.4 million in the six months ended June 30, 2007 compared to net cash provided by operating activities of $29.8 million in the six months ended June 30, 2006.</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cash used in investing activities was $19.3 million in the six months ended June 30, 2007 compared to $25.9 million in the six months ended June 30, 2006. Net cash used in investing activities is primarily used in the construction of the new facility head office building located in Dublin, Republic of Ireland and the ongoing investment in information technology to support the Company’s current and future growth.</w:t>
      </w:r>
    </w:p>
    <w:p>
      <w:pPr>
        <w:spacing w:after="0" w:line="210" w:lineRule="exact"/>
        <w:rPr>
          <w:sz w:val="20"/>
          <w:szCs w:val="20"/>
          <w:color w:val="auto"/>
        </w:rPr>
      </w:pPr>
    </w:p>
    <w:p>
      <w:pPr>
        <w:jc w:val="both"/>
        <w:ind w:right="80"/>
        <w:spacing w:after="0" w:line="253" w:lineRule="auto"/>
        <w:rPr>
          <w:sz w:val="20"/>
          <w:szCs w:val="20"/>
          <w:color w:val="auto"/>
        </w:rPr>
      </w:pPr>
      <w:r>
        <w:rPr>
          <w:rFonts w:ascii="Arial" w:cs="Arial" w:eastAsia="Arial" w:hAnsi="Arial"/>
          <w:sz w:val="14"/>
          <w:szCs w:val="14"/>
          <w:color w:val="auto"/>
        </w:rPr>
        <w:t>Net cash provided by financing activities was $14.8 million in the six months ended June 30, 2007 compared to net cash used in financing activities of $0.2 million in the six months ended June 30, 2006.</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As a result of these cash flows, cash and cash equivalents increased by $15.3 million in the six months ended June 30, 2007 compared to an increase of $3.7 million in the six months ended June 30, 2006.</w:t>
      </w:r>
    </w:p>
    <w:p>
      <w:pPr>
        <w:spacing w:after="0" w:line="201" w:lineRule="exact"/>
        <w:rPr>
          <w:sz w:val="20"/>
          <w:szCs w:val="20"/>
          <w:color w:val="auto"/>
        </w:rPr>
      </w:pPr>
    </w:p>
    <w:p>
      <w:pPr>
        <w:jc w:val="both"/>
        <w:ind w:right="60"/>
        <w:spacing w:after="0" w:line="256" w:lineRule="auto"/>
        <w:rPr>
          <w:sz w:val="20"/>
          <w:szCs w:val="20"/>
          <w:color w:val="auto"/>
        </w:rPr>
      </w:pPr>
      <w:r>
        <w:rPr>
          <w:rFonts w:ascii="Arial" w:cs="Arial" w:eastAsia="Arial" w:hAnsi="Arial"/>
          <w:sz w:val="13"/>
          <w:szCs w:val="13"/>
          <w:color w:val="auto"/>
        </w:rPr>
        <w:t>On April 24, 2007, the Company entered into a facility agreement for the provision of an overdraft facility of €14 million (U.S.$18.9 million) with AIB Bank. The overdraft facility bears interest at an annual rate equal to the bank’s prime rate and is repayable on demand if the Company defaults under its obligations as specified in the loan agreement. On June 29, 2007 the amount available to be drawn down under this facility was increased to €19 million ($25.6 million). As of June 30, 2007 €11.8 million ($15.9 million) of the facility had been drawn down. As of that date the Company had fully discharged its previous multi-currency overdraft facility of $5 million with The Governor and Company of the Bank of Ireland and Ulster Bank Ireland Limited.</w:t>
      </w:r>
    </w:p>
    <w:p>
      <w:pPr>
        <w:spacing w:after="0" w:line="199" w:lineRule="exact"/>
        <w:rPr>
          <w:sz w:val="20"/>
          <w:szCs w:val="20"/>
          <w:color w:val="auto"/>
        </w:rPr>
      </w:pPr>
    </w:p>
    <w:p>
      <w:pPr>
        <w:ind w:right="120"/>
        <w:spacing w:after="0" w:line="238" w:lineRule="auto"/>
        <w:rPr>
          <w:sz w:val="20"/>
          <w:szCs w:val="20"/>
          <w:color w:val="auto"/>
        </w:rPr>
      </w:pPr>
      <w:r>
        <w:rPr>
          <w:rFonts w:ascii="Arial" w:cs="Arial" w:eastAsia="Arial" w:hAnsi="Arial"/>
          <w:sz w:val="14"/>
          <w:szCs w:val="14"/>
          <w:color w:val="auto"/>
        </w:rPr>
        <w:t>On July 12, 2007 the Company acquired 100% of the common stock of DOCS International, a European based clinical research staffing organization, for a cash consideration of approximately $40 million. DOCS International operates in eight European countries and focuses on the training and supply of contract and permanent clinical research personnel to the pharmaceutical and biotech industry.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1" w:name="page22"/>
    <w:bookmarkEnd w:id="21"/>
    <w:p>
      <w:pPr>
        <w:spacing w:after="0" w:line="234" w:lineRule="auto"/>
        <w:rPr>
          <w:sz w:val="20"/>
          <w:szCs w:val="20"/>
          <w:color w:val="auto"/>
        </w:rPr>
      </w:pPr>
      <w:r>
        <w:rPr>
          <w:rFonts w:ascii="Arial" w:cs="Arial" w:eastAsia="Arial" w:hAnsi="Arial"/>
          <w:sz w:val="14"/>
          <w:szCs w:val="14"/>
          <w:color w:val="auto"/>
        </w:rPr>
        <w:t>On July 9, 2007 ICON plc entered into a facility agreement for the provision of a multi-currency revolving credit facility of €35 million ($47.1 million) with The Governor and Company of the Bank of Ireland. Our obligations under the facility are secured by certain composite guarantees and indemnities and pledges in favour of the bank. The facility bears interest at an annual rate equal to the interbank rate plus 0.6 percent. On July 10, 2007 the Company drew down €29.5 million ($39.7 million) of the facility to fund the acquisition of DOCS International. The facility will become payable on demand if the Company defaults under its obligations as specified in the loan agreement.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/s/ Ciaran Murray</w:t>
            </w:r>
          </w:p>
        </w:tc>
        <w:tc>
          <w:tcPr>
            <w:tcW w:w="0" w:type="dxa"/>
            <w:vAlign w:val="bottom"/>
          </w:tcPr>
          <w:p>
            <w:pPr>
              <w:spacing w:after="0"/>
              <w:rPr>
                <w:sz w:val="1"/>
                <w:szCs w:val="1"/>
                <w:color w:val="auto"/>
              </w:rPr>
            </w:pPr>
          </w:p>
        </w:tc>
      </w:tr>
      <w:tr>
        <w:trPr>
          <w:trHeight w:val="60"/>
        </w:trPr>
        <w:tc>
          <w:tcPr>
            <w:tcW w:w="7660" w:type="dxa"/>
            <w:vAlign w:val="bottom"/>
            <w:vMerge w:val="restart"/>
          </w:tcPr>
          <w:p>
            <w:pPr>
              <w:spacing w:after="0"/>
              <w:rPr>
                <w:sz w:val="20"/>
                <w:szCs w:val="20"/>
                <w:color w:val="auto"/>
              </w:rPr>
            </w:pPr>
            <w:r>
              <w:rPr>
                <w:rFonts w:ascii="Arial" w:cs="Arial" w:eastAsia="Arial" w:hAnsi="Arial"/>
                <w:sz w:val="14"/>
                <w:szCs w:val="14"/>
                <w:color w:val="auto"/>
              </w:rPr>
              <w:t>Date: July 27, 2007</w:t>
            </w:r>
          </w:p>
        </w:tc>
        <w:tc>
          <w:tcPr>
            <w:tcW w:w="3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7660" w:type="dxa"/>
            <w:vAlign w:val="bottom"/>
            <w:vMerge w:val="continue"/>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Ciaran Murray</w:t>
            </w:r>
          </w:p>
        </w:tc>
        <w:tc>
          <w:tcPr>
            <w:tcW w:w="0" w:type="dxa"/>
            <w:vAlign w:val="bottom"/>
          </w:tcPr>
          <w:p>
            <w:pPr>
              <w:spacing w:after="0"/>
              <w:rPr>
                <w:sz w:val="1"/>
                <w:szCs w:val="1"/>
                <w:color w:val="auto"/>
              </w:rPr>
            </w:pPr>
          </w:p>
        </w:tc>
      </w:tr>
      <w:tr>
        <w:trPr>
          <w:trHeight w:val="197"/>
        </w:trPr>
        <w:tc>
          <w:tcPr>
            <w:tcW w:w="766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2019-12-14T20:58:19Z</dcterms:created>
  <dcterms:modified xsi:type="dcterms:W3CDTF">2019-12-14T20:58:19Z</dcterms:modified>
</cp:coreProperties>
</file>