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October, 2015</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October 27, 2015 - ICON Reports Third Quarter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October 27, 2015</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Reports Third Quarter 2015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right="680"/>
        <w:spacing w:after="0" w:line="256" w:lineRule="auto"/>
        <w:rPr>
          <w:sz w:val="20"/>
          <w:szCs w:val="20"/>
          <w:color w:val="auto"/>
        </w:rPr>
      </w:pPr>
      <w:r>
        <w:rPr>
          <w:rFonts w:ascii="Arial" w:cs="Arial" w:eastAsia="Arial" w:hAnsi="Arial"/>
          <w:sz w:val="22"/>
          <w:szCs w:val="22"/>
          <w:b w:val="1"/>
          <w:bCs w:val="1"/>
          <w:color w:val="auto"/>
        </w:rPr>
        <w:t>Gross business wins of $518 million, representing a gross book to bill of 1.31. Net business wins of $475 million, representing a net book to bill of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100"/>
        <w:spacing w:after="0" w:line="256" w:lineRule="auto"/>
        <w:rPr>
          <w:sz w:val="20"/>
          <w:szCs w:val="20"/>
          <w:color w:val="auto"/>
        </w:rPr>
      </w:pPr>
      <w:r>
        <w:rPr>
          <w:rFonts w:ascii="Arial" w:cs="Arial" w:eastAsia="Arial" w:hAnsi="Arial"/>
          <w:sz w:val="22"/>
          <w:szCs w:val="22"/>
          <w:b w:val="1"/>
          <w:bCs w:val="1"/>
          <w:color w:val="auto"/>
        </w:rPr>
        <w:t>Quarter 3 net revenue of $395 million, a 1.8% increase year on year and a 4.1% increase on a constant dollar organic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Income from operations up 20.1% year on year to $71.4 million or 18.1%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of $1.02, up 29%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280"/>
        <w:spacing w:after="0" w:line="243" w:lineRule="auto"/>
        <w:rPr>
          <w:sz w:val="20"/>
          <w:szCs w:val="20"/>
          <w:color w:val="auto"/>
        </w:rPr>
      </w:pPr>
      <w:r>
        <w:rPr>
          <w:rFonts w:ascii="Arial" w:cs="Arial" w:eastAsia="Arial" w:hAnsi="Arial"/>
          <w:sz w:val="22"/>
          <w:szCs w:val="22"/>
          <w:color w:val="auto"/>
        </w:rPr>
        <w:t>DUBLIN--(BUSINESS WIRE)--October 27, 2015--</w:t>
      </w:r>
      <w:r>
        <w:rPr>
          <w:rFonts w:ascii="Arial" w:cs="Arial" w:eastAsia="Arial" w:hAnsi="Arial"/>
          <w:sz w:val="22"/>
          <w:szCs w:val="22"/>
          <w:b w:val="1"/>
          <w:bCs w:val="1"/>
          <w:color w:val="auto"/>
        </w:rPr>
        <w:t>ICON plc (NASDAQ:ICLR),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third quarter ended September 30, 2015.</w:t>
      </w:r>
    </w:p>
    <w:p>
      <w:pPr>
        <w:spacing w:after="0" w:line="183"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In the third quarter net revenue grew 1.8% year on year to $394.7 million from $387.6 million in the same quarter last year. This represented 7.5% constant currency growth and 4.1% constant dollar organic growth year on year.</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Income from operations increased by 20.1% to $71.4 million or 18.1% of revenue compared to $59.4 million or 15.3% for the same quarter last year.</w:t>
      </w:r>
    </w:p>
    <w:p>
      <w:pPr>
        <w:spacing w:after="0" w:line="173"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Net income increased by 22% to $61.5 million or $1.02 per share on a diluted basis, compared with $50.3 million or $0.79 per share for the same quarter last year.</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Year to date revenue for 2015 increased by 5.2% to $1,171.6 million from $1,113.2 million in 2014. This represented 9.3% constant currency growth and 4.4% constant dollar organic growth year on year.</w:t>
      </w:r>
    </w:p>
    <w:p>
      <w:pPr>
        <w:spacing w:after="0" w:line="173"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Year to date income from operations for 2015, increased by 37% to $206.2 million or 17.6% of revenue, compared with $150.9 million or 13.5% of revenue in the previous year.</w:t>
      </w:r>
    </w:p>
    <w:p>
      <w:pPr>
        <w:spacing w:after="0" w:line="173"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Year to date net income for 2015 increased by 38% to $176 million, compared with $127.3 million last year. Year to date earnings increased by 43% from $2.87 per share on a diluted basis compared to $2.01 per diluted share last year.</w:t>
      </w:r>
    </w:p>
    <w:p>
      <w:pPr>
        <w:spacing w:after="0" w:line="151"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46 days at September 30, 2015, compared with 45 days at the end of June 2015.</w:t>
      </w:r>
    </w:p>
    <w:p>
      <w:pPr>
        <w:spacing w:after="0" w:line="173"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For the quarter ended September 30, 2015, cash generated from operating activities was $74 million, capital expenditure was $12.2 million and $230 million of shares were repurchased as part of the $400 million share repurchase programme announced in July 2015. As a result, at September 30, 2015, the company had net debt of $33 million, compared to net cash of $132 million at June 30, 2015.</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CEO, Ciaran Murray commented </w:t>
      </w:r>
      <w:r>
        <w:rPr>
          <w:rFonts w:ascii="Arial" w:cs="Arial" w:eastAsia="Arial" w:hAnsi="Arial"/>
          <w:sz w:val="19"/>
          <w:szCs w:val="19"/>
          <w:i w:val="1"/>
          <w:iCs w:val="1"/>
          <w:color w:val="auto"/>
        </w:rPr>
        <w:t>“ Quarter three was another strong quarter for ICON. We achieved net new business wins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$475 million, which represented a book to bill of 1.2 and grew our backlog by 8% over last year. Revenue grew sequentially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$395 million representing 4.1% constant dollar organic growth over the same period last year. Our operating margin expanded to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18.1% and as a result earnings per share increased 29% year over year to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4"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 xml:space="preserve">ICON will hold its third quarter conference call today, October 27, 2015 at 9:00 EDT [13:00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77 locations in 38 countries and has approximately 11,700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Nine Months ended September 30, 2015 and September 30,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2760" w:type="dxa"/>
            <w:vAlign w:val="bottom"/>
            <w:gridSpan w:val="10"/>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4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323"/>
        </w:trPr>
        <w:tc>
          <w:tcPr>
            <w:tcW w:w="5900" w:type="dxa"/>
            <w:vAlign w:val="bottom"/>
          </w:tcPr>
          <w:p>
            <w:pPr>
              <w:spacing w:after="0"/>
              <w:rPr>
                <w:sz w:val="24"/>
                <w:szCs w:val="24"/>
                <w:color w:val="auto"/>
              </w:rPr>
            </w:pPr>
          </w:p>
        </w:tc>
        <w:tc>
          <w:tcPr>
            <w:tcW w:w="1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9"/>
              </w:rPr>
              <w:t>September 30,</w:t>
            </w:r>
          </w:p>
        </w:tc>
        <w:tc>
          <w:tcPr>
            <w:tcW w:w="15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18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1220" w:type="dxa"/>
            <w:vAlign w:val="bottom"/>
            <w:gridSpan w:val="5"/>
          </w:tcPr>
          <w:p>
            <w:pPr>
              <w:jc w:val="right"/>
              <w:ind w:right="320"/>
              <w:spacing w:after="0" w:line="155" w:lineRule="exact"/>
              <w:rPr>
                <w:sz w:val="20"/>
                <w:szCs w:val="20"/>
                <w:color w:val="auto"/>
              </w:rPr>
            </w:pPr>
            <w:r>
              <w:rPr>
                <w:rFonts w:ascii="Arial" w:cs="Arial" w:eastAsia="Arial" w:hAnsi="Arial"/>
                <w:sz w:val="14"/>
                <w:szCs w:val="14"/>
                <w:b w:val="1"/>
                <w:bCs w:val="1"/>
                <w:color w:val="auto"/>
              </w:rPr>
              <w:t>2015</w:t>
            </w:r>
          </w:p>
        </w:tc>
        <w:tc>
          <w:tcPr>
            <w:tcW w:w="12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3"/>
                <w:szCs w:val="13"/>
                <w:color w:val="auto"/>
              </w:rPr>
            </w:pPr>
          </w:p>
        </w:tc>
        <w:tc>
          <w:tcPr>
            <w:tcW w:w="12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3"/>
                <w:szCs w:val="13"/>
                <w:color w:val="auto"/>
              </w:rPr>
            </w:pPr>
          </w:p>
        </w:tc>
        <w:tc>
          <w:tcPr>
            <w:tcW w:w="9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59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Gross revenue</w:t>
            </w:r>
          </w:p>
        </w:tc>
        <w:tc>
          <w:tcPr>
            <w:tcW w:w="1220" w:type="dxa"/>
            <w:vAlign w:val="bottom"/>
            <w:gridSpan w:val="5"/>
          </w:tcPr>
          <w:p>
            <w:pPr>
              <w:jc w:val="right"/>
              <w:ind w:right="320"/>
              <w:spacing w:after="0"/>
              <w:rPr>
                <w:sz w:val="20"/>
                <w:szCs w:val="20"/>
                <w:color w:val="auto"/>
              </w:rPr>
            </w:pPr>
            <w:r>
              <w:rPr>
                <w:rFonts w:ascii="Arial" w:cs="Arial" w:eastAsia="Arial" w:hAnsi="Arial"/>
                <w:sz w:val="14"/>
                <w:szCs w:val="14"/>
                <w:color w:val="auto"/>
              </w:rPr>
              <w:t>$557,095</w:t>
            </w:r>
          </w:p>
        </w:tc>
        <w:tc>
          <w:tcPr>
            <w:tcW w:w="1540" w:type="dxa"/>
            <w:vAlign w:val="bottom"/>
            <w:gridSpan w:val="5"/>
          </w:tcPr>
          <w:p>
            <w:pPr>
              <w:jc w:val="right"/>
              <w:ind w:right="340"/>
              <w:spacing w:after="0"/>
              <w:rPr>
                <w:sz w:val="20"/>
                <w:szCs w:val="20"/>
                <w:color w:val="auto"/>
              </w:rPr>
            </w:pPr>
            <w:r>
              <w:rPr>
                <w:rFonts w:ascii="Arial" w:cs="Arial" w:eastAsia="Arial" w:hAnsi="Arial"/>
                <w:sz w:val="14"/>
                <w:szCs w:val="14"/>
                <w:color w:val="auto"/>
              </w:rPr>
              <w:t>$519,127</w:t>
            </w:r>
          </w:p>
        </w:tc>
        <w:tc>
          <w:tcPr>
            <w:tcW w:w="1200" w:type="dxa"/>
            <w:vAlign w:val="bottom"/>
            <w:gridSpan w:val="4"/>
          </w:tcPr>
          <w:p>
            <w:pPr>
              <w:jc w:val="right"/>
              <w:spacing w:after="0"/>
              <w:rPr>
                <w:sz w:val="20"/>
                <w:szCs w:val="20"/>
                <w:color w:val="auto"/>
              </w:rPr>
            </w:pPr>
            <w:r>
              <w:rPr>
                <w:rFonts w:ascii="Arial" w:cs="Arial" w:eastAsia="Arial" w:hAnsi="Arial"/>
                <w:sz w:val="14"/>
                <w:szCs w:val="14"/>
                <w:color w:val="auto"/>
              </w:rPr>
              <w:t>$1,584,559</w:t>
            </w:r>
          </w:p>
        </w:tc>
        <w:tc>
          <w:tcPr>
            <w:tcW w:w="660" w:type="dxa"/>
            <w:vAlign w:val="bottom"/>
          </w:tcPr>
          <w:p>
            <w:pPr>
              <w:spacing w:after="0"/>
              <w:rPr>
                <w:sz w:val="15"/>
                <w:szCs w:val="15"/>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$1,502,075</w:t>
            </w:r>
          </w:p>
        </w:tc>
        <w:tc>
          <w:tcPr>
            <w:tcW w:w="0" w:type="dxa"/>
            <w:vAlign w:val="bottom"/>
          </w:tcPr>
          <w:p>
            <w:pPr>
              <w:spacing w:after="0"/>
              <w:rPr>
                <w:sz w:val="1"/>
                <w:szCs w:val="1"/>
                <w:color w:val="auto"/>
              </w:rPr>
            </w:pPr>
          </w:p>
        </w:tc>
      </w:tr>
      <w:tr>
        <w:trPr>
          <w:trHeight w:val="181"/>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12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(162,354)</w:t>
            </w:r>
          </w:p>
        </w:tc>
        <w:tc>
          <w:tcPr>
            <w:tcW w:w="15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(131,538)</w:t>
            </w:r>
          </w:p>
        </w:tc>
        <w:tc>
          <w:tcPr>
            <w:tcW w:w="18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color w:val="auto"/>
              </w:rPr>
              <w:t>(412,930)</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(388,832)</w:t>
            </w:r>
          </w:p>
        </w:tc>
        <w:tc>
          <w:tcPr>
            <w:tcW w:w="0" w:type="dxa"/>
            <w:vAlign w:val="bottom"/>
          </w:tcPr>
          <w:p>
            <w:pPr>
              <w:spacing w:after="0"/>
              <w:rPr>
                <w:sz w:val="1"/>
                <w:szCs w:val="1"/>
                <w:color w:val="auto"/>
              </w:rPr>
            </w:pPr>
          </w:p>
        </w:tc>
      </w:tr>
      <w:tr>
        <w:trPr>
          <w:trHeight w:val="346"/>
        </w:trPr>
        <w:tc>
          <w:tcPr>
            <w:tcW w:w="590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1220" w:type="dxa"/>
            <w:vAlign w:val="bottom"/>
            <w:gridSpan w:val="5"/>
          </w:tcPr>
          <w:p>
            <w:pPr>
              <w:jc w:val="right"/>
              <w:ind w:right="320"/>
              <w:spacing w:after="0"/>
              <w:rPr>
                <w:sz w:val="20"/>
                <w:szCs w:val="20"/>
                <w:color w:val="auto"/>
              </w:rPr>
            </w:pPr>
            <w:r>
              <w:rPr>
                <w:rFonts w:ascii="Arial" w:cs="Arial" w:eastAsia="Arial" w:hAnsi="Arial"/>
                <w:sz w:val="14"/>
                <w:szCs w:val="14"/>
                <w:color w:val="auto"/>
              </w:rPr>
              <w:t>394,741</w:t>
            </w:r>
          </w:p>
        </w:tc>
        <w:tc>
          <w:tcPr>
            <w:tcW w:w="1540" w:type="dxa"/>
            <w:vAlign w:val="bottom"/>
            <w:gridSpan w:val="5"/>
          </w:tcPr>
          <w:p>
            <w:pPr>
              <w:jc w:val="right"/>
              <w:ind w:right="340"/>
              <w:spacing w:after="0"/>
              <w:rPr>
                <w:sz w:val="20"/>
                <w:szCs w:val="20"/>
                <w:color w:val="auto"/>
              </w:rPr>
            </w:pPr>
            <w:r>
              <w:rPr>
                <w:rFonts w:ascii="Arial" w:cs="Arial" w:eastAsia="Arial" w:hAnsi="Arial"/>
                <w:sz w:val="14"/>
                <w:szCs w:val="14"/>
                <w:color w:val="auto"/>
              </w:rPr>
              <w:t>387,589</w:t>
            </w:r>
          </w:p>
        </w:tc>
        <w:tc>
          <w:tcPr>
            <w:tcW w:w="1200" w:type="dxa"/>
            <w:vAlign w:val="bottom"/>
            <w:gridSpan w:val="4"/>
          </w:tcPr>
          <w:p>
            <w:pPr>
              <w:jc w:val="right"/>
              <w:spacing w:after="0"/>
              <w:rPr>
                <w:sz w:val="20"/>
                <w:szCs w:val="20"/>
                <w:color w:val="auto"/>
              </w:rPr>
            </w:pPr>
            <w:r>
              <w:rPr>
                <w:rFonts w:ascii="Arial" w:cs="Arial" w:eastAsia="Arial" w:hAnsi="Arial"/>
                <w:sz w:val="14"/>
                <w:szCs w:val="14"/>
                <w:color w:val="auto"/>
              </w:rPr>
              <w:t>1,171,629</w:t>
            </w:r>
          </w:p>
        </w:tc>
        <w:tc>
          <w:tcPr>
            <w:tcW w:w="66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1,113,243</w:t>
            </w:r>
          </w:p>
        </w:tc>
        <w:tc>
          <w:tcPr>
            <w:tcW w:w="0" w:type="dxa"/>
            <w:vAlign w:val="bottom"/>
          </w:tcPr>
          <w:p>
            <w:pPr>
              <w:spacing w:after="0"/>
              <w:rPr>
                <w:sz w:val="1"/>
                <w:szCs w:val="1"/>
                <w:color w:val="auto"/>
              </w:rPr>
            </w:pPr>
          </w:p>
        </w:tc>
      </w:tr>
      <w:tr>
        <w:trPr>
          <w:trHeight w:val="344"/>
        </w:trPr>
        <w:tc>
          <w:tcPr>
            <w:tcW w:w="59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Direct costs</w:t>
            </w:r>
          </w:p>
        </w:tc>
        <w:tc>
          <w:tcPr>
            <w:tcW w:w="1220" w:type="dxa"/>
            <w:vAlign w:val="bottom"/>
            <w:gridSpan w:val="5"/>
          </w:tcPr>
          <w:p>
            <w:pPr>
              <w:jc w:val="right"/>
              <w:ind w:right="320"/>
              <w:spacing w:after="0"/>
              <w:rPr>
                <w:sz w:val="20"/>
                <w:szCs w:val="20"/>
                <w:color w:val="auto"/>
              </w:rPr>
            </w:pPr>
            <w:r>
              <w:rPr>
                <w:rFonts w:ascii="Arial" w:cs="Arial" w:eastAsia="Arial" w:hAnsi="Arial"/>
                <w:sz w:val="14"/>
                <w:szCs w:val="14"/>
                <w:color w:val="auto"/>
              </w:rPr>
              <w:t>226,555</w:t>
            </w:r>
          </w:p>
        </w:tc>
        <w:tc>
          <w:tcPr>
            <w:tcW w:w="1540" w:type="dxa"/>
            <w:vAlign w:val="bottom"/>
            <w:gridSpan w:val="5"/>
          </w:tcPr>
          <w:p>
            <w:pPr>
              <w:jc w:val="right"/>
              <w:ind w:right="340"/>
              <w:spacing w:after="0"/>
              <w:rPr>
                <w:sz w:val="20"/>
                <w:szCs w:val="20"/>
                <w:color w:val="auto"/>
              </w:rPr>
            </w:pPr>
            <w:r>
              <w:rPr>
                <w:rFonts w:ascii="Arial" w:cs="Arial" w:eastAsia="Arial" w:hAnsi="Arial"/>
                <w:sz w:val="14"/>
                <w:szCs w:val="14"/>
                <w:color w:val="auto"/>
              </w:rPr>
              <w:t>229,963</w:t>
            </w:r>
          </w:p>
        </w:tc>
        <w:tc>
          <w:tcPr>
            <w:tcW w:w="1860" w:type="dxa"/>
            <w:vAlign w:val="bottom"/>
            <w:gridSpan w:val="5"/>
          </w:tcPr>
          <w:p>
            <w:pPr>
              <w:jc w:val="right"/>
              <w:ind w:right="660"/>
              <w:spacing w:after="0"/>
              <w:rPr>
                <w:sz w:val="20"/>
                <w:szCs w:val="20"/>
                <w:color w:val="auto"/>
              </w:rPr>
            </w:pPr>
            <w:r>
              <w:rPr>
                <w:rFonts w:ascii="Arial" w:cs="Arial" w:eastAsia="Arial" w:hAnsi="Arial"/>
                <w:sz w:val="14"/>
                <w:szCs w:val="14"/>
                <w:color w:val="auto"/>
              </w:rPr>
              <w:t>679,593</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673,291</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1220" w:type="dxa"/>
            <w:vAlign w:val="bottom"/>
            <w:gridSpan w:val="5"/>
          </w:tcPr>
          <w:p>
            <w:pPr>
              <w:jc w:val="right"/>
              <w:ind w:right="320"/>
              <w:spacing w:after="0"/>
              <w:rPr>
                <w:sz w:val="20"/>
                <w:szCs w:val="20"/>
                <w:color w:val="auto"/>
              </w:rPr>
            </w:pPr>
            <w:r>
              <w:rPr>
                <w:rFonts w:ascii="Arial" w:cs="Arial" w:eastAsia="Arial" w:hAnsi="Arial"/>
                <w:sz w:val="14"/>
                <w:szCs w:val="14"/>
                <w:color w:val="auto"/>
              </w:rPr>
              <w:t>82,435</w:t>
            </w:r>
          </w:p>
        </w:tc>
        <w:tc>
          <w:tcPr>
            <w:tcW w:w="1540" w:type="dxa"/>
            <w:vAlign w:val="bottom"/>
            <w:gridSpan w:val="5"/>
          </w:tcPr>
          <w:p>
            <w:pPr>
              <w:jc w:val="right"/>
              <w:ind w:right="340"/>
              <w:spacing w:after="0"/>
              <w:rPr>
                <w:sz w:val="20"/>
                <w:szCs w:val="20"/>
                <w:color w:val="auto"/>
              </w:rPr>
            </w:pPr>
            <w:r>
              <w:rPr>
                <w:rFonts w:ascii="Arial" w:cs="Arial" w:eastAsia="Arial" w:hAnsi="Arial"/>
                <w:sz w:val="14"/>
                <w:szCs w:val="14"/>
                <w:color w:val="auto"/>
              </w:rPr>
              <w:t>84,466</w:t>
            </w:r>
          </w:p>
        </w:tc>
        <w:tc>
          <w:tcPr>
            <w:tcW w:w="1860" w:type="dxa"/>
            <w:vAlign w:val="bottom"/>
            <w:gridSpan w:val="5"/>
          </w:tcPr>
          <w:p>
            <w:pPr>
              <w:jc w:val="right"/>
              <w:ind w:right="660"/>
              <w:spacing w:after="0"/>
              <w:rPr>
                <w:sz w:val="20"/>
                <w:szCs w:val="20"/>
                <w:color w:val="auto"/>
              </w:rPr>
            </w:pPr>
            <w:r>
              <w:rPr>
                <w:rFonts w:ascii="Arial" w:cs="Arial" w:eastAsia="Arial" w:hAnsi="Arial"/>
                <w:sz w:val="14"/>
                <w:szCs w:val="14"/>
                <w:color w:val="auto"/>
              </w:rPr>
              <w:t>243,310</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251,036</w:t>
            </w:r>
          </w:p>
        </w:tc>
        <w:tc>
          <w:tcPr>
            <w:tcW w:w="0" w:type="dxa"/>
            <w:vAlign w:val="bottom"/>
          </w:tcPr>
          <w:p>
            <w:pPr>
              <w:spacing w:after="0"/>
              <w:rPr>
                <w:sz w:val="1"/>
                <w:szCs w:val="1"/>
                <w:color w:val="auto"/>
              </w:rPr>
            </w:pPr>
          </w:p>
        </w:tc>
      </w:tr>
      <w:tr>
        <w:trPr>
          <w:trHeight w:val="181"/>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12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14,366</w:t>
            </w:r>
          </w:p>
        </w:tc>
        <w:tc>
          <w:tcPr>
            <w:tcW w:w="15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13,737</w:t>
            </w:r>
          </w:p>
        </w:tc>
        <w:tc>
          <w:tcPr>
            <w:tcW w:w="18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color w:val="auto"/>
              </w:rPr>
              <w:t>42,535</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38,207</w:t>
            </w:r>
          </w:p>
        </w:tc>
        <w:tc>
          <w:tcPr>
            <w:tcW w:w="0" w:type="dxa"/>
            <w:vAlign w:val="bottom"/>
          </w:tcPr>
          <w:p>
            <w:pPr>
              <w:spacing w:after="0"/>
              <w:rPr>
                <w:sz w:val="1"/>
                <w:szCs w:val="1"/>
                <w:color w:val="auto"/>
              </w:rPr>
            </w:pPr>
          </w:p>
        </w:tc>
      </w:tr>
      <w:tr>
        <w:trPr>
          <w:trHeight w:val="345"/>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12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323,356</w:t>
            </w:r>
          </w:p>
        </w:tc>
        <w:tc>
          <w:tcPr>
            <w:tcW w:w="15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328,166</w:t>
            </w:r>
          </w:p>
        </w:tc>
        <w:tc>
          <w:tcPr>
            <w:tcW w:w="18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color w:val="auto"/>
              </w:rPr>
              <w:t>965,438</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962,534</w:t>
            </w:r>
          </w:p>
        </w:tc>
        <w:tc>
          <w:tcPr>
            <w:tcW w:w="0" w:type="dxa"/>
            <w:vAlign w:val="bottom"/>
          </w:tcPr>
          <w:p>
            <w:pPr>
              <w:spacing w:after="0"/>
              <w:rPr>
                <w:sz w:val="1"/>
                <w:szCs w:val="1"/>
                <w:color w:val="auto"/>
              </w:rPr>
            </w:pPr>
          </w:p>
        </w:tc>
      </w:tr>
      <w:tr>
        <w:trPr>
          <w:trHeight w:val="346"/>
        </w:trPr>
        <w:tc>
          <w:tcPr>
            <w:tcW w:w="59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220" w:type="dxa"/>
            <w:vAlign w:val="bottom"/>
            <w:gridSpan w:val="5"/>
            <w:vMerge w:val="restart"/>
          </w:tcPr>
          <w:p>
            <w:pPr>
              <w:jc w:val="right"/>
              <w:ind w:right="320"/>
              <w:spacing w:after="0"/>
              <w:rPr>
                <w:sz w:val="20"/>
                <w:szCs w:val="20"/>
                <w:color w:val="auto"/>
              </w:rPr>
            </w:pPr>
            <w:r>
              <w:rPr>
                <w:rFonts w:ascii="Arial" w:cs="Arial" w:eastAsia="Arial" w:hAnsi="Arial"/>
                <w:sz w:val="14"/>
                <w:szCs w:val="14"/>
                <w:color w:val="auto"/>
              </w:rPr>
              <w:t>71,385</w:t>
            </w:r>
          </w:p>
        </w:tc>
        <w:tc>
          <w:tcPr>
            <w:tcW w:w="1540" w:type="dxa"/>
            <w:vAlign w:val="bottom"/>
            <w:gridSpan w:val="5"/>
            <w:vMerge w:val="restart"/>
          </w:tcPr>
          <w:p>
            <w:pPr>
              <w:jc w:val="right"/>
              <w:ind w:right="340"/>
              <w:spacing w:after="0"/>
              <w:rPr>
                <w:sz w:val="20"/>
                <w:szCs w:val="20"/>
                <w:color w:val="auto"/>
              </w:rPr>
            </w:pPr>
            <w:r>
              <w:rPr>
                <w:rFonts w:ascii="Arial" w:cs="Arial" w:eastAsia="Arial" w:hAnsi="Arial"/>
                <w:sz w:val="14"/>
                <w:szCs w:val="14"/>
                <w:color w:val="auto"/>
              </w:rPr>
              <w:t>59,423</w:t>
            </w:r>
          </w:p>
        </w:tc>
        <w:tc>
          <w:tcPr>
            <w:tcW w:w="1860" w:type="dxa"/>
            <w:vAlign w:val="bottom"/>
            <w:gridSpan w:val="5"/>
            <w:vMerge w:val="restart"/>
          </w:tcPr>
          <w:p>
            <w:pPr>
              <w:jc w:val="right"/>
              <w:ind w:right="660"/>
              <w:spacing w:after="0"/>
              <w:rPr>
                <w:sz w:val="20"/>
                <w:szCs w:val="20"/>
                <w:color w:val="auto"/>
              </w:rPr>
            </w:pPr>
            <w:r>
              <w:rPr>
                <w:rFonts w:ascii="Arial" w:cs="Arial" w:eastAsia="Arial" w:hAnsi="Arial"/>
                <w:sz w:val="14"/>
                <w:szCs w:val="14"/>
                <w:color w:val="auto"/>
              </w:rPr>
              <w:t>206,191</w:t>
            </w:r>
          </w:p>
        </w:tc>
        <w:tc>
          <w:tcPr>
            <w:tcW w:w="900" w:type="dxa"/>
            <w:vAlign w:val="bottom"/>
            <w:gridSpan w:val="4"/>
            <w:vMerge w:val="restart"/>
          </w:tcPr>
          <w:p>
            <w:pPr>
              <w:jc w:val="right"/>
              <w:spacing w:after="0"/>
              <w:rPr>
                <w:sz w:val="20"/>
                <w:szCs w:val="20"/>
                <w:color w:val="auto"/>
              </w:rPr>
            </w:pPr>
            <w:r>
              <w:rPr>
                <w:rFonts w:ascii="Arial" w:cs="Arial" w:eastAsia="Arial" w:hAnsi="Arial"/>
                <w:sz w:val="14"/>
                <w:szCs w:val="14"/>
                <w:color w:val="auto"/>
              </w:rPr>
              <w:t>150,709</w:t>
            </w:r>
          </w:p>
        </w:tc>
        <w:tc>
          <w:tcPr>
            <w:tcW w:w="0" w:type="dxa"/>
            <w:vAlign w:val="bottom"/>
          </w:tcPr>
          <w:p>
            <w:pPr>
              <w:spacing w:after="0"/>
              <w:rPr>
                <w:sz w:val="1"/>
                <w:szCs w:val="1"/>
                <w:color w:val="auto"/>
              </w:rPr>
            </w:pPr>
          </w:p>
        </w:tc>
      </w:tr>
      <w:tr>
        <w:trPr>
          <w:trHeight w:val="169"/>
        </w:trPr>
        <w:tc>
          <w:tcPr>
            <w:tcW w:w="5900" w:type="dxa"/>
            <w:vAlign w:val="bottom"/>
          </w:tcPr>
          <w:p>
            <w:pPr>
              <w:spacing w:after="0"/>
              <w:rPr>
                <w:sz w:val="14"/>
                <w:szCs w:val="14"/>
                <w:color w:val="auto"/>
              </w:rPr>
            </w:pPr>
          </w:p>
        </w:tc>
        <w:tc>
          <w:tcPr>
            <w:tcW w:w="1220" w:type="dxa"/>
            <w:vAlign w:val="bottom"/>
            <w:gridSpan w:val="5"/>
            <w:vMerge w:val="continue"/>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12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(647)</w:t>
            </w: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109</w:t>
            </w: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color w:val="auto"/>
              </w:rPr>
              <w:t>(660)</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346"/>
        </w:trPr>
        <w:tc>
          <w:tcPr>
            <w:tcW w:w="590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220" w:type="dxa"/>
            <w:vAlign w:val="bottom"/>
            <w:gridSpan w:val="5"/>
            <w:vMerge w:val="restart"/>
          </w:tcPr>
          <w:p>
            <w:pPr>
              <w:jc w:val="right"/>
              <w:ind w:right="320"/>
              <w:spacing w:after="0"/>
              <w:rPr>
                <w:sz w:val="20"/>
                <w:szCs w:val="20"/>
                <w:color w:val="auto"/>
              </w:rPr>
            </w:pPr>
            <w:r>
              <w:rPr>
                <w:rFonts w:ascii="Arial" w:cs="Arial" w:eastAsia="Arial" w:hAnsi="Arial"/>
                <w:sz w:val="14"/>
                <w:szCs w:val="14"/>
                <w:color w:val="auto"/>
              </w:rPr>
              <w:t>70,738</w:t>
            </w:r>
          </w:p>
        </w:tc>
        <w:tc>
          <w:tcPr>
            <w:tcW w:w="1540" w:type="dxa"/>
            <w:vAlign w:val="bottom"/>
            <w:gridSpan w:val="5"/>
            <w:vMerge w:val="restart"/>
          </w:tcPr>
          <w:p>
            <w:pPr>
              <w:jc w:val="right"/>
              <w:ind w:right="340"/>
              <w:spacing w:after="0"/>
              <w:rPr>
                <w:sz w:val="20"/>
                <w:szCs w:val="20"/>
                <w:color w:val="auto"/>
              </w:rPr>
            </w:pPr>
            <w:r>
              <w:rPr>
                <w:rFonts w:ascii="Arial" w:cs="Arial" w:eastAsia="Arial" w:hAnsi="Arial"/>
                <w:sz w:val="14"/>
                <w:szCs w:val="14"/>
                <w:color w:val="auto"/>
              </w:rPr>
              <w:t>59,532</w:t>
            </w:r>
          </w:p>
        </w:tc>
        <w:tc>
          <w:tcPr>
            <w:tcW w:w="1860" w:type="dxa"/>
            <w:vAlign w:val="bottom"/>
            <w:gridSpan w:val="5"/>
            <w:vMerge w:val="restart"/>
          </w:tcPr>
          <w:p>
            <w:pPr>
              <w:jc w:val="right"/>
              <w:ind w:right="660"/>
              <w:spacing w:after="0"/>
              <w:rPr>
                <w:sz w:val="20"/>
                <w:szCs w:val="20"/>
                <w:color w:val="auto"/>
              </w:rPr>
            </w:pPr>
            <w:r>
              <w:rPr>
                <w:rFonts w:ascii="Arial" w:cs="Arial" w:eastAsia="Arial" w:hAnsi="Arial"/>
                <w:sz w:val="14"/>
                <w:szCs w:val="14"/>
                <w:color w:val="auto"/>
              </w:rPr>
              <w:t>205,531</w:t>
            </w:r>
          </w:p>
        </w:tc>
        <w:tc>
          <w:tcPr>
            <w:tcW w:w="900" w:type="dxa"/>
            <w:vAlign w:val="bottom"/>
            <w:gridSpan w:val="4"/>
            <w:vMerge w:val="restart"/>
          </w:tcPr>
          <w:p>
            <w:pPr>
              <w:jc w:val="right"/>
              <w:spacing w:after="0"/>
              <w:rPr>
                <w:sz w:val="20"/>
                <w:szCs w:val="20"/>
                <w:color w:val="auto"/>
              </w:rPr>
            </w:pPr>
            <w:r>
              <w:rPr>
                <w:rFonts w:ascii="Arial" w:cs="Arial" w:eastAsia="Arial" w:hAnsi="Arial"/>
                <w:sz w:val="14"/>
                <w:szCs w:val="14"/>
                <w:color w:val="auto"/>
              </w:rPr>
              <w:t>150,871</w:t>
            </w:r>
          </w:p>
        </w:tc>
        <w:tc>
          <w:tcPr>
            <w:tcW w:w="0" w:type="dxa"/>
            <w:vAlign w:val="bottom"/>
          </w:tcPr>
          <w:p>
            <w:pPr>
              <w:spacing w:after="0"/>
              <w:rPr>
                <w:sz w:val="1"/>
                <w:szCs w:val="1"/>
                <w:color w:val="auto"/>
              </w:rPr>
            </w:pPr>
          </w:p>
        </w:tc>
      </w:tr>
      <w:tr>
        <w:trPr>
          <w:trHeight w:val="169"/>
        </w:trPr>
        <w:tc>
          <w:tcPr>
            <w:tcW w:w="5900" w:type="dxa"/>
            <w:vAlign w:val="bottom"/>
          </w:tcPr>
          <w:p>
            <w:pPr>
              <w:spacing w:after="0"/>
              <w:rPr>
                <w:sz w:val="14"/>
                <w:szCs w:val="14"/>
                <w:color w:val="auto"/>
              </w:rPr>
            </w:pPr>
          </w:p>
        </w:tc>
        <w:tc>
          <w:tcPr>
            <w:tcW w:w="1220" w:type="dxa"/>
            <w:vAlign w:val="bottom"/>
            <w:gridSpan w:val="5"/>
            <w:vMerge w:val="continue"/>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12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(9,196)</w:t>
            </w:r>
          </w:p>
        </w:tc>
        <w:tc>
          <w:tcPr>
            <w:tcW w:w="15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(9,216)</w:t>
            </w:r>
          </w:p>
        </w:tc>
        <w:tc>
          <w:tcPr>
            <w:tcW w:w="18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color w:val="auto"/>
              </w:rPr>
              <w:t>(29,534)</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(23,577)</w:t>
            </w:r>
          </w:p>
        </w:tc>
        <w:tc>
          <w:tcPr>
            <w:tcW w:w="0" w:type="dxa"/>
            <w:vAlign w:val="bottom"/>
          </w:tcPr>
          <w:p>
            <w:pPr>
              <w:spacing w:after="0"/>
              <w:rPr>
                <w:sz w:val="1"/>
                <w:szCs w:val="1"/>
                <w:color w:val="auto"/>
              </w:rPr>
            </w:pPr>
          </w:p>
        </w:tc>
      </w:tr>
      <w:tr>
        <w:trPr>
          <w:trHeight w:val="345"/>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12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$61,542</w:t>
            </w:r>
          </w:p>
        </w:tc>
        <w:tc>
          <w:tcPr>
            <w:tcW w:w="15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$50,316</w:t>
            </w:r>
          </w:p>
        </w:tc>
        <w:tc>
          <w:tcPr>
            <w:tcW w:w="18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color w:val="auto"/>
              </w:rPr>
              <w:t>$175,997</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$127,294</w:t>
            </w:r>
          </w:p>
        </w:tc>
        <w:tc>
          <w:tcPr>
            <w:tcW w:w="0" w:type="dxa"/>
            <w:vAlign w:val="bottom"/>
          </w:tcPr>
          <w:p>
            <w:pPr>
              <w:spacing w:after="0"/>
              <w:rPr>
                <w:sz w:val="1"/>
                <w:szCs w:val="1"/>
                <w:color w:val="auto"/>
              </w:rPr>
            </w:pPr>
          </w:p>
        </w:tc>
      </w:tr>
      <w:tr>
        <w:trPr>
          <w:trHeight w:val="346"/>
        </w:trPr>
        <w:tc>
          <w:tcPr>
            <w:tcW w:w="590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2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$1.05</w:t>
            </w:r>
          </w:p>
        </w:tc>
        <w:tc>
          <w:tcPr>
            <w:tcW w:w="15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$0.81</w:t>
            </w:r>
          </w:p>
        </w:tc>
        <w:tc>
          <w:tcPr>
            <w:tcW w:w="18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color w:val="auto"/>
              </w:rPr>
              <w:t>$2.95</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345"/>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2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$1.02</w:t>
            </w:r>
          </w:p>
        </w:tc>
        <w:tc>
          <w:tcPr>
            <w:tcW w:w="15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$0.79</w:t>
            </w:r>
          </w:p>
        </w:tc>
        <w:tc>
          <w:tcPr>
            <w:tcW w:w="18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color w:val="auto"/>
              </w:rPr>
              <w:t>$2.87</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346"/>
        </w:trPr>
        <w:tc>
          <w:tcPr>
            <w:tcW w:w="590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2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58,681,332</w:t>
            </w: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61,878,429</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59,735,791</w:t>
            </w: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61,863,332</w:t>
            </w:r>
          </w:p>
        </w:tc>
        <w:tc>
          <w:tcPr>
            <w:tcW w:w="0" w:type="dxa"/>
            <w:vAlign w:val="bottom"/>
          </w:tcPr>
          <w:p>
            <w:pPr>
              <w:spacing w:after="0"/>
              <w:rPr>
                <w:sz w:val="1"/>
                <w:szCs w:val="1"/>
                <w:color w:val="auto"/>
              </w:rPr>
            </w:pPr>
          </w:p>
        </w:tc>
      </w:tr>
      <w:tr>
        <w:trPr>
          <w:trHeight w:val="345"/>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2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60,391,448</w:t>
            </w: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63,442,607</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61,349,827</w:t>
            </w: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63,434,260</w:t>
            </w:r>
          </w:p>
        </w:tc>
        <w:tc>
          <w:tcPr>
            <w:tcW w:w="0" w:type="dxa"/>
            <w:vAlign w:val="bottom"/>
          </w:tcPr>
          <w:p>
            <w:pPr>
              <w:spacing w:after="0"/>
              <w:rPr>
                <w:sz w:val="1"/>
                <w:szCs w:val="1"/>
                <w:color w:val="auto"/>
              </w:rPr>
            </w:pPr>
          </w:p>
        </w:tc>
      </w:tr>
      <w:tr>
        <w:trPr>
          <w:trHeight w:val="304"/>
        </w:trPr>
        <w:tc>
          <w:tcPr>
            <w:tcW w:w="59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9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p>
      <w:pPr>
        <w:jc w:val="center"/>
        <w:ind w:right="-719"/>
        <w:spacing w:after="0"/>
        <w:rPr>
          <w:sz w:val="20"/>
          <w:szCs w:val="20"/>
          <w:color w:val="auto"/>
        </w:rPr>
      </w:pPr>
      <w:r>
        <w:rPr>
          <w:rFonts w:ascii="Arial" w:cs="Arial" w:eastAsia="Arial" w:hAnsi="Arial"/>
          <w:sz w:val="14"/>
          <w:szCs w:val="14"/>
          <w:b w:val="1"/>
          <w:bCs w:val="1"/>
          <w:color w:val="auto"/>
        </w:rPr>
        <w:t>ICON plc</w:t>
      </w:r>
    </w:p>
    <w:p>
      <w:pPr>
        <w:jc w:val="center"/>
        <w:ind w:right="-719"/>
        <w:spacing w:after="0" w:line="226" w:lineRule="auto"/>
        <w:rPr>
          <w:sz w:val="20"/>
          <w:szCs w:val="20"/>
          <w:color w:val="auto"/>
        </w:rPr>
      </w:pPr>
      <w:r>
        <w:rPr>
          <w:rFonts w:ascii="Arial" w:cs="Arial" w:eastAsia="Arial" w:hAnsi="Arial"/>
          <w:sz w:val="14"/>
          <w:szCs w:val="14"/>
          <w:b w:val="1"/>
          <w:bCs w:val="1"/>
          <w:color w:val="auto"/>
        </w:rPr>
        <w:t>Summary Balance Sheet Data</w:t>
      </w:r>
    </w:p>
    <w:p>
      <w:pPr>
        <w:jc w:val="center"/>
        <w:ind w:right="-719"/>
        <w:spacing w:after="0" w:line="222" w:lineRule="auto"/>
        <w:rPr>
          <w:sz w:val="20"/>
          <w:szCs w:val="20"/>
          <w:color w:val="auto"/>
        </w:rPr>
      </w:pPr>
      <w:r>
        <w:rPr>
          <w:rFonts w:ascii="Arial" w:cs="Arial" w:eastAsia="Arial" w:hAnsi="Arial"/>
          <w:sz w:val="14"/>
          <w:szCs w:val="14"/>
          <w:b w:val="1"/>
          <w:bCs w:val="1"/>
          <w:color w:val="auto"/>
        </w:rPr>
        <w:t>September 30, 2015 and June 30, 2015</w:t>
      </w:r>
    </w:p>
    <w:p>
      <w:pPr>
        <w:jc w:val="center"/>
        <w:ind w:right="-719"/>
        <w:spacing w:after="0"/>
        <w:rPr>
          <w:sz w:val="20"/>
          <w:szCs w:val="20"/>
          <w:color w:val="auto"/>
        </w:rPr>
      </w:pPr>
      <w:r>
        <w:rPr>
          <w:rFonts w:ascii="Arial" w:cs="Arial" w:eastAsia="Arial" w:hAnsi="Arial"/>
          <w:sz w:val="14"/>
          <w:szCs w:val="14"/>
          <w:b w:val="1"/>
          <w:bCs w:val="1"/>
          <w:color w:val="auto"/>
        </w:rPr>
        <w:t>(Dollars,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Pr>
          <w:p>
            <w:pPr>
              <w:spacing w:after="0"/>
              <w:rPr>
                <w:sz w:val="15"/>
                <w:szCs w:val="15"/>
                <w:color w:val="auto"/>
              </w:rPr>
            </w:pPr>
          </w:p>
        </w:tc>
        <w:tc>
          <w:tcPr>
            <w:tcW w:w="4480" w:type="dxa"/>
            <w:vAlign w:val="bottom"/>
          </w:tcPr>
          <w:p>
            <w:pPr>
              <w:jc w:val="center"/>
              <w:ind w:left="1248"/>
              <w:spacing w:after="0"/>
              <w:rPr>
                <w:sz w:val="20"/>
                <w:szCs w:val="20"/>
                <w:color w:val="auto"/>
              </w:rPr>
            </w:pPr>
            <w:r>
              <w:rPr>
                <w:rFonts w:ascii="Arial" w:cs="Arial" w:eastAsia="Arial" w:hAnsi="Arial"/>
                <w:sz w:val="14"/>
                <w:szCs w:val="14"/>
                <w:b w:val="1"/>
                <w:bCs w:val="1"/>
                <w:color w:val="auto"/>
                <w:w w:val="91"/>
              </w:rPr>
              <w:t>September 30,</w:t>
            </w:r>
          </w:p>
        </w:tc>
        <w:tc>
          <w:tcPr>
            <w:tcW w:w="1880" w:type="dxa"/>
            <w:vAlign w:val="bottom"/>
          </w:tcPr>
          <w:p>
            <w:pPr>
              <w:jc w:val="center"/>
              <w:ind w:left="1068"/>
              <w:spacing w:after="0"/>
              <w:rPr>
                <w:sz w:val="20"/>
                <w:szCs w:val="20"/>
                <w:color w:val="auto"/>
              </w:rPr>
            </w:pPr>
            <w:r>
              <w:rPr>
                <w:rFonts w:ascii="Arial" w:cs="Arial" w:eastAsia="Arial" w:hAnsi="Arial"/>
                <w:sz w:val="14"/>
                <w:szCs w:val="14"/>
                <w:b w:val="1"/>
                <w:bCs w:val="1"/>
                <w:color w:val="auto"/>
                <w:w w:val="89"/>
              </w:rPr>
              <w:t>June 30,</w:t>
            </w:r>
          </w:p>
        </w:tc>
      </w:tr>
      <w:tr>
        <w:trPr>
          <w:trHeight w:val="176"/>
        </w:trPr>
        <w:tc>
          <w:tcPr>
            <w:tcW w:w="4340" w:type="dxa"/>
            <w:vAlign w:val="bottom"/>
          </w:tcPr>
          <w:p>
            <w:pPr>
              <w:spacing w:after="0"/>
              <w:rPr>
                <w:sz w:val="15"/>
                <w:szCs w:val="15"/>
                <w:color w:val="auto"/>
              </w:rPr>
            </w:pPr>
          </w:p>
        </w:tc>
        <w:tc>
          <w:tcPr>
            <w:tcW w:w="4480" w:type="dxa"/>
            <w:vAlign w:val="bottom"/>
          </w:tcPr>
          <w:p>
            <w:pPr>
              <w:jc w:val="center"/>
              <w:ind w:left="1248"/>
              <w:spacing w:after="0"/>
              <w:rPr>
                <w:sz w:val="20"/>
                <w:szCs w:val="20"/>
                <w:color w:val="auto"/>
              </w:rPr>
            </w:pPr>
            <w:r>
              <w:rPr>
                <w:rFonts w:ascii="Arial" w:cs="Arial" w:eastAsia="Arial" w:hAnsi="Arial"/>
                <w:sz w:val="14"/>
                <w:szCs w:val="14"/>
                <w:b w:val="1"/>
                <w:bCs w:val="1"/>
                <w:color w:val="auto"/>
                <w:w w:val="89"/>
              </w:rPr>
              <w:t>2015</w:t>
            </w:r>
          </w:p>
        </w:tc>
        <w:tc>
          <w:tcPr>
            <w:tcW w:w="1880" w:type="dxa"/>
            <w:vAlign w:val="bottom"/>
          </w:tcPr>
          <w:p>
            <w:pPr>
              <w:jc w:val="center"/>
              <w:ind w:left="1088"/>
              <w:spacing w:after="0"/>
              <w:rPr>
                <w:sz w:val="20"/>
                <w:szCs w:val="20"/>
                <w:color w:val="auto"/>
              </w:rPr>
            </w:pPr>
            <w:r>
              <w:rPr>
                <w:rFonts w:ascii="Arial" w:cs="Arial" w:eastAsia="Arial" w:hAnsi="Arial"/>
                <w:sz w:val="14"/>
                <w:szCs w:val="14"/>
                <w:b w:val="1"/>
                <w:bCs w:val="1"/>
                <w:color w:val="auto"/>
                <w:w w:val="89"/>
              </w:rPr>
              <w:t>2015</w:t>
            </w:r>
          </w:p>
        </w:tc>
      </w:tr>
      <w:tr>
        <w:trPr>
          <w:trHeight w:val="186"/>
        </w:trPr>
        <w:tc>
          <w:tcPr>
            <w:tcW w:w="4340" w:type="dxa"/>
            <w:vAlign w:val="bottom"/>
          </w:tcPr>
          <w:p>
            <w:pPr>
              <w:spacing w:after="0"/>
              <w:rPr>
                <w:sz w:val="16"/>
                <w:szCs w:val="16"/>
                <w:color w:val="auto"/>
              </w:rPr>
            </w:pPr>
          </w:p>
        </w:tc>
        <w:tc>
          <w:tcPr>
            <w:tcW w:w="4480" w:type="dxa"/>
            <w:vAlign w:val="bottom"/>
          </w:tcPr>
          <w:p>
            <w:pPr>
              <w:jc w:val="center"/>
              <w:ind w:left="1228"/>
              <w:spacing w:after="0"/>
              <w:rPr>
                <w:sz w:val="20"/>
                <w:szCs w:val="20"/>
                <w:color w:val="auto"/>
              </w:rPr>
            </w:pPr>
            <w:r>
              <w:rPr>
                <w:rFonts w:ascii="Arial" w:cs="Arial" w:eastAsia="Arial" w:hAnsi="Arial"/>
                <w:sz w:val="14"/>
                <w:szCs w:val="14"/>
                <w:b w:val="1"/>
                <w:bCs w:val="1"/>
                <w:color w:val="auto"/>
                <w:w w:val="95"/>
              </w:rPr>
              <w:t>(Unaudited)</w:t>
            </w:r>
          </w:p>
        </w:tc>
        <w:tc>
          <w:tcPr>
            <w:tcW w:w="1880" w:type="dxa"/>
            <w:vAlign w:val="bottom"/>
          </w:tcPr>
          <w:p>
            <w:pPr>
              <w:jc w:val="center"/>
              <w:ind w:left="1068"/>
              <w:spacing w:after="0"/>
              <w:rPr>
                <w:sz w:val="20"/>
                <w:szCs w:val="20"/>
                <w:color w:val="auto"/>
              </w:rPr>
            </w:pPr>
            <w:r>
              <w:rPr>
                <w:rFonts w:ascii="Arial" w:cs="Arial" w:eastAsia="Arial" w:hAnsi="Arial"/>
                <w:sz w:val="14"/>
                <w:szCs w:val="14"/>
                <w:b w:val="1"/>
                <w:bCs w:val="1"/>
                <w:color w:val="auto"/>
                <w:w w:val="95"/>
              </w:rPr>
              <w:t>(Unaudited)</w:t>
            </w:r>
          </w:p>
        </w:tc>
      </w:tr>
      <w:tr>
        <w:trPr>
          <w:trHeight w:val="344"/>
        </w:trPr>
        <w:tc>
          <w:tcPr>
            <w:tcW w:w="434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480" w:type="dxa"/>
            <w:vAlign w:val="bottom"/>
          </w:tcPr>
          <w:p>
            <w:pPr>
              <w:jc w:val="center"/>
              <w:ind w:left="1248"/>
              <w:spacing w:after="0"/>
              <w:rPr>
                <w:sz w:val="20"/>
                <w:szCs w:val="20"/>
                <w:color w:val="auto"/>
              </w:rPr>
            </w:pPr>
            <w:r>
              <w:rPr>
                <w:rFonts w:ascii="Arial" w:cs="Arial" w:eastAsia="Arial" w:hAnsi="Arial"/>
                <w:sz w:val="14"/>
                <w:szCs w:val="14"/>
                <w:color w:val="auto"/>
                <w:w w:val="94"/>
              </w:rPr>
              <w:t>316,987</w:t>
            </w:r>
          </w:p>
        </w:tc>
        <w:tc>
          <w:tcPr>
            <w:tcW w:w="1880" w:type="dxa"/>
            <w:vAlign w:val="bottom"/>
          </w:tcPr>
          <w:p>
            <w:pPr>
              <w:jc w:val="center"/>
              <w:ind w:left="1088"/>
              <w:spacing w:after="0"/>
              <w:rPr>
                <w:sz w:val="20"/>
                <w:szCs w:val="20"/>
                <w:color w:val="auto"/>
              </w:rPr>
            </w:pPr>
            <w:r>
              <w:rPr>
                <w:rFonts w:ascii="Arial" w:cs="Arial" w:eastAsia="Arial" w:hAnsi="Arial"/>
                <w:sz w:val="14"/>
                <w:szCs w:val="14"/>
                <w:color w:val="auto"/>
                <w:w w:val="94"/>
              </w:rPr>
              <w:t>192,196</w:t>
            </w:r>
          </w:p>
        </w:tc>
      </w:tr>
      <w:tr>
        <w:trPr>
          <w:trHeight w:val="176"/>
        </w:trPr>
        <w:tc>
          <w:tcPr>
            <w:tcW w:w="4340" w:type="dxa"/>
            <w:vAlign w:val="bottom"/>
          </w:tcPr>
          <w:p>
            <w:pPr>
              <w:spacing w:after="0"/>
              <w:rPr>
                <w:sz w:val="20"/>
                <w:szCs w:val="20"/>
                <w:color w:val="auto"/>
              </w:rPr>
            </w:pPr>
            <w:r>
              <w:rPr>
                <w:rFonts w:ascii="Arial" w:cs="Arial" w:eastAsia="Arial" w:hAnsi="Arial"/>
                <w:sz w:val="14"/>
                <w:szCs w:val="14"/>
                <w:color w:val="auto"/>
              </w:rPr>
              <w:t>Debt</w:t>
            </w:r>
          </w:p>
        </w:tc>
        <w:tc>
          <w:tcPr>
            <w:tcW w:w="4480" w:type="dxa"/>
            <w:vAlign w:val="bottom"/>
          </w:tcPr>
          <w:p>
            <w:pPr>
              <w:jc w:val="center"/>
              <w:ind w:left="1248"/>
              <w:spacing w:after="0"/>
              <w:rPr>
                <w:sz w:val="20"/>
                <w:szCs w:val="20"/>
                <w:color w:val="auto"/>
              </w:rPr>
            </w:pPr>
            <w:r>
              <w:rPr>
                <w:rFonts w:ascii="Arial" w:cs="Arial" w:eastAsia="Arial" w:hAnsi="Arial"/>
                <w:sz w:val="14"/>
                <w:szCs w:val="14"/>
                <w:color w:val="auto"/>
                <w:w w:val="93"/>
              </w:rPr>
              <w:t>(350,000)</w:t>
            </w:r>
          </w:p>
        </w:tc>
        <w:tc>
          <w:tcPr>
            <w:tcW w:w="1880" w:type="dxa"/>
            <w:vAlign w:val="bottom"/>
          </w:tcPr>
          <w:p>
            <w:pPr>
              <w:jc w:val="center"/>
              <w:ind w:left="1088"/>
              <w:spacing w:after="0"/>
              <w:rPr>
                <w:sz w:val="20"/>
                <w:szCs w:val="20"/>
                <w:color w:val="auto"/>
              </w:rPr>
            </w:pPr>
            <w:r>
              <w:rPr>
                <w:rFonts w:ascii="Arial" w:cs="Arial" w:eastAsia="Arial" w:hAnsi="Arial"/>
                <w:sz w:val="14"/>
                <w:szCs w:val="14"/>
                <w:color w:val="auto"/>
                <w:w w:val="91"/>
              </w:rPr>
              <w:t>(60,000)</w:t>
            </w:r>
          </w:p>
        </w:tc>
      </w:tr>
      <w:tr>
        <w:trPr>
          <w:trHeight w:val="182"/>
        </w:trPr>
        <w:tc>
          <w:tcPr>
            <w:tcW w:w="4340" w:type="dxa"/>
            <w:vAlign w:val="bottom"/>
          </w:tcPr>
          <w:p>
            <w:pPr>
              <w:spacing w:after="0"/>
              <w:rPr>
                <w:sz w:val="20"/>
                <w:szCs w:val="20"/>
                <w:color w:val="auto"/>
              </w:rPr>
            </w:pPr>
            <w:r>
              <w:rPr>
                <w:rFonts w:ascii="Arial" w:cs="Arial" w:eastAsia="Arial" w:hAnsi="Arial"/>
                <w:sz w:val="14"/>
                <w:szCs w:val="14"/>
                <w:color w:val="auto"/>
              </w:rPr>
              <w:t>Net (debt)/cash</w:t>
            </w:r>
          </w:p>
        </w:tc>
        <w:tc>
          <w:tcPr>
            <w:tcW w:w="4480" w:type="dxa"/>
            <w:vAlign w:val="bottom"/>
          </w:tcPr>
          <w:p>
            <w:pPr>
              <w:jc w:val="center"/>
              <w:ind w:left="1248"/>
              <w:spacing w:after="0"/>
              <w:rPr>
                <w:sz w:val="20"/>
                <w:szCs w:val="20"/>
                <w:color w:val="auto"/>
              </w:rPr>
            </w:pPr>
            <w:r>
              <w:rPr>
                <w:rFonts w:ascii="Arial" w:cs="Arial" w:eastAsia="Arial" w:hAnsi="Arial"/>
                <w:sz w:val="14"/>
                <w:szCs w:val="14"/>
                <w:color w:val="auto"/>
                <w:w w:val="91"/>
              </w:rPr>
              <w:t>(33,014)</w:t>
            </w:r>
          </w:p>
        </w:tc>
        <w:tc>
          <w:tcPr>
            <w:tcW w:w="1880" w:type="dxa"/>
            <w:vAlign w:val="bottom"/>
          </w:tcPr>
          <w:p>
            <w:pPr>
              <w:jc w:val="center"/>
              <w:ind w:left="1088"/>
              <w:spacing w:after="0"/>
              <w:rPr>
                <w:sz w:val="20"/>
                <w:szCs w:val="20"/>
                <w:color w:val="auto"/>
              </w:rPr>
            </w:pPr>
            <w:r>
              <w:rPr>
                <w:rFonts w:ascii="Arial" w:cs="Arial" w:eastAsia="Arial" w:hAnsi="Arial"/>
                <w:sz w:val="14"/>
                <w:szCs w:val="14"/>
                <w:color w:val="auto"/>
                <w:w w:val="94"/>
              </w:rPr>
              <w:t>132,196</w:t>
            </w:r>
          </w:p>
        </w:tc>
      </w:tr>
      <w:tr>
        <w:trPr>
          <w:trHeight w:val="344"/>
        </w:trPr>
        <w:tc>
          <w:tcPr>
            <w:tcW w:w="4340" w:type="dxa"/>
            <w:vAlign w:val="bottom"/>
          </w:tcPr>
          <w:p>
            <w:pPr>
              <w:spacing w:after="0"/>
              <w:rPr>
                <w:sz w:val="20"/>
                <w:szCs w:val="20"/>
                <w:color w:val="auto"/>
              </w:rPr>
            </w:pPr>
            <w:r>
              <w:rPr>
                <w:rFonts w:ascii="Arial" w:cs="Arial" w:eastAsia="Arial" w:hAnsi="Arial"/>
                <w:sz w:val="14"/>
                <w:szCs w:val="14"/>
                <w:color w:val="auto"/>
              </w:rPr>
              <w:t>Accounts receivable</w:t>
            </w:r>
          </w:p>
        </w:tc>
        <w:tc>
          <w:tcPr>
            <w:tcW w:w="4480" w:type="dxa"/>
            <w:vAlign w:val="bottom"/>
          </w:tcPr>
          <w:p>
            <w:pPr>
              <w:jc w:val="center"/>
              <w:ind w:left="1248"/>
              <w:spacing w:after="0"/>
              <w:rPr>
                <w:sz w:val="20"/>
                <w:szCs w:val="20"/>
                <w:color w:val="auto"/>
              </w:rPr>
            </w:pPr>
            <w:r>
              <w:rPr>
                <w:rFonts w:ascii="Arial" w:cs="Arial" w:eastAsia="Arial" w:hAnsi="Arial"/>
                <w:sz w:val="14"/>
                <w:szCs w:val="14"/>
                <w:color w:val="auto"/>
                <w:w w:val="94"/>
              </w:rPr>
              <w:t>386,590</w:t>
            </w:r>
          </w:p>
        </w:tc>
        <w:tc>
          <w:tcPr>
            <w:tcW w:w="1880" w:type="dxa"/>
            <w:vAlign w:val="bottom"/>
          </w:tcPr>
          <w:p>
            <w:pPr>
              <w:jc w:val="center"/>
              <w:ind w:left="1088"/>
              <w:spacing w:after="0"/>
              <w:rPr>
                <w:sz w:val="20"/>
                <w:szCs w:val="20"/>
                <w:color w:val="auto"/>
              </w:rPr>
            </w:pPr>
            <w:r>
              <w:rPr>
                <w:rFonts w:ascii="Arial" w:cs="Arial" w:eastAsia="Arial" w:hAnsi="Arial"/>
                <w:sz w:val="14"/>
                <w:szCs w:val="14"/>
                <w:color w:val="auto"/>
                <w:w w:val="94"/>
              </w:rPr>
              <w:t>358,008</w:t>
            </w:r>
          </w:p>
        </w:tc>
      </w:tr>
      <w:tr>
        <w:trPr>
          <w:trHeight w:val="176"/>
        </w:trPr>
        <w:tc>
          <w:tcPr>
            <w:tcW w:w="4340" w:type="dxa"/>
            <w:vAlign w:val="bottom"/>
          </w:tcPr>
          <w:p>
            <w:pPr>
              <w:spacing w:after="0"/>
              <w:rPr>
                <w:sz w:val="20"/>
                <w:szCs w:val="20"/>
                <w:color w:val="auto"/>
              </w:rPr>
            </w:pPr>
            <w:r>
              <w:rPr>
                <w:rFonts w:ascii="Arial" w:cs="Arial" w:eastAsia="Arial" w:hAnsi="Arial"/>
                <w:sz w:val="14"/>
                <w:szCs w:val="14"/>
                <w:color w:val="auto"/>
              </w:rPr>
              <w:t>Unbilled revenue</w:t>
            </w:r>
          </w:p>
        </w:tc>
        <w:tc>
          <w:tcPr>
            <w:tcW w:w="4480" w:type="dxa"/>
            <w:vAlign w:val="bottom"/>
          </w:tcPr>
          <w:p>
            <w:pPr>
              <w:jc w:val="center"/>
              <w:ind w:left="1248"/>
              <w:spacing w:after="0"/>
              <w:rPr>
                <w:sz w:val="20"/>
                <w:szCs w:val="20"/>
                <w:color w:val="auto"/>
              </w:rPr>
            </w:pPr>
            <w:r>
              <w:rPr>
                <w:rFonts w:ascii="Arial" w:cs="Arial" w:eastAsia="Arial" w:hAnsi="Arial"/>
                <w:sz w:val="14"/>
                <w:szCs w:val="14"/>
                <w:color w:val="auto"/>
                <w:w w:val="94"/>
              </w:rPr>
              <w:t>195,646</w:t>
            </w:r>
          </w:p>
        </w:tc>
        <w:tc>
          <w:tcPr>
            <w:tcW w:w="1880" w:type="dxa"/>
            <w:vAlign w:val="bottom"/>
          </w:tcPr>
          <w:p>
            <w:pPr>
              <w:jc w:val="center"/>
              <w:ind w:left="1088"/>
              <w:spacing w:after="0"/>
              <w:rPr>
                <w:sz w:val="20"/>
                <w:szCs w:val="20"/>
                <w:color w:val="auto"/>
              </w:rPr>
            </w:pPr>
            <w:r>
              <w:rPr>
                <w:rFonts w:ascii="Arial" w:cs="Arial" w:eastAsia="Arial" w:hAnsi="Arial"/>
                <w:sz w:val="14"/>
                <w:szCs w:val="14"/>
                <w:color w:val="auto"/>
                <w:w w:val="94"/>
              </w:rPr>
              <w:t>173,614</w:t>
            </w:r>
          </w:p>
        </w:tc>
      </w:tr>
      <w:tr>
        <w:trPr>
          <w:trHeight w:val="176"/>
        </w:trPr>
        <w:tc>
          <w:tcPr>
            <w:tcW w:w="4340" w:type="dxa"/>
            <w:vAlign w:val="bottom"/>
          </w:tcPr>
          <w:p>
            <w:pPr>
              <w:spacing w:after="0"/>
              <w:rPr>
                <w:sz w:val="20"/>
                <w:szCs w:val="20"/>
                <w:color w:val="auto"/>
              </w:rPr>
            </w:pPr>
            <w:r>
              <w:rPr>
                <w:rFonts w:ascii="Arial" w:cs="Arial" w:eastAsia="Arial" w:hAnsi="Arial"/>
                <w:sz w:val="14"/>
                <w:szCs w:val="14"/>
                <w:color w:val="auto"/>
              </w:rPr>
              <w:t>Payments on account</w:t>
            </w:r>
          </w:p>
        </w:tc>
        <w:tc>
          <w:tcPr>
            <w:tcW w:w="4480" w:type="dxa"/>
            <w:vAlign w:val="bottom"/>
          </w:tcPr>
          <w:p>
            <w:pPr>
              <w:jc w:val="center"/>
              <w:ind w:left="1248"/>
              <w:spacing w:after="0"/>
              <w:rPr>
                <w:sz w:val="20"/>
                <w:szCs w:val="20"/>
                <w:color w:val="auto"/>
              </w:rPr>
            </w:pPr>
            <w:r>
              <w:rPr>
                <w:rFonts w:ascii="Arial" w:cs="Arial" w:eastAsia="Arial" w:hAnsi="Arial"/>
                <w:sz w:val="14"/>
                <w:szCs w:val="14"/>
                <w:color w:val="auto"/>
                <w:w w:val="93"/>
              </w:rPr>
              <w:t>(294,774 )</w:t>
            </w:r>
          </w:p>
        </w:tc>
        <w:tc>
          <w:tcPr>
            <w:tcW w:w="1880" w:type="dxa"/>
            <w:vAlign w:val="bottom"/>
          </w:tcPr>
          <w:p>
            <w:pPr>
              <w:jc w:val="center"/>
              <w:ind w:left="1088"/>
              <w:spacing w:after="0"/>
              <w:rPr>
                <w:sz w:val="20"/>
                <w:szCs w:val="20"/>
                <w:color w:val="auto"/>
              </w:rPr>
            </w:pPr>
            <w:r>
              <w:rPr>
                <w:rFonts w:ascii="Arial" w:cs="Arial" w:eastAsia="Arial" w:hAnsi="Arial"/>
                <w:sz w:val="14"/>
                <w:szCs w:val="14"/>
                <w:color w:val="auto"/>
                <w:w w:val="93"/>
              </w:rPr>
              <w:t>(268,494)</w:t>
            </w:r>
          </w:p>
        </w:tc>
      </w:tr>
      <w:tr>
        <w:trPr>
          <w:trHeight w:val="182"/>
        </w:trPr>
        <w:tc>
          <w:tcPr>
            <w:tcW w:w="4340" w:type="dxa"/>
            <w:vAlign w:val="bottom"/>
          </w:tcPr>
          <w:p>
            <w:pPr>
              <w:spacing w:after="0"/>
              <w:rPr>
                <w:sz w:val="20"/>
                <w:szCs w:val="20"/>
                <w:color w:val="auto"/>
              </w:rPr>
            </w:pPr>
            <w:r>
              <w:rPr>
                <w:rFonts w:ascii="Arial" w:cs="Arial" w:eastAsia="Arial" w:hAnsi="Arial"/>
                <w:sz w:val="14"/>
                <w:szCs w:val="14"/>
                <w:color w:val="auto"/>
              </w:rPr>
              <w:t>Total</w:t>
            </w:r>
          </w:p>
        </w:tc>
        <w:tc>
          <w:tcPr>
            <w:tcW w:w="4480" w:type="dxa"/>
            <w:vAlign w:val="bottom"/>
          </w:tcPr>
          <w:p>
            <w:pPr>
              <w:jc w:val="center"/>
              <w:ind w:left="1248"/>
              <w:spacing w:after="0"/>
              <w:rPr>
                <w:sz w:val="20"/>
                <w:szCs w:val="20"/>
                <w:color w:val="auto"/>
              </w:rPr>
            </w:pPr>
            <w:r>
              <w:rPr>
                <w:rFonts w:ascii="Arial" w:cs="Arial" w:eastAsia="Arial" w:hAnsi="Arial"/>
                <w:sz w:val="14"/>
                <w:szCs w:val="14"/>
                <w:color w:val="auto"/>
                <w:w w:val="94"/>
              </w:rPr>
              <w:t>287,462</w:t>
            </w:r>
          </w:p>
        </w:tc>
        <w:tc>
          <w:tcPr>
            <w:tcW w:w="1880" w:type="dxa"/>
            <w:vAlign w:val="bottom"/>
          </w:tcPr>
          <w:p>
            <w:pPr>
              <w:jc w:val="center"/>
              <w:ind w:left="1088"/>
              <w:spacing w:after="0"/>
              <w:rPr>
                <w:sz w:val="20"/>
                <w:szCs w:val="20"/>
                <w:color w:val="auto"/>
              </w:rPr>
            </w:pPr>
            <w:r>
              <w:rPr>
                <w:rFonts w:ascii="Arial" w:cs="Arial" w:eastAsia="Arial" w:hAnsi="Arial"/>
                <w:sz w:val="14"/>
                <w:szCs w:val="14"/>
                <w:color w:val="auto"/>
                <w:w w:val="94"/>
              </w:rPr>
              <w:t>263,128</w:t>
            </w:r>
          </w:p>
        </w:tc>
      </w:tr>
      <w:tr>
        <w:trPr>
          <w:trHeight w:val="351"/>
        </w:trPr>
        <w:tc>
          <w:tcPr>
            <w:tcW w:w="4340" w:type="dxa"/>
            <w:vAlign w:val="bottom"/>
          </w:tcPr>
          <w:p>
            <w:pPr>
              <w:spacing w:after="0"/>
              <w:rPr>
                <w:sz w:val="20"/>
                <w:szCs w:val="20"/>
                <w:color w:val="auto"/>
              </w:rPr>
            </w:pPr>
            <w:r>
              <w:rPr>
                <w:rFonts w:ascii="Arial" w:cs="Arial" w:eastAsia="Arial" w:hAnsi="Arial"/>
                <w:sz w:val="14"/>
                <w:szCs w:val="14"/>
                <w:color w:val="auto"/>
              </w:rPr>
              <w:t>Working Capital</w:t>
            </w:r>
          </w:p>
        </w:tc>
        <w:tc>
          <w:tcPr>
            <w:tcW w:w="4480" w:type="dxa"/>
            <w:vAlign w:val="bottom"/>
          </w:tcPr>
          <w:p>
            <w:pPr>
              <w:jc w:val="center"/>
              <w:ind w:left="1248"/>
              <w:spacing w:after="0"/>
              <w:rPr>
                <w:sz w:val="20"/>
                <w:szCs w:val="20"/>
                <w:color w:val="auto"/>
              </w:rPr>
            </w:pPr>
            <w:r>
              <w:rPr>
                <w:rFonts w:ascii="Arial" w:cs="Arial" w:eastAsia="Arial" w:hAnsi="Arial"/>
                <w:sz w:val="14"/>
                <w:szCs w:val="14"/>
                <w:color w:val="auto"/>
                <w:w w:val="94"/>
              </w:rPr>
              <w:t>107,377</w:t>
            </w:r>
          </w:p>
        </w:tc>
        <w:tc>
          <w:tcPr>
            <w:tcW w:w="1880" w:type="dxa"/>
            <w:vAlign w:val="bottom"/>
          </w:tcPr>
          <w:p>
            <w:pPr>
              <w:jc w:val="center"/>
              <w:ind w:left="1088"/>
              <w:spacing w:after="0"/>
              <w:rPr>
                <w:sz w:val="20"/>
                <w:szCs w:val="20"/>
                <w:color w:val="auto"/>
              </w:rPr>
            </w:pPr>
            <w:r>
              <w:rPr>
                <w:rFonts w:ascii="Arial" w:cs="Arial" w:eastAsia="Arial" w:hAnsi="Arial"/>
                <w:sz w:val="14"/>
                <w:szCs w:val="14"/>
                <w:color w:val="auto"/>
                <w:w w:val="94"/>
              </w:rPr>
              <w:t>260,485</w:t>
            </w:r>
          </w:p>
        </w:tc>
      </w:tr>
      <w:tr>
        <w:trPr>
          <w:trHeight w:val="351"/>
        </w:trPr>
        <w:tc>
          <w:tcPr>
            <w:tcW w:w="4340" w:type="dxa"/>
            <w:vAlign w:val="bottom"/>
          </w:tcPr>
          <w:p>
            <w:pPr>
              <w:spacing w:after="0"/>
              <w:rPr>
                <w:sz w:val="20"/>
                <w:szCs w:val="20"/>
                <w:color w:val="auto"/>
              </w:rPr>
            </w:pPr>
            <w:r>
              <w:rPr>
                <w:rFonts w:ascii="Arial" w:cs="Arial" w:eastAsia="Arial" w:hAnsi="Arial"/>
                <w:sz w:val="14"/>
                <w:szCs w:val="14"/>
                <w:color w:val="auto"/>
              </w:rPr>
              <w:t>Total Assets</w:t>
            </w:r>
          </w:p>
        </w:tc>
        <w:tc>
          <w:tcPr>
            <w:tcW w:w="4480" w:type="dxa"/>
            <w:vAlign w:val="bottom"/>
          </w:tcPr>
          <w:p>
            <w:pPr>
              <w:jc w:val="center"/>
              <w:ind w:left="1248"/>
              <w:spacing w:after="0"/>
              <w:rPr>
                <w:sz w:val="20"/>
                <w:szCs w:val="20"/>
                <w:color w:val="auto"/>
              </w:rPr>
            </w:pPr>
            <w:r>
              <w:rPr>
                <w:rFonts w:ascii="Arial" w:cs="Arial" w:eastAsia="Arial" w:hAnsi="Arial"/>
                <w:sz w:val="14"/>
                <w:szCs w:val="14"/>
                <w:color w:val="auto"/>
                <w:w w:val="89"/>
              </w:rPr>
              <w:t>1,812,792</w:t>
            </w:r>
          </w:p>
        </w:tc>
        <w:tc>
          <w:tcPr>
            <w:tcW w:w="1880" w:type="dxa"/>
            <w:vAlign w:val="bottom"/>
          </w:tcPr>
          <w:p>
            <w:pPr>
              <w:jc w:val="center"/>
              <w:ind w:left="1088"/>
              <w:spacing w:after="0"/>
              <w:rPr>
                <w:sz w:val="20"/>
                <w:szCs w:val="20"/>
                <w:color w:val="auto"/>
              </w:rPr>
            </w:pPr>
            <w:r>
              <w:rPr>
                <w:rFonts w:ascii="Arial" w:cs="Arial" w:eastAsia="Arial" w:hAnsi="Arial"/>
                <w:sz w:val="14"/>
                <w:szCs w:val="14"/>
                <w:color w:val="auto"/>
                <w:w w:val="89"/>
              </w:rPr>
              <w:t>1,636,254</w:t>
            </w:r>
          </w:p>
        </w:tc>
      </w:tr>
      <w:tr>
        <w:trPr>
          <w:trHeight w:val="351"/>
        </w:trPr>
        <w:tc>
          <w:tcPr>
            <w:tcW w:w="4340" w:type="dxa"/>
            <w:vAlign w:val="bottom"/>
          </w:tcPr>
          <w:p>
            <w:pPr>
              <w:spacing w:after="0"/>
              <w:rPr>
                <w:sz w:val="20"/>
                <w:szCs w:val="20"/>
                <w:color w:val="auto"/>
              </w:rPr>
            </w:pPr>
            <w:r>
              <w:rPr>
                <w:rFonts w:ascii="Arial" w:cs="Arial" w:eastAsia="Arial" w:hAnsi="Arial"/>
                <w:sz w:val="14"/>
                <w:szCs w:val="14"/>
                <w:color w:val="auto"/>
              </w:rPr>
              <w:t>Shareholder's Equity</w:t>
            </w:r>
          </w:p>
        </w:tc>
        <w:tc>
          <w:tcPr>
            <w:tcW w:w="4480" w:type="dxa"/>
            <w:vAlign w:val="bottom"/>
          </w:tcPr>
          <w:p>
            <w:pPr>
              <w:jc w:val="center"/>
              <w:ind w:left="1248"/>
              <w:spacing w:after="0"/>
              <w:rPr>
                <w:sz w:val="20"/>
                <w:szCs w:val="20"/>
                <w:color w:val="auto"/>
              </w:rPr>
            </w:pPr>
            <w:r>
              <w:rPr>
                <w:rFonts w:ascii="Arial" w:cs="Arial" w:eastAsia="Arial" w:hAnsi="Arial"/>
                <w:sz w:val="14"/>
                <w:szCs w:val="14"/>
                <w:color w:val="auto"/>
                <w:w w:val="94"/>
              </w:rPr>
              <w:t>863,266</w:t>
            </w:r>
          </w:p>
        </w:tc>
        <w:tc>
          <w:tcPr>
            <w:tcW w:w="1880" w:type="dxa"/>
            <w:vAlign w:val="bottom"/>
          </w:tcPr>
          <w:p>
            <w:pPr>
              <w:jc w:val="center"/>
              <w:ind w:left="1088"/>
              <w:spacing w:after="0"/>
              <w:rPr>
                <w:sz w:val="20"/>
                <w:szCs w:val="20"/>
                <w:color w:val="auto"/>
              </w:rPr>
            </w:pPr>
            <w:r>
              <w:rPr>
                <w:rFonts w:ascii="Arial" w:cs="Arial" w:eastAsia="Arial" w:hAnsi="Arial"/>
                <w:sz w:val="14"/>
                <w:szCs w:val="14"/>
                <w:color w:val="auto"/>
                <w:w w:val="89"/>
              </w:rPr>
              <w:t>1,022,212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 1 291 2000</w:t>
      </w:r>
    </w:p>
    <w:p>
      <w:pPr>
        <w:spacing w:after="0" w:line="230" w:lineRule="auto"/>
        <w:rPr>
          <w:sz w:val="20"/>
          <w:szCs w:val="20"/>
          <w:color w:val="auto"/>
        </w:rPr>
      </w:pPr>
      <w:r>
        <w:rPr>
          <w:rFonts w:ascii="Arial" w:cs="Arial" w:eastAsia="Arial" w:hAnsi="Arial"/>
          <w:sz w:val="22"/>
          <w:szCs w:val="22"/>
          <w:color w:val="auto"/>
        </w:rPr>
        <w:t>CFO</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Simon Holmes, +353 1 291 2000</w:t>
      </w:r>
    </w:p>
    <w:p>
      <w:pPr>
        <w:spacing w:after="0" w:line="230" w:lineRule="auto"/>
        <w:rPr>
          <w:sz w:val="20"/>
          <w:szCs w:val="20"/>
          <w:color w:val="auto"/>
        </w:rPr>
      </w:pPr>
      <w:r>
        <w:rPr>
          <w:rFonts w:ascii="Arial" w:cs="Arial" w:eastAsia="Arial" w:hAnsi="Arial"/>
          <w:sz w:val="22"/>
          <w:szCs w:val="22"/>
          <w:color w:val="auto"/>
        </w:rPr>
        <w:t>EVP IR &amp; Corporate Development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0700"/>
      </w:cols>
      <w:pgMar w:left="240" w:top="306"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2019-12-07T04:21:42Z</dcterms:created>
  <dcterms:modified xsi:type="dcterms:W3CDTF">2019-12-07T04:21:42Z</dcterms:modified>
</cp:coreProperties>
</file>