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19"/>
        <w:spacing w:after="0"/>
        <w:rPr>
          <w:sz w:val="20"/>
          <w:szCs w:val="20"/>
          <w:color w:val="auto"/>
        </w:rPr>
      </w:pPr>
      <w:r>
        <w:rPr>
          <w:rFonts w:ascii="Arial" w:cs="Arial" w:eastAsia="Arial" w:hAnsi="Arial"/>
          <w:sz w:val="29"/>
          <w:szCs w:val="29"/>
          <w:b w:val="1"/>
          <w:bCs w:val="1"/>
          <w:color w:val="auto"/>
        </w:rPr>
        <w:t>FORM 6-K</w:t>
      </w:r>
    </w:p>
    <w:p>
      <w:pPr>
        <w:spacing w:after="0" w:line="247" w:lineRule="exact"/>
        <w:rPr>
          <w:sz w:val="24"/>
          <w:szCs w:val="24"/>
          <w:color w:val="auto"/>
        </w:rPr>
      </w:pPr>
    </w:p>
    <w:p>
      <w:pPr>
        <w:jc w:val="center"/>
        <w:ind w:right="-619"/>
        <w:spacing w:after="0"/>
        <w:rPr>
          <w:sz w:val="20"/>
          <w:szCs w:val="20"/>
          <w:color w:val="auto"/>
        </w:rPr>
      </w:pPr>
      <w:r>
        <w:rPr>
          <w:rFonts w:ascii="Arial" w:cs="Arial" w:eastAsia="Arial" w:hAnsi="Arial"/>
          <w:sz w:val="29"/>
          <w:szCs w:val="29"/>
          <w:b w:val="1"/>
          <w:bCs w:val="1"/>
          <w:color w:val="auto"/>
        </w:rPr>
        <w:t>SECURITIES AND EXCHANGE COMMISSION</w:t>
      </w:r>
    </w:p>
    <w:p>
      <w:pPr>
        <w:spacing w:after="0" w:line="258" w:lineRule="exact"/>
        <w:rPr>
          <w:sz w:val="24"/>
          <w:szCs w:val="24"/>
          <w:color w:val="auto"/>
        </w:rPr>
      </w:pPr>
    </w:p>
    <w:p>
      <w:pPr>
        <w:jc w:val="center"/>
        <w:ind w:right="-619"/>
        <w:spacing w:after="0"/>
        <w:rPr>
          <w:sz w:val="20"/>
          <w:szCs w:val="20"/>
          <w:color w:val="auto"/>
        </w:rPr>
      </w:pPr>
      <w:r>
        <w:rPr>
          <w:rFonts w:ascii="Arial" w:cs="Arial" w:eastAsia="Arial" w:hAnsi="Arial"/>
          <w:sz w:val="22"/>
          <w:szCs w:val="22"/>
          <w:color w:val="auto"/>
        </w:rPr>
        <w:t>Washington, D.C. 20549</w:t>
      </w:r>
    </w:p>
    <w:p>
      <w:pPr>
        <w:spacing w:after="0" w:line="227" w:lineRule="exact"/>
        <w:rPr>
          <w:sz w:val="24"/>
          <w:szCs w:val="24"/>
          <w:color w:val="auto"/>
        </w:rPr>
      </w:pPr>
    </w:p>
    <w:p>
      <w:pPr>
        <w:jc w:val="center"/>
        <w:ind w:right="-619"/>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619"/>
        <w:spacing w:after="0"/>
        <w:rPr>
          <w:sz w:val="20"/>
          <w:szCs w:val="20"/>
          <w:color w:val="auto"/>
        </w:rPr>
      </w:pPr>
      <w:r>
        <w:rPr>
          <w:rFonts w:ascii="Arial" w:cs="Arial" w:eastAsia="Arial" w:hAnsi="Arial"/>
          <w:sz w:val="22"/>
          <w:szCs w:val="22"/>
          <w:b w:val="1"/>
          <w:bCs w:val="1"/>
          <w:color w:val="auto"/>
        </w:rPr>
        <w:t>Pursuant to Rule 13a-16 under</w:t>
      </w:r>
    </w:p>
    <w:p>
      <w:pPr>
        <w:jc w:val="center"/>
        <w:ind w:right="-619"/>
        <w:spacing w:after="0"/>
        <w:rPr>
          <w:sz w:val="20"/>
          <w:szCs w:val="20"/>
          <w:color w:val="auto"/>
        </w:rPr>
      </w:pPr>
      <w:r>
        <w:rPr>
          <w:rFonts w:ascii="Arial" w:cs="Arial" w:eastAsia="Arial" w:hAnsi="Arial"/>
          <w:sz w:val="22"/>
          <w:szCs w:val="22"/>
          <w:color w:val="auto"/>
        </w:rPr>
        <w:t>t</w:t>
      </w:r>
      <w:r>
        <w:rPr>
          <w:rFonts w:ascii="Arial" w:cs="Arial" w:eastAsia="Arial" w:hAnsi="Arial"/>
          <w:sz w:val="22"/>
          <w:szCs w:val="22"/>
          <w:b w:val="1"/>
          <w:bCs w:val="1"/>
          <w:color w:val="auto"/>
        </w:rPr>
        <w:t>he Securities Exchange Act of 1934</w:t>
      </w:r>
    </w:p>
    <w:p>
      <w:pPr>
        <w:spacing w:after="0" w:line="200" w:lineRule="exact"/>
        <w:rPr>
          <w:sz w:val="24"/>
          <w:szCs w:val="24"/>
          <w:color w:val="auto"/>
        </w:rPr>
      </w:pPr>
    </w:p>
    <w:p>
      <w:pPr>
        <w:spacing w:after="0" w:line="258" w:lineRule="exact"/>
        <w:rPr>
          <w:sz w:val="24"/>
          <w:szCs w:val="24"/>
          <w:color w:val="auto"/>
        </w:rPr>
      </w:pPr>
    </w:p>
    <w:p>
      <w:pPr>
        <w:ind w:left="4260"/>
        <w:spacing w:after="0"/>
        <w:rPr>
          <w:sz w:val="20"/>
          <w:szCs w:val="20"/>
          <w:color w:val="auto"/>
        </w:rPr>
      </w:pPr>
      <w:r>
        <w:rPr>
          <w:rFonts w:ascii="Arial" w:cs="Arial" w:eastAsia="Arial" w:hAnsi="Arial"/>
          <w:sz w:val="22"/>
          <w:szCs w:val="22"/>
          <w:color w:val="auto"/>
        </w:rPr>
        <w:t>For the month ended July, 2022</w:t>
      </w:r>
    </w:p>
    <w:p>
      <w:pPr>
        <w:spacing w:after="0" w:line="200" w:lineRule="exact"/>
        <w:rPr>
          <w:sz w:val="24"/>
          <w:szCs w:val="24"/>
          <w:color w:val="auto"/>
        </w:rPr>
      </w:pPr>
    </w:p>
    <w:p>
      <w:pPr>
        <w:spacing w:after="0" w:line="265" w:lineRule="exact"/>
        <w:rPr>
          <w:sz w:val="24"/>
          <w:szCs w:val="24"/>
          <w:color w:val="auto"/>
        </w:rPr>
      </w:pPr>
    </w:p>
    <w:p>
      <w:pPr>
        <w:jc w:val="center"/>
        <w:ind w:right="-619"/>
        <w:spacing w:after="0"/>
        <w:rPr>
          <w:sz w:val="20"/>
          <w:szCs w:val="20"/>
          <w:color w:val="auto"/>
        </w:rPr>
      </w:pPr>
      <w:r>
        <w:rPr>
          <w:rFonts w:ascii="Arial" w:cs="Arial" w:eastAsia="Arial" w:hAnsi="Arial"/>
          <w:sz w:val="29"/>
          <w:szCs w:val="29"/>
          <w:b w:val="1"/>
          <w:bCs w:val="1"/>
          <w:color w:val="auto"/>
        </w:rPr>
        <w:t>ICON plc</w:t>
      </w:r>
    </w:p>
    <w:p>
      <w:pPr>
        <w:spacing w:after="0" w:line="33" w:lineRule="exact"/>
        <w:rPr>
          <w:sz w:val="24"/>
          <w:szCs w:val="24"/>
          <w:color w:val="auto"/>
        </w:rPr>
      </w:pPr>
    </w:p>
    <w:p>
      <w:pPr>
        <w:ind w:left="4780"/>
        <w:spacing w:after="0"/>
        <w:rPr>
          <w:sz w:val="20"/>
          <w:szCs w:val="20"/>
          <w:color w:val="auto"/>
        </w:rPr>
      </w:pPr>
      <w:r>
        <w:rPr>
          <w:rFonts w:ascii="Arial" w:cs="Arial" w:eastAsia="Arial" w:hAnsi="Arial"/>
          <w:sz w:val="22"/>
          <w:szCs w:val="22"/>
          <w:color w:val="auto"/>
        </w:rPr>
        <w:t>(Registrant's name)</w:t>
      </w:r>
    </w:p>
    <w:p>
      <w:pPr>
        <w:spacing w:after="0" w:line="200" w:lineRule="exact"/>
        <w:rPr>
          <w:sz w:val="24"/>
          <w:szCs w:val="24"/>
          <w:color w:val="auto"/>
        </w:rPr>
      </w:pPr>
    </w:p>
    <w:p>
      <w:pPr>
        <w:spacing w:after="0" w:line="252" w:lineRule="exact"/>
        <w:rPr>
          <w:sz w:val="24"/>
          <w:szCs w:val="24"/>
          <w:color w:val="auto"/>
        </w:rPr>
      </w:pPr>
    </w:p>
    <w:p>
      <w:pPr>
        <w:jc w:val="center"/>
        <w:ind w:right="-619"/>
        <w:spacing w:after="0"/>
        <w:rPr>
          <w:sz w:val="20"/>
          <w:szCs w:val="20"/>
          <w:color w:val="auto"/>
        </w:rPr>
      </w:pPr>
      <w:r>
        <w:rPr>
          <w:rFonts w:ascii="Arial" w:cs="Arial" w:eastAsia="Arial" w:hAnsi="Arial"/>
          <w:sz w:val="22"/>
          <w:szCs w:val="22"/>
          <w:b w:val="1"/>
          <w:bCs w:val="1"/>
          <w:color w:val="auto"/>
        </w:rPr>
        <w:t>333-08704</w:t>
      </w:r>
    </w:p>
    <w:p>
      <w:pPr>
        <w:spacing w:after="0" w:line="14" w:lineRule="exact"/>
        <w:rPr>
          <w:sz w:val="24"/>
          <w:szCs w:val="24"/>
          <w:color w:val="auto"/>
        </w:rPr>
      </w:pPr>
    </w:p>
    <w:p>
      <w:pPr>
        <w:jc w:val="center"/>
        <w:ind w:right="-679"/>
        <w:spacing w:after="0"/>
        <w:rPr>
          <w:sz w:val="20"/>
          <w:szCs w:val="20"/>
          <w:color w:val="auto"/>
        </w:rPr>
      </w:pPr>
      <w:r>
        <w:rPr>
          <w:rFonts w:ascii="Arial" w:cs="Arial" w:eastAsia="Arial" w:hAnsi="Arial"/>
          <w:sz w:val="22"/>
          <w:szCs w:val="22"/>
          <w:color w:val="auto"/>
        </w:rPr>
        <w:t>(Commission file number)</w:t>
      </w:r>
    </w:p>
    <w:p>
      <w:pPr>
        <w:spacing w:after="0" w:line="200" w:lineRule="exact"/>
        <w:rPr>
          <w:sz w:val="24"/>
          <w:szCs w:val="24"/>
          <w:color w:val="auto"/>
        </w:rPr>
      </w:pPr>
    </w:p>
    <w:p>
      <w:pPr>
        <w:spacing w:after="0" w:line="258" w:lineRule="exact"/>
        <w:rPr>
          <w:sz w:val="24"/>
          <w:szCs w:val="24"/>
          <w:color w:val="auto"/>
        </w:rPr>
      </w:pPr>
    </w:p>
    <w:p>
      <w:pPr>
        <w:jc w:val="center"/>
        <w:ind w:right="-619"/>
        <w:spacing w:after="0"/>
        <w:rPr>
          <w:sz w:val="20"/>
          <w:szCs w:val="20"/>
          <w:color w:val="auto"/>
        </w:rPr>
      </w:pPr>
      <w:r>
        <w:rPr>
          <w:rFonts w:ascii="Arial" w:cs="Arial" w:eastAsia="Arial" w:hAnsi="Arial"/>
          <w:sz w:val="22"/>
          <w:szCs w:val="22"/>
          <w:color w:val="auto"/>
        </w:rPr>
        <w:t>South County Business Park, Leopardstown, Dublin 18, Ireland</w:t>
      </w:r>
    </w:p>
    <w:p>
      <w:pPr>
        <w:spacing w:after="0" w:line="8" w:lineRule="exact"/>
        <w:rPr>
          <w:sz w:val="24"/>
          <w:szCs w:val="24"/>
          <w:color w:val="auto"/>
        </w:rPr>
      </w:pPr>
    </w:p>
    <w:p>
      <w:pPr>
        <w:jc w:val="center"/>
        <w:ind w:right="-619"/>
        <w:spacing w:after="0"/>
        <w:rPr>
          <w:sz w:val="20"/>
          <w:szCs w:val="20"/>
          <w:color w:val="auto"/>
        </w:rPr>
      </w:pPr>
      <w:r>
        <w:rPr>
          <w:rFonts w:ascii="Arial" w:cs="Arial" w:eastAsia="Arial" w:hAnsi="Arial"/>
          <w:sz w:val="22"/>
          <w:szCs w:val="22"/>
          <w:color w:val="auto"/>
        </w:rPr>
        <w:t>(Address of principal executive offices)</w:t>
      </w:r>
    </w:p>
    <w:p>
      <w:pPr>
        <w:spacing w:after="0" w:line="200" w:lineRule="exact"/>
        <w:rPr>
          <w:sz w:val="24"/>
          <w:szCs w:val="24"/>
          <w:color w:val="auto"/>
        </w:rPr>
      </w:pPr>
    </w:p>
    <w:p>
      <w:pPr>
        <w:spacing w:after="0" w:line="258" w:lineRule="exact"/>
        <w:rPr>
          <w:sz w:val="24"/>
          <w:szCs w:val="24"/>
          <w:color w:val="auto"/>
        </w:rPr>
      </w:pPr>
    </w:p>
    <w:p>
      <w:pPr>
        <w:jc w:val="center"/>
        <w:ind w:right="-619"/>
        <w:spacing w:after="0"/>
        <w:rPr>
          <w:sz w:val="20"/>
          <w:szCs w:val="20"/>
          <w:color w:val="auto"/>
        </w:rPr>
      </w:pPr>
      <w:r>
        <w:rPr>
          <w:rFonts w:ascii="Arial" w:cs="Arial" w:eastAsia="Arial" w:hAnsi="Arial"/>
          <w:sz w:val="22"/>
          <w:szCs w:val="22"/>
          <w:color w:val="auto"/>
        </w:rPr>
        <w:t>Brendan Brennan, CFO</w:t>
      </w:r>
    </w:p>
    <w:p>
      <w:pPr>
        <w:jc w:val="center"/>
        <w:ind w:right="-619"/>
        <w:spacing w:after="0" w:line="238" w:lineRule="auto"/>
        <w:rPr>
          <w:sz w:val="20"/>
          <w:szCs w:val="20"/>
          <w:color w:val="auto"/>
        </w:rPr>
      </w:pPr>
      <w:r>
        <w:rPr>
          <w:rFonts w:ascii="Arial" w:cs="Arial" w:eastAsia="Arial" w:hAnsi="Arial"/>
          <w:sz w:val="22"/>
          <w:szCs w:val="22"/>
          <w:color w:val="auto"/>
        </w:rPr>
        <w:t>South County Business Park, Leopardstown, Dublin 18, Ireland.</w:t>
      </w:r>
    </w:p>
    <w:p>
      <w:pPr>
        <w:jc w:val="center"/>
        <w:ind w:right="-619"/>
        <w:spacing w:after="0" w:line="230" w:lineRule="auto"/>
        <w:rPr>
          <w:sz w:val="20"/>
          <w:szCs w:val="20"/>
          <w:color w:val="auto"/>
        </w:rPr>
      </w:pPr>
      <w:r>
        <w:rPr>
          <w:rFonts w:ascii="Arial" w:cs="Arial" w:eastAsia="Arial" w:hAnsi="Arial"/>
          <w:sz w:val="22"/>
          <w:szCs w:val="22"/>
          <w:color w:val="auto"/>
        </w:rPr>
        <w:t>Brendan.Brennan@iconplc.com</w:t>
      </w:r>
    </w:p>
    <w:p>
      <w:pPr>
        <w:jc w:val="center"/>
        <w:ind w:right="-619"/>
        <w:spacing w:after="0" w:line="231" w:lineRule="auto"/>
        <w:rPr>
          <w:sz w:val="20"/>
          <w:szCs w:val="20"/>
          <w:color w:val="auto"/>
        </w:rPr>
      </w:pPr>
      <w:r>
        <w:rPr>
          <w:rFonts w:ascii="Arial" w:cs="Arial" w:eastAsia="Arial" w:hAnsi="Arial"/>
          <w:sz w:val="22"/>
          <w:szCs w:val="22"/>
          <w:color w:val="auto"/>
        </w:rPr>
        <w:t>+353-1-291-2000</w:t>
      </w:r>
    </w:p>
    <w:p>
      <w:pPr>
        <w:jc w:val="center"/>
        <w:ind w:right="-679"/>
        <w:spacing w:after="0"/>
        <w:rPr>
          <w:sz w:val="20"/>
          <w:szCs w:val="20"/>
          <w:color w:val="auto"/>
        </w:rPr>
      </w:pPr>
      <w:r>
        <w:rPr>
          <w:rFonts w:ascii="Arial" w:cs="Arial" w:eastAsia="Arial" w:hAnsi="Arial"/>
          <w:sz w:val="22"/>
          <w:szCs w:val="22"/>
          <w:color w:val="auto"/>
        </w:rPr>
        <w:t>(Name, telephone number, email and/or facsimile number and address of Company contact person)</w:t>
      </w:r>
    </w:p>
    <w:p>
      <w:pPr>
        <w:spacing w:after="0" w:line="200" w:lineRule="exact"/>
        <w:rPr>
          <w:sz w:val="24"/>
          <w:szCs w:val="24"/>
          <w:color w:val="auto"/>
        </w:rPr>
      </w:pPr>
    </w:p>
    <w:p>
      <w:pPr>
        <w:spacing w:after="0" w:line="200" w:lineRule="exact"/>
        <w:rPr>
          <w:sz w:val="24"/>
          <w:szCs w:val="24"/>
          <w:color w:val="auto"/>
        </w:rPr>
      </w:pPr>
    </w:p>
    <w:p>
      <w:pPr>
        <w:spacing w:after="0" w:line="308"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23" w:lineRule="exact"/>
        <w:rPr>
          <w:sz w:val="24"/>
          <w:szCs w:val="24"/>
          <w:color w:val="auto"/>
        </w:rPr>
      </w:pPr>
    </w:p>
    <w:p>
      <w:pPr>
        <w:ind w:left="4500"/>
        <w:spacing w:after="0"/>
        <w:tabs>
          <w:tab w:leader="none" w:pos="6740" w:val="left"/>
        </w:tabs>
        <w:rPr>
          <w:sz w:val="20"/>
          <w:szCs w:val="20"/>
          <w:color w:val="auto"/>
        </w:rPr>
      </w:pPr>
      <w:r>
        <w:rPr>
          <w:rFonts w:ascii="Arial" w:cs="Arial" w:eastAsia="Arial" w:hAnsi="Arial"/>
          <w:sz w:val="18"/>
          <w:szCs w:val="18"/>
          <w:color w:val="auto"/>
        </w:rPr>
        <w:t>Form 20-F_X___</w:t>
      </w:r>
      <w:r>
        <w:rPr>
          <w:sz w:val="20"/>
          <w:szCs w:val="20"/>
          <w:color w:val="auto"/>
        </w:rPr>
        <w:tab/>
      </w:r>
      <w:r>
        <w:rPr>
          <w:rFonts w:ascii="Arial" w:cs="Arial" w:eastAsia="Arial" w:hAnsi="Arial"/>
          <w:sz w:val="16"/>
          <w:szCs w:val="16"/>
          <w:color w:val="auto"/>
        </w:rPr>
        <w:t>Form 40-F_______</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submitting the Form 6-K in paper as permitted by Regulation S-T Rule 101(b)(1):</w:t>
      </w:r>
    </w:p>
    <w:p>
      <w:pPr>
        <w:spacing w:after="0" w:line="23" w:lineRule="exact"/>
        <w:rPr>
          <w:sz w:val="24"/>
          <w:szCs w:val="24"/>
          <w:color w:val="auto"/>
        </w:rPr>
      </w:pPr>
    </w:p>
    <w:p>
      <w:pPr>
        <w:ind w:left="4500"/>
        <w:spacing w:after="0"/>
        <w:tabs>
          <w:tab w:leader="none" w:pos="6740" w:val="left"/>
        </w:tabs>
        <w:rPr>
          <w:sz w:val="20"/>
          <w:szCs w:val="20"/>
          <w:color w:val="auto"/>
        </w:rPr>
      </w:pPr>
      <w:r>
        <w:rPr>
          <w:rFonts w:ascii="Arial" w:cs="Arial" w:eastAsia="Arial" w:hAnsi="Arial"/>
          <w:sz w:val="18"/>
          <w:szCs w:val="18"/>
          <w:color w:val="auto"/>
        </w:rPr>
        <w:t>Yes______</w:t>
      </w:r>
      <w:r>
        <w:rPr>
          <w:sz w:val="20"/>
          <w:szCs w:val="20"/>
          <w:color w:val="auto"/>
        </w:rPr>
        <w:tab/>
      </w:r>
      <w:r>
        <w:rPr>
          <w:rFonts w:ascii="Arial" w:cs="Arial" w:eastAsia="Arial" w:hAnsi="Arial"/>
          <w:sz w:val="16"/>
          <w:szCs w:val="16"/>
          <w:color w:val="auto"/>
        </w:rPr>
        <w:t>No___</w:t>
      </w:r>
      <w:r>
        <w:rPr>
          <w:rFonts w:ascii="Arial" w:cs="Arial" w:eastAsia="Arial" w:hAnsi="Arial"/>
          <w:sz w:val="16"/>
          <w:szCs w:val="16"/>
          <w:b w:val="1"/>
          <w:bCs w:val="1"/>
          <w:color w:val="auto"/>
        </w:rPr>
        <w:t>X</w:t>
      </w:r>
      <w:r>
        <w:rPr>
          <w:rFonts w:ascii="Arial" w:cs="Arial" w:eastAsia="Arial" w:hAnsi="Arial"/>
          <w:sz w:val="16"/>
          <w:szCs w:val="16"/>
          <w:color w:val="auto"/>
        </w:rPr>
        <w:t>___</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submitting the Form 6-K in paper as permitted by Regulation S-T Rule 101(b)(7):</w:t>
      </w:r>
    </w:p>
    <w:p>
      <w:pPr>
        <w:spacing w:after="0" w:line="23" w:lineRule="exact"/>
        <w:rPr>
          <w:sz w:val="24"/>
          <w:szCs w:val="24"/>
          <w:color w:val="auto"/>
        </w:rPr>
      </w:pPr>
    </w:p>
    <w:p>
      <w:pPr>
        <w:ind w:left="4500"/>
        <w:spacing w:after="0"/>
        <w:tabs>
          <w:tab w:leader="none" w:pos="6740" w:val="left"/>
        </w:tabs>
        <w:rPr>
          <w:sz w:val="20"/>
          <w:szCs w:val="20"/>
          <w:color w:val="auto"/>
        </w:rPr>
      </w:pPr>
      <w:r>
        <w:rPr>
          <w:rFonts w:ascii="Arial" w:cs="Arial" w:eastAsia="Arial" w:hAnsi="Arial"/>
          <w:sz w:val="18"/>
          <w:szCs w:val="18"/>
          <w:color w:val="auto"/>
        </w:rPr>
        <w:t>Yes______</w:t>
      </w:r>
      <w:r>
        <w:rPr>
          <w:sz w:val="20"/>
          <w:szCs w:val="20"/>
          <w:color w:val="auto"/>
        </w:rPr>
        <w:tab/>
      </w:r>
      <w:r>
        <w:rPr>
          <w:rFonts w:ascii="Arial" w:cs="Arial" w:eastAsia="Arial" w:hAnsi="Arial"/>
          <w:sz w:val="16"/>
          <w:szCs w:val="16"/>
          <w:color w:val="auto"/>
        </w:rPr>
        <w:t>No___</w:t>
      </w:r>
      <w:r>
        <w:rPr>
          <w:rFonts w:ascii="Arial" w:cs="Arial" w:eastAsia="Arial" w:hAnsi="Arial"/>
          <w:sz w:val="16"/>
          <w:szCs w:val="16"/>
          <w:b w:val="1"/>
          <w:bCs w:val="1"/>
          <w:color w:val="auto"/>
        </w:rPr>
        <w:t>X</w:t>
      </w:r>
      <w:r>
        <w:rPr>
          <w:rFonts w:ascii="Arial" w:cs="Arial" w:eastAsia="Arial" w:hAnsi="Arial"/>
          <w:sz w:val="16"/>
          <w:szCs w:val="16"/>
          <w:color w:val="auto"/>
        </w:rPr>
        <w:t>___</w:t>
      </w:r>
    </w:p>
    <w:p>
      <w:pPr>
        <w:spacing w:after="0" w:line="211" w:lineRule="exact"/>
        <w:rPr>
          <w:sz w:val="24"/>
          <w:szCs w:val="24"/>
          <w:color w:val="auto"/>
        </w:rPr>
      </w:pPr>
    </w:p>
    <w:p>
      <w:pPr>
        <w:spacing w:after="0" w:line="258"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Rule12g3-2(b) under the Securities Exchange Act of 1934.</w:t>
      </w:r>
    </w:p>
    <w:p>
      <w:pPr>
        <w:spacing w:after="0" w:line="1" w:lineRule="exact"/>
        <w:rPr>
          <w:sz w:val="24"/>
          <w:szCs w:val="24"/>
          <w:color w:val="auto"/>
        </w:rPr>
      </w:pPr>
    </w:p>
    <w:p>
      <w:pPr>
        <w:ind w:left="4500"/>
        <w:spacing w:after="0"/>
        <w:tabs>
          <w:tab w:leader="none" w:pos="6740" w:val="left"/>
        </w:tabs>
        <w:rPr>
          <w:sz w:val="20"/>
          <w:szCs w:val="20"/>
          <w:color w:val="auto"/>
        </w:rPr>
      </w:pPr>
      <w:r>
        <w:rPr>
          <w:rFonts w:ascii="Arial" w:cs="Arial" w:eastAsia="Arial" w:hAnsi="Arial"/>
          <w:sz w:val="18"/>
          <w:szCs w:val="18"/>
          <w:color w:val="auto"/>
        </w:rPr>
        <w:t>Yes______</w:t>
      </w:r>
      <w:r>
        <w:rPr>
          <w:sz w:val="20"/>
          <w:szCs w:val="20"/>
          <w:color w:val="auto"/>
        </w:rPr>
        <w:tab/>
      </w:r>
      <w:r>
        <w:rPr>
          <w:rFonts w:ascii="Arial" w:cs="Arial" w:eastAsia="Arial" w:hAnsi="Arial"/>
          <w:sz w:val="16"/>
          <w:szCs w:val="16"/>
          <w:color w:val="auto"/>
        </w:rPr>
        <w:t>No___</w:t>
      </w:r>
      <w:r>
        <w:rPr>
          <w:rFonts w:ascii="Arial" w:cs="Arial" w:eastAsia="Arial" w:hAnsi="Arial"/>
          <w:sz w:val="16"/>
          <w:szCs w:val="16"/>
          <w:b w:val="1"/>
          <w:bCs w:val="1"/>
          <w:color w:val="auto"/>
        </w:rPr>
        <w:t>X</w:t>
      </w:r>
      <w:r>
        <w:rPr>
          <w:rFonts w:ascii="Arial" w:cs="Arial" w:eastAsia="Arial" w:hAnsi="Arial"/>
          <w:sz w:val="16"/>
          <w:szCs w:val="16"/>
          <w:color w:val="auto"/>
        </w:rPr>
        <w:t>___</w:t>
      </w:r>
    </w:p>
    <w:p>
      <w:pPr>
        <w:spacing w:after="0" w:line="207"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If "Yes" is marked, indicate below the file number assigned to the registrant in connection with Rule 12g3-2(b):82 </w:t>
      </w:r>
      <w:r>
        <w:rPr>
          <w:rFonts w:ascii="Arial" w:cs="Arial" w:eastAsia="Arial" w:hAnsi="Arial"/>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283210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20"/>
          </w:cols>
          <w:pgMar w:left="320" w:top="215" w:right="959" w:bottom="1440" w:gutter="0" w:footer="0" w:header="0"/>
        </w:sectPr>
      </w:pPr>
    </w:p>
    <w:bookmarkStart w:id="1" w:name="page2"/>
    <w:bookmarkEnd w:id="1"/>
    <w:p>
      <w:pPr>
        <w:jc w:val="center"/>
        <w:ind w:right="-339"/>
        <w:spacing w:after="0"/>
        <w:rPr>
          <w:sz w:val="20"/>
          <w:szCs w:val="20"/>
          <w:color w:val="auto"/>
        </w:rPr>
      </w:pPr>
      <w:r>
        <w:rPr>
          <w:rFonts w:ascii="Arial" w:cs="Arial" w:eastAsia="Arial" w:hAnsi="Arial"/>
          <w:sz w:val="22"/>
          <w:szCs w:val="22"/>
          <w:b w:val="1"/>
          <w:bCs w:val="1"/>
          <w:u w:val="single" w:color="auto"/>
          <w:color w:val="auto"/>
        </w:rPr>
        <w:t>EXHIBIT LIST</w:t>
      </w:r>
    </w:p>
    <w:p>
      <w:pPr>
        <w:spacing w:after="0" w:line="247"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u w:val="single" w:color="auto"/>
          <w:color w:val="auto"/>
        </w:rPr>
        <w:t>Exhibit</w:t>
      </w:r>
      <w:r>
        <w:rPr>
          <w:sz w:val="20"/>
          <w:szCs w:val="20"/>
          <w:color w:val="auto"/>
        </w:rPr>
        <w:tab/>
      </w:r>
      <w:r>
        <w:rPr>
          <w:rFonts w:ascii="Arial" w:cs="Arial" w:eastAsia="Arial" w:hAnsi="Arial"/>
          <w:sz w:val="18"/>
          <w:szCs w:val="18"/>
          <w:u w:val="single" w:color="auto"/>
          <w:color w:val="auto"/>
        </w:rPr>
        <w:t>Description</w:t>
      </w:r>
    </w:p>
    <w:p>
      <w:pPr>
        <w:spacing w:after="0" w:line="225" w:lineRule="exact"/>
        <w:rPr>
          <w:sz w:val="20"/>
          <w:szCs w:val="20"/>
          <w:color w:val="auto"/>
        </w:rPr>
      </w:pPr>
    </w:p>
    <w:p>
      <w:pPr>
        <w:spacing w:after="0"/>
        <w:tabs>
          <w:tab w:leader="none" w:pos="1340" w:val="left"/>
        </w:tabs>
        <w:rPr>
          <w:rFonts w:ascii="Arial" w:cs="Arial" w:eastAsia="Arial" w:hAnsi="Arial"/>
          <w:sz w:val="16"/>
          <w:szCs w:val="16"/>
          <w:u w:val="single" w:color="auto"/>
          <w:color w:val="0000EE"/>
        </w:rPr>
      </w:pPr>
      <w:hyperlink w:anchor="page4">
        <w:r>
          <w:rPr>
            <w:rFonts w:ascii="Arial" w:cs="Arial" w:eastAsia="Arial" w:hAnsi="Arial"/>
            <w:sz w:val="18"/>
            <w:szCs w:val="18"/>
            <w:u w:val="single" w:color="auto"/>
            <w:color w:val="0000EE"/>
          </w:rPr>
          <w:t>99.1</w:t>
        </w:r>
      </w:hyperlink>
      <w:r>
        <w:rPr>
          <w:rFonts w:ascii="Arial" w:cs="Arial" w:eastAsia="Arial" w:hAnsi="Arial"/>
          <w:sz w:val="18"/>
          <w:szCs w:val="18"/>
          <w:u w:val="single" w:color="auto"/>
          <w:color w:val="0000EE"/>
        </w:rPr>
        <w:tab/>
      </w:r>
      <w:hyperlink w:anchor="page4">
        <w:r>
          <w:rPr>
            <w:rFonts w:ascii="Arial" w:cs="Arial" w:eastAsia="Arial" w:hAnsi="Arial"/>
            <w:sz w:val="16"/>
            <w:szCs w:val="16"/>
            <w:u w:val="single" w:color="auto"/>
            <w:color w:val="0000EE"/>
          </w:rPr>
          <w:t>ICON plc Press Release issued July 27, 2022 – ICON Shareholders Vote in Favour of All Resolutions at its Annual General Meeting</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280670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0"/>
          </w:cols>
          <w:pgMar w:left="320" w:top="111" w:right="67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22"/>
          <w:szCs w:val="22"/>
          <w:b w:val="1"/>
          <w:bCs w:val="1"/>
          <w:color w:val="auto"/>
        </w:rPr>
        <w:t>SIGNATURES</w:t>
      </w:r>
    </w:p>
    <w:p>
      <w:pPr>
        <w:spacing w:after="0" w:line="240"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thereunto duly authorized.</w:t>
      </w:r>
    </w:p>
    <w:p>
      <w:pPr>
        <w:spacing w:after="0" w:line="205"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ICON plc</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Brendan Brennan</w:t>
      </w:r>
    </w:p>
    <w:p>
      <w:pPr>
        <w:spacing w:after="0" w:line="23" w:lineRule="exact"/>
        <w:rPr>
          <w:sz w:val="20"/>
          <w:szCs w:val="20"/>
          <w:color w:val="auto"/>
        </w:rPr>
      </w:pPr>
    </w:p>
    <w:p>
      <w:pPr>
        <w:ind w:left="5620" w:right="3940" w:hanging="5615"/>
        <w:spacing w:after="0" w:line="290" w:lineRule="auto"/>
        <w:tabs>
          <w:tab w:leader="none" w:pos="5600" w:val="left"/>
        </w:tabs>
        <w:rPr>
          <w:sz w:val="20"/>
          <w:szCs w:val="20"/>
          <w:color w:val="auto"/>
        </w:rPr>
      </w:pPr>
      <w:r>
        <w:rPr>
          <w:rFonts w:ascii="Arial" w:cs="Arial" w:eastAsia="Arial" w:hAnsi="Arial"/>
          <w:sz w:val="18"/>
          <w:szCs w:val="18"/>
          <w:color w:val="auto"/>
        </w:rPr>
        <w:t>Date: July 27, 2022</w:t>
      </w:r>
      <w:r>
        <w:rPr>
          <w:sz w:val="20"/>
          <w:szCs w:val="20"/>
          <w:color w:val="auto"/>
        </w:rPr>
        <w:tab/>
      </w:r>
      <w:r>
        <w:rPr>
          <w:rFonts w:ascii="Arial" w:cs="Arial" w:eastAsia="Arial" w:hAnsi="Arial"/>
          <w:sz w:val="17"/>
          <w:szCs w:val="17"/>
          <w:color w:val="auto"/>
        </w:rPr>
        <w:t>Brendan Brennan Chief Financial Officer</w:t>
      </w:r>
    </w:p>
    <w:p>
      <w:pPr>
        <w:sectPr>
          <w:pgSz w:w="11900" w:h="16838" w:orient="portrait"/>
          <w:cols w:equalWidth="0" w:num="1">
            <w:col w:w="11240"/>
          </w:cols>
          <w:pgMar w:left="320" w:top="111"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ICON Shareholders Vote in Favour of All Resolutions at its Annual General Meeting</w:t>
      </w:r>
    </w:p>
    <w:p>
      <w:pPr>
        <w:spacing w:after="0" w:line="221" w:lineRule="exact"/>
        <w:rPr>
          <w:sz w:val="20"/>
          <w:szCs w:val="20"/>
          <w:color w:val="auto"/>
        </w:rPr>
      </w:pPr>
    </w:p>
    <w:p>
      <w:pPr>
        <w:ind w:right="60"/>
        <w:spacing w:after="0" w:line="237" w:lineRule="auto"/>
        <w:rPr>
          <w:sz w:val="20"/>
          <w:szCs w:val="20"/>
          <w:color w:val="auto"/>
        </w:rPr>
      </w:pPr>
      <w:r>
        <w:rPr>
          <w:rFonts w:ascii="Arial" w:cs="Arial" w:eastAsia="Arial" w:hAnsi="Arial"/>
          <w:sz w:val="22"/>
          <w:szCs w:val="22"/>
          <w:color w:val="auto"/>
        </w:rPr>
        <w:t>DUBLIN--(BUSINESS WIRE)--July 27, 2022--</w:t>
      </w:r>
      <w:r>
        <w:rPr>
          <w:rFonts w:ascii="Arial" w:cs="Arial" w:eastAsia="Arial" w:hAnsi="Arial"/>
          <w:sz w:val="22"/>
          <w:szCs w:val="22"/>
          <w:b w:val="1"/>
          <w:bCs w:val="1"/>
          <w:color w:val="auto"/>
        </w:rPr>
        <w:t>ICON plc (NASDAQ: ICLR) ) (“ICON”),</w:t>
      </w:r>
      <w:r>
        <w:rPr>
          <w:rFonts w:ascii="Arial" w:cs="Arial" w:eastAsia="Arial" w:hAnsi="Arial"/>
          <w:sz w:val="22"/>
          <w:szCs w:val="22"/>
          <w:color w:val="auto"/>
        </w:rPr>
        <w:t xml:space="preserve"> a world-leading healthcare intelligence and clinical research organisation, today announced that all resolutions at the Annual General Meeting of the Company (AGM) held on July 26, 2022 (which resolutions had all been recommended by the Board) were all duly passed by shareholders. These resolutions were set out in the Notice of the AGM sent to shareholders dated June 17, 2022 and are available on the ICON plc website.</w:t>
      </w:r>
    </w:p>
    <w:p>
      <w:pPr>
        <w:spacing w:after="0" w:line="188" w:lineRule="exact"/>
        <w:rPr>
          <w:sz w:val="20"/>
          <w:szCs w:val="20"/>
          <w:color w:val="auto"/>
        </w:rPr>
      </w:pPr>
    </w:p>
    <w:p>
      <w:pPr>
        <w:ind w:right="780"/>
        <w:spacing w:after="0" w:line="250" w:lineRule="auto"/>
        <w:rPr>
          <w:sz w:val="20"/>
          <w:szCs w:val="20"/>
          <w:color w:val="auto"/>
        </w:rPr>
      </w:pPr>
      <w:r>
        <w:rPr>
          <w:rFonts w:ascii="Arial" w:cs="Arial" w:eastAsia="Arial" w:hAnsi="Arial"/>
          <w:sz w:val="22"/>
          <w:szCs w:val="22"/>
          <w:color w:val="auto"/>
        </w:rPr>
        <w:t>Forms of Proxy were received by ICON plc before the meeting, appointing proxies and giving them the following voting instructions:</w:t>
      </w:r>
    </w:p>
    <w:p>
      <w:pPr>
        <w:spacing w:after="0" w:line="173" w:lineRule="exact"/>
        <w:rPr>
          <w:sz w:val="20"/>
          <w:szCs w:val="20"/>
          <w:color w:val="auto"/>
        </w:rPr>
      </w:pPr>
    </w:p>
    <w:tbl>
      <w:tblPr>
        <w:tblLayout w:type="fixed"/>
        <w:tblInd w:w="10" w:type="dxa"/>
        <w:tblCellMar>
          <w:top w:w="0" w:type="dxa"/>
          <w:left w:w="0" w:type="dxa"/>
          <w:bottom w:w="0" w:type="dxa"/>
          <w:right w:w="0" w:type="dxa"/>
        </w:tblCellMar>
      </w:tblPr>
      <w:tr>
        <w:trPr>
          <w:trHeight w:val="228"/>
        </w:trPr>
        <w:tc>
          <w:tcPr>
            <w:tcW w:w="126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rPr>
              <w:t>RESOLUTION</w:t>
            </w:r>
          </w:p>
        </w:tc>
        <w:tc>
          <w:tcPr>
            <w:tcW w:w="4540" w:type="dxa"/>
            <w:vAlign w:val="bottom"/>
            <w:tcBorders>
              <w:top w:val="single" w:sz="8" w:color="auto"/>
              <w:right w:val="single" w:sz="8" w:color="auto"/>
            </w:tcBorders>
          </w:tcPr>
          <w:p>
            <w:pPr>
              <w:spacing w:after="0"/>
              <w:rPr>
                <w:sz w:val="19"/>
                <w:szCs w:val="19"/>
                <w:color w:val="auto"/>
              </w:rPr>
            </w:pPr>
          </w:p>
        </w:tc>
        <w:tc>
          <w:tcPr>
            <w:tcW w:w="1320" w:type="dxa"/>
            <w:vAlign w:val="bottom"/>
            <w:tcBorders>
              <w:top w:val="single" w:sz="8" w:color="auto"/>
              <w:right w:val="single" w:sz="8" w:color="auto"/>
            </w:tcBorders>
          </w:tcPr>
          <w:p>
            <w:pPr>
              <w:jc w:val="center"/>
              <w:ind w:right="10"/>
              <w:spacing w:after="0"/>
              <w:rPr>
                <w:sz w:val="20"/>
                <w:szCs w:val="20"/>
                <w:color w:val="auto"/>
              </w:rPr>
            </w:pPr>
            <w:r>
              <w:rPr>
                <w:rFonts w:ascii="Arial" w:cs="Arial" w:eastAsia="Arial" w:hAnsi="Arial"/>
                <w:sz w:val="18"/>
                <w:szCs w:val="18"/>
                <w:b w:val="1"/>
                <w:bCs w:val="1"/>
                <w:color w:val="auto"/>
              </w:rPr>
              <w:t>TOTAL</w:t>
            </w:r>
          </w:p>
        </w:tc>
        <w:tc>
          <w:tcPr>
            <w:tcW w:w="1340" w:type="dxa"/>
            <w:vAlign w:val="bottom"/>
            <w:tcBorders>
              <w:top w:val="single" w:sz="8" w:color="auto"/>
              <w:right w:val="single" w:sz="8" w:color="auto"/>
            </w:tcBorders>
          </w:tcPr>
          <w:p>
            <w:pPr>
              <w:spacing w:after="0"/>
              <w:rPr>
                <w:sz w:val="19"/>
                <w:szCs w:val="19"/>
                <w:color w:val="auto"/>
              </w:rPr>
            </w:pPr>
          </w:p>
        </w:tc>
        <w:tc>
          <w:tcPr>
            <w:tcW w:w="134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rPr>
              <w:t>VOTE</w:t>
            </w:r>
          </w:p>
        </w:tc>
        <w:tc>
          <w:tcPr>
            <w:tcW w:w="134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rPr>
              <w:t>VOTE</w:t>
            </w:r>
          </w:p>
        </w:tc>
        <w:tc>
          <w:tcPr>
            <w:tcW w:w="0" w:type="dxa"/>
            <w:vAlign w:val="bottom"/>
          </w:tcPr>
          <w:p>
            <w:pPr>
              <w:spacing w:after="0"/>
              <w:rPr>
                <w:sz w:val="1"/>
                <w:szCs w:val="1"/>
                <w:color w:val="auto"/>
              </w:rPr>
            </w:pPr>
          </w:p>
        </w:tc>
      </w:tr>
      <w:tr>
        <w:trPr>
          <w:trHeight w:val="108"/>
        </w:trPr>
        <w:tc>
          <w:tcPr>
            <w:tcW w:w="1260" w:type="dxa"/>
            <w:vAlign w:val="bottom"/>
            <w:tcBorders>
              <w:left w:val="single" w:sz="8" w:color="auto"/>
              <w:right w:val="single" w:sz="8" w:color="auto"/>
            </w:tcBorders>
            <w:vMerge w:val="continue"/>
          </w:tcPr>
          <w:p>
            <w:pPr>
              <w:spacing w:after="0"/>
              <w:rPr>
                <w:sz w:val="9"/>
                <w:szCs w:val="9"/>
                <w:color w:val="auto"/>
              </w:rPr>
            </w:pPr>
          </w:p>
        </w:tc>
        <w:tc>
          <w:tcPr>
            <w:tcW w:w="45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rPr>
              <w:t>RESOLUTION</w:t>
            </w:r>
          </w:p>
        </w:tc>
        <w:tc>
          <w:tcPr>
            <w:tcW w:w="1320" w:type="dxa"/>
            <w:vAlign w:val="bottom"/>
            <w:tcBorders>
              <w:right w:val="single" w:sz="8" w:color="auto"/>
            </w:tcBorders>
            <w:vMerge w:val="restart"/>
          </w:tcPr>
          <w:p>
            <w:pPr>
              <w:jc w:val="center"/>
              <w:ind w:right="10"/>
              <w:spacing w:after="0"/>
              <w:rPr>
                <w:sz w:val="20"/>
                <w:szCs w:val="20"/>
                <w:color w:val="auto"/>
              </w:rPr>
            </w:pPr>
            <w:r>
              <w:rPr>
                <w:rFonts w:ascii="Arial" w:cs="Arial" w:eastAsia="Arial" w:hAnsi="Arial"/>
                <w:sz w:val="18"/>
                <w:szCs w:val="18"/>
                <w:b w:val="1"/>
                <w:bCs w:val="1"/>
                <w:color w:val="auto"/>
              </w:rPr>
              <w:t>NUMBER OF</w:t>
            </w:r>
          </w:p>
        </w:tc>
        <w:tc>
          <w:tcPr>
            <w:tcW w:w="13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rPr>
              <w:t>VOTE FOR</w:t>
            </w:r>
          </w:p>
        </w:tc>
        <w:tc>
          <w:tcPr>
            <w:tcW w:w="1340" w:type="dxa"/>
            <w:vAlign w:val="bottom"/>
            <w:tcBorders>
              <w:right w:val="single" w:sz="8" w:color="auto"/>
            </w:tcBorders>
            <w:vMerge w:val="continue"/>
          </w:tcPr>
          <w:p>
            <w:pPr>
              <w:spacing w:after="0"/>
              <w:rPr>
                <w:sz w:val="9"/>
                <w:szCs w:val="9"/>
                <w:color w:val="auto"/>
              </w:rPr>
            </w:pPr>
          </w:p>
        </w:tc>
        <w:tc>
          <w:tcPr>
            <w:tcW w:w="134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2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rPr>
              <w:t>NUMBER</w:t>
            </w:r>
          </w:p>
        </w:tc>
        <w:tc>
          <w:tcPr>
            <w:tcW w:w="4540" w:type="dxa"/>
            <w:vAlign w:val="bottom"/>
            <w:tcBorders>
              <w:right w:val="single" w:sz="8" w:color="auto"/>
            </w:tcBorders>
            <w:vMerge w:val="continue"/>
          </w:tcPr>
          <w:p>
            <w:pPr>
              <w:spacing w:after="0"/>
              <w:rPr>
                <w:sz w:val="9"/>
                <w:szCs w:val="9"/>
                <w:color w:val="auto"/>
              </w:rPr>
            </w:pPr>
          </w:p>
        </w:tc>
        <w:tc>
          <w:tcPr>
            <w:tcW w:w="1320" w:type="dxa"/>
            <w:vAlign w:val="bottom"/>
            <w:tcBorders>
              <w:right w:val="single" w:sz="8" w:color="auto"/>
            </w:tcBorders>
            <w:vMerge w:val="continue"/>
          </w:tcPr>
          <w:p>
            <w:pPr>
              <w:spacing w:after="0"/>
              <w:rPr>
                <w:sz w:val="9"/>
                <w:szCs w:val="9"/>
                <w:color w:val="auto"/>
              </w:rPr>
            </w:pPr>
          </w:p>
        </w:tc>
        <w:tc>
          <w:tcPr>
            <w:tcW w:w="1340" w:type="dxa"/>
            <w:vAlign w:val="bottom"/>
            <w:tcBorders>
              <w:right w:val="single" w:sz="8" w:color="auto"/>
            </w:tcBorders>
            <w:vMerge w:val="continue"/>
          </w:tcPr>
          <w:p>
            <w:pPr>
              <w:spacing w:after="0"/>
              <w:rPr>
                <w:sz w:val="9"/>
                <w:szCs w:val="9"/>
                <w:color w:val="auto"/>
              </w:rPr>
            </w:pPr>
          </w:p>
        </w:tc>
        <w:tc>
          <w:tcPr>
            <w:tcW w:w="13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rPr>
              <w:t>AGAINST</w:t>
            </w:r>
          </w:p>
        </w:tc>
        <w:tc>
          <w:tcPr>
            <w:tcW w:w="13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rPr>
              <w:t>WITHHELD</w:t>
            </w:r>
          </w:p>
        </w:tc>
        <w:tc>
          <w:tcPr>
            <w:tcW w:w="0" w:type="dxa"/>
            <w:vAlign w:val="bottom"/>
          </w:tcPr>
          <w:p>
            <w:pPr>
              <w:spacing w:after="0"/>
              <w:rPr>
                <w:sz w:val="1"/>
                <w:szCs w:val="1"/>
                <w:color w:val="auto"/>
              </w:rPr>
            </w:pPr>
          </w:p>
        </w:tc>
      </w:tr>
      <w:tr>
        <w:trPr>
          <w:trHeight w:val="126"/>
        </w:trPr>
        <w:tc>
          <w:tcPr>
            <w:tcW w:w="1260" w:type="dxa"/>
            <w:vAlign w:val="bottom"/>
            <w:tcBorders>
              <w:left w:val="single" w:sz="8" w:color="auto"/>
              <w:right w:val="single" w:sz="8" w:color="auto"/>
            </w:tcBorders>
            <w:vMerge w:val="continue"/>
          </w:tcPr>
          <w:p>
            <w:pPr>
              <w:spacing w:after="0"/>
              <w:rPr>
                <w:sz w:val="10"/>
                <w:szCs w:val="10"/>
                <w:color w:val="auto"/>
              </w:rPr>
            </w:pPr>
          </w:p>
        </w:tc>
        <w:tc>
          <w:tcPr>
            <w:tcW w:w="4540" w:type="dxa"/>
            <w:vAlign w:val="bottom"/>
            <w:tcBorders>
              <w:right w:val="single" w:sz="8" w:color="auto"/>
            </w:tcBorders>
          </w:tcPr>
          <w:p>
            <w:pPr>
              <w:spacing w:after="0"/>
              <w:rPr>
                <w:sz w:val="10"/>
                <w:szCs w:val="10"/>
                <w:color w:val="auto"/>
              </w:rPr>
            </w:pPr>
          </w:p>
        </w:tc>
        <w:tc>
          <w:tcPr>
            <w:tcW w:w="13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8"/>
              </w:rPr>
              <w:t>VOTES</w:t>
            </w:r>
          </w:p>
        </w:tc>
        <w:tc>
          <w:tcPr>
            <w:tcW w:w="1340" w:type="dxa"/>
            <w:vAlign w:val="bottom"/>
            <w:tcBorders>
              <w:right w:val="single" w:sz="8" w:color="auto"/>
            </w:tcBorders>
          </w:tcPr>
          <w:p>
            <w:pPr>
              <w:spacing w:after="0"/>
              <w:rPr>
                <w:sz w:val="10"/>
                <w:szCs w:val="10"/>
                <w:color w:val="auto"/>
              </w:rPr>
            </w:pPr>
          </w:p>
        </w:tc>
        <w:tc>
          <w:tcPr>
            <w:tcW w:w="1340" w:type="dxa"/>
            <w:vAlign w:val="bottom"/>
            <w:tcBorders>
              <w:right w:val="single" w:sz="8" w:color="auto"/>
            </w:tcBorders>
            <w:vMerge w:val="continue"/>
          </w:tcPr>
          <w:p>
            <w:pPr>
              <w:spacing w:after="0"/>
              <w:rPr>
                <w:sz w:val="10"/>
                <w:szCs w:val="10"/>
                <w:color w:val="auto"/>
              </w:rPr>
            </w:pPr>
          </w:p>
        </w:tc>
        <w:tc>
          <w:tcPr>
            <w:tcW w:w="134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260" w:type="dxa"/>
            <w:vAlign w:val="bottom"/>
            <w:tcBorders>
              <w:left w:val="single" w:sz="8" w:color="auto"/>
              <w:right w:val="single" w:sz="8" w:color="auto"/>
            </w:tcBorders>
          </w:tcPr>
          <w:p>
            <w:pPr>
              <w:spacing w:after="0"/>
              <w:rPr>
                <w:sz w:val="9"/>
                <w:szCs w:val="9"/>
                <w:color w:val="auto"/>
              </w:rPr>
            </w:pPr>
          </w:p>
        </w:tc>
        <w:tc>
          <w:tcPr>
            <w:tcW w:w="4540" w:type="dxa"/>
            <w:vAlign w:val="bottom"/>
            <w:tcBorders>
              <w:right w:val="single" w:sz="8" w:color="auto"/>
            </w:tcBorders>
          </w:tcPr>
          <w:p>
            <w:pPr>
              <w:spacing w:after="0"/>
              <w:rPr>
                <w:sz w:val="9"/>
                <w:szCs w:val="9"/>
                <w:color w:val="auto"/>
              </w:rPr>
            </w:pPr>
          </w:p>
        </w:tc>
        <w:tc>
          <w:tcPr>
            <w:tcW w:w="1320" w:type="dxa"/>
            <w:vAlign w:val="bottom"/>
            <w:tcBorders>
              <w:right w:val="single" w:sz="8" w:color="auto"/>
            </w:tcBorders>
            <w:vMerge w:val="continue"/>
          </w:tcPr>
          <w:p>
            <w:pPr>
              <w:spacing w:after="0"/>
              <w:rPr>
                <w:sz w:val="9"/>
                <w:szCs w:val="9"/>
                <w:color w:val="auto"/>
              </w:rPr>
            </w:pPr>
          </w:p>
        </w:tc>
        <w:tc>
          <w:tcPr>
            <w:tcW w:w="1340" w:type="dxa"/>
            <w:vAlign w:val="bottom"/>
            <w:tcBorders>
              <w:right w:val="single" w:sz="8" w:color="auto"/>
            </w:tcBorders>
          </w:tcPr>
          <w:p>
            <w:pPr>
              <w:spacing w:after="0"/>
              <w:rPr>
                <w:sz w:val="9"/>
                <w:szCs w:val="9"/>
                <w:color w:val="auto"/>
              </w:rPr>
            </w:pPr>
          </w:p>
        </w:tc>
        <w:tc>
          <w:tcPr>
            <w:tcW w:w="1340" w:type="dxa"/>
            <w:vAlign w:val="bottom"/>
            <w:tcBorders>
              <w:right w:val="single" w:sz="8" w:color="auto"/>
            </w:tcBorders>
          </w:tcPr>
          <w:p>
            <w:pPr>
              <w:spacing w:after="0"/>
              <w:rPr>
                <w:sz w:val="9"/>
                <w:szCs w:val="9"/>
                <w:color w:val="auto"/>
              </w:rPr>
            </w:pPr>
          </w:p>
        </w:tc>
        <w:tc>
          <w:tcPr>
            <w:tcW w:w="13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44"/>
        </w:trPr>
        <w:tc>
          <w:tcPr>
            <w:tcW w:w="1260" w:type="dxa"/>
            <w:vAlign w:val="bottom"/>
            <w:tcBorders>
              <w:left w:val="single" w:sz="8" w:color="auto"/>
              <w:bottom w:val="single" w:sz="8" w:color="auto"/>
              <w:right w:val="single" w:sz="8" w:color="auto"/>
            </w:tcBorders>
          </w:tcPr>
          <w:p>
            <w:pPr>
              <w:spacing w:after="0"/>
              <w:rPr>
                <w:sz w:val="3"/>
                <w:szCs w:val="3"/>
                <w:color w:val="auto"/>
              </w:rPr>
            </w:pPr>
          </w:p>
        </w:tc>
        <w:tc>
          <w:tcPr>
            <w:tcW w:w="4540" w:type="dxa"/>
            <w:vAlign w:val="bottom"/>
            <w:tcBorders>
              <w:bottom w:val="single" w:sz="8" w:color="auto"/>
              <w:right w:val="single" w:sz="8" w:color="auto"/>
            </w:tcBorders>
          </w:tcPr>
          <w:p>
            <w:pPr>
              <w:spacing w:after="0"/>
              <w:rPr>
                <w:sz w:val="3"/>
                <w:szCs w:val="3"/>
                <w:color w:val="auto"/>
              </w:rPr>
            </w:pPr>
          </w:p>
        </w:tc>
        <w:tc>
          <w:tcPr>
            <w:tcW w:w="1320" w:type="dxa"/>
            <w:vAlign w:val="bottom"/>
            <w:tcBorders>
              <w:bottom w:val="single" w:sz="8" w:color="auto"/>
              <w:right w:val="single" w:sz="8" w:color="auto"/>
            </w:tcBorders>
          </w:tcPr>
          <w:p>
            <w:pPr>
              <w:spacing w:after="0"/>
              <w:rPr>
                <w:sz w:val="3"/>
                <w:szCs w:val="3"/>
                <w:color w:val="auto"/>
              </w:rPr>
            </w:pPr>
          </w:p>
        </w:tc>
        <w:tc>
          <w:tcPr>
            <w:tcW w:w="1340" w:type="dxa"/>
            <w:vAlign w:val="bottom"/>
            <w:tcBorders>
              <w:bottom w:val="single" w:sz="8" w:color="auto"/>
              <w:right w:val="single" w:sz="8" w:color="auto"/>
            </w:tcBorders>
          </w:tcPr>
          <w:p>
            <w:pPr>
              <w:spacing w:after="0"/>
              <w:rPr>
                <w:sz w:val="3"/>
                <w:szCs w:val="3"/>
                <w:color w:val="auto"/>
              </w:rPr>
            </w:pPr>
          </w:p>
        </w:tc>
        <w:tc>
          <w:tcPr>
            <w:tcW w:w="1340" w:type="dxa"/>
            <w:vAlign w:val="bottom"/>
            <w:tcBorders>
              <w:bottom w:val="single" w:sz="8" w:color="auto"/>
              <w:right w:val="single" w:sz="8" w:color="auto"/>
            </w:tcBorders>
          </w:tcPr>
          <w:p>
            <w:pPr>
              <w:spacing w:after="0"/>
              <w:rPr>
                <w:sz w:val="3"/>
                <w:szCs w:val="3"/>
                <w:color w:val="auto"/>
              </w:rPr>
            </w:pPr>
          </w:p>
        </w:tc>
        <w:tc>
          <w:tcPr>
            <w:tcW w:w="13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7"/>
        </w:trPr>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1.1</w:t>
            </w:r>
          </w:p>
        </w:tc>
        <w:tc>
          <w:tcPr>
            <w:tcW w:w="4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To re-elect Dr. Steve Cutler</w:t>
            </w:r>
          </w:p>
        </w:tc>
        <w:tc>
          <w:tcPr>
            <w:tcW w:w="13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68,779,075</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68,477,992</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282,603</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18,480</w:t>
            </w:r>
          </w:p>
        </w:tc>
        <w:tc>
          <w:tcPr>
            <w:tcW w:w="0" w:type="dxa"/>
            <w:vAlign w:val="bottom"/>
          </w:tcPr>
          <w:p>
            <w:pPr>
              <w:spacing w:after="0"/>
              <w:rPr>
                <w:sz w:val="1"/>
                <w:szCs w:val="1"/>
                <w:color w:val="auto"/>
              </w:rPr>
            </w:pPr>
          </w:p>
        </w:tc>
      </w:tr>
      <w:tr>
        <w:trPr>
          <w:trHeight w:val="235"/>
        </w:trPr>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1.2</w:t>
            </w:r>
          </w:p>
        </w:tc>
        <w:tc>
          <w:tcPr>
            <w:tcW w:w="4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To re-elect Dr. John Climax</w:t>
            </w:r>
          </w:p>
        </w:tc>
        <w:tc>
          <w:tcPr>
            <w:tcW w:w="13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68,779,075</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68,422,769</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335,587</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20,719</w:t>
            </w:r>
          </w:p>
        </w:tc>
        <w:tc>
          <w:tcPr>
            <w:tcW w:w="0" w:type="dxa"/>
            <w:vAlign w:val="bottom"/>
          </w:tcPr>
          <w:p>
            <w:pPr>
              <w:spacing w:after="0"/>
              <w:rPr>
                <w:sz w:val="1"/>
                <w:szCs w:val="1"/>
                <w:color w:val="auto"/>
              </w:rPr>
            </w:pPr>
          </w:p>
        </w:tc>
      </w:tr>
      <w:tr>
        <w:trPr>
          <w:trHeight w:val="237"/>
        </w:trPr>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1.3</w:t>
            </w:r>
          </w:p>
        </w:tc>
        <w:tc>
          <w:tcPr>
            <w:tcW w:w="4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To re-elect Mr. Ronan Murphy</w:t>
            </w:r>
          </w:p>
        </w:tc>
        <w:tc>
          <w:tcPr>
            <w:tcW w:w="13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68,779,075</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66,367,298</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2,390,837</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20,940</w:t>
            </w:r>
          </w:p>
        </w:tc>
        <w:tc>
          <w:tcPr>
            <w:tcW w:w="0" w:type="dxa"/>
            <w:vAlign w:val="bottom"/>
          </w:tcPr>
          <w:p>
            <w:pPr>
              <w:spacing w:after="0"/>
              <w:rPr>
                <w:sz w:val="1"/>
                <w:szCs w:val="1"/>
                <w:color w:val="auto"/>
              </w:rPr>
            </w:pPr>
          </w:p>
        </w:tc>
      </w:tr>
      <w:tr>
        <w:trPr>
          <w:trHeight w:val="237"/>
        </w:trPr>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79"/>
              </w:rPr>
              <w:t>2</w:t>
            </w:r>
          </w:p>
        </w:tc>
        <w:tc>
          <w:tcPr>
            <w:tcW w:w="4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To receive accounts and reports</w:t>
            </w:r>
          </w:p>
        </w:tc>
        <w:tc>
          <w:tcPr>
            <w:tcW w:w="13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73,569,137</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68,462,797</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11,999</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304,279</w:t>
            </w:r>
          </w:p>
        </w:tc>
        <w:tc>
          <w:tcPr>
            <w:tcW w:w="0" w:type="dxa"/>
            <w:vAlign w:val="bottom"/>
          </w:tcPr>
          <w:p>
            <w:pPr>
              <w:spacing w:after="0"/>
              <w:rPr>
                <w:sz w:val="1"/>
                <w:szCs w:val="1"/>
                <w:color w:val="auto"/>
              </w:rPr>
            </w:pPr>
          </w:p>
        </w:tc>
      </w:tr>
      <w:tr>
        <w:trPr>
          <w:trHeight w:val="236"/>
        </w:trPr>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79"/>
              </w:rPr>
              <w:t>3</w:t>
            </w:r>
          </w:p>
        </w:tc>
        <w:tc>
          <w:tcPr>
            <w:tcW w:w="4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To authorise the fixing of the auditors’ remuneration</w:t>
            </w:r>
          </w:p>
        </w:tc>
        <w:tc>
          <w:tcPr>
            <w:tcW w:w="13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68,446,624</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63,672,735</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5,081,059</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25,281</w:t>
            </w:r>
          </w:p>
        </w:tc>
        <w:tc>
          <w:tcPr>
            <w:tcW w:w="0" w:type="dxa"/>
            <w:vAlign w:val="bottom"/>
          </w:tcPr>
          <w:p>
            <w:pPr>
              <w:spacing w:after="0"/>
              <w:rPr>
                <w:sz w:val="1"/>
                <w:szCs w:val="1"/>
                <w:color w:val="auto"/>
              </w:rPr>
            </w:pPr>
          </w:p>
        </w:tc>
      </w:tr>
      <w:tr>
        <w:trPr>
          <w:trHeight w:val="236"/>
        </w:trPr>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79"/>
              </w:rPr>
              <w:t>4</w:t>
            </w:r>
          </w:p>
        </w:tc>
        <w:tc>
          <w:tcPr>
            <w:tcW w:w="4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To authorise the Company to allot shares</w:t>
            </w:r>
          </w:p>
        </w:tc>
        <w:tc>
          <w:tcPr>
            <w:tcW w:w="13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68,779,075</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67,765,424</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886,295</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127,356</w:t>
            </w:r>
          </w:p>
        </w:tc>
        <w:tc>
          <w:tcPr>
            <w:tcW w:w="0" w:type="dxa"/>
            <w:vAlign w:val="bottom"/>
          </w:tcPr>
          <w:p>
            <w:pPr>
              <w:spacing w:after="0"/>
              <w:rPr>
                <w:sz w:val="1"/>
                <w:szCs w:val="1"/>
                <w:color w:val="auto"/>
              </w:rPr>
            </w:pPr>
          </w:p>
        </w:tc>
      </w:tr>
      <w:tr>
        <w:trPr>
          <w:trHeight w:val="237"/>
        </w:trPr>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5**</w:t>
            </w:r>
          </w:p>
        </w:tc>
        <w:tc>
          <w:tcPr>
            <w:tcW w:w="4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To disapply pre-emption rights</w:t>
            </w:r>
          </w:p>
        </w:tc>
        <w:tc>
          <w:tcPr>
            <w:tcW w:w="13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68,779,075</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68,606,325</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39,628</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133,122</w:t>
            </w:r>
          </w:p>
        </w:tc>
        <w:tc>
          <w:tcPr>
            <w:tcW w:w="0" w:type="dxa"/>
            <w:vAlign w:val="bottom"/>
          </w:tcPr>
          <w:p>
            <w:pPr>
              <w:spacing w:after="0"/>
              <w:rPr>
                <w:sz w:val="1"/>
                <w:szCs w:val="1"/>
                <w:color w:val="auto"/>
              </w:rPr>
            </w:pPr>
          </w:p>
        </w:tc>
      </w:tr>
      <w:tr>
        <w:trPr>
          <w:trHeight w:val="213"/>
        </w:trPr>
        <w:tc>
          <w:tcPr>
            <w:tcW w:w="12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rPr>
              <w:t>6**</w:t>
            </w:r>
          </w:p>
        </w:tc>
        <w:tc>
          <w:tcPr>
            <w:tcW w:w="45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To disapply pre-emption rights for funding capital investment</w:t>
            </w:r>
          </w:p>
        </w:tc>
        <w:tc>
          <w:tcPr>
            <w:tcW w:w="132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1260" w:type="dxa"/>
            <w:vAlign w:val="bottom"/>
            <w:tcBorders>
              <w:right w:val="single" w:sz="8" w:color="auto"/>
            </w:tcBorders>
            <w:vMerge w:val="continue"/>
          </w:tcPr>
          <w:p>
            <w:pPr>
              <w:spacing w:after="0"/>
              <w:rPr>
                <w:sz w:val="10"/>
                <w:szCs w:val="10"/>
                <w:color w:val="auto"/>
              </w:rPr>
            </w:pPr>
          </w:p>
        </w:tc>
        <w:tc>
          <w:tcPr>
            <w:tcW w:w="45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or acquisitions</w:t>
            </w:r>
          </w:p>
        </w:tc>
        <w:tc>
          <w:tcPr>
            <w:tcW w:w="13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68,779,075</w:t>
            </w:r>
          </w:p>
        </w:tc>
        <w:tc>
          <w:tcPr>
            <w:tcW w:w="13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8"/>
              </w:rPr>
              <w:t>68,556,034</w:t>
            </w:r>
          </w:p>
        </w:tc>
        <w:tc>
          <w:tcPr>
            <w:tcW w:w="13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7"/>
              </w:rPr>
              <w:t>92,233</w:t>
            </w:r>
          </w:p>
        </w:tc>
        <w:tc>
          <w:tcPr>
            <w:tcW w:w="13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130,808</w:t>
            </w:r>
          </w:p>
        </w:tc>
        <w:tc>
          <w:tcPr>
            <w:tcW w:w="0" w:type="dxa"/>
            <w:vAlign w:val="bottom"/>
          </w:tcPr>
          <w:p>
            <w:pPr>
              <w:spacing w:after="0"/>
              <w:rPr>
                <w:sz w:val="1"/>
                <w:szCs w:val="1"/>
                <w:color w:val="auto"/>
              </w:rPr>
            </w:pPr>
          </w:p>
        </w:tc>
      </w:tr>
      <w:tr>
        <w:trPr>
          <w:trHeight w:val="115"/>
        </w:trPr>
        <w:tc>
          <w:tcPr>
            <w:tcW w:w="1260" w:type="dxa"/>
            <w:vAlign w:val="bottom"/>
            <w:tcBorders>
              <w:bottom w:val="single" w:sz="8" w:color="auto"/>
              <w:right w:val="single" w:sz="8" w:color="auto"/>
            </w:tcBorders>
          </w:tcPr>
          <w:p>
            <w:pPr>
              <w:spacing w:after="0"/>
              <w:rPr>
                <w:sz w:val="10"/>
                <w:szCs w:val="10"/>
                <w:color w:val="auto"/>
              </w:rPr>
            </w:pPr>
          </w:p>
        </w:tc>
        <w:tc>
          <w:tcPr>
            <w:tcW w:w="4540" w:type="dxa"/>
            <w:vAlign w:val="bottom"/>
            <w:tcBorders>
              <w:bottom w:val="single" w:sz="8" w:color="auto"/>
              <w:right w:val="single" w:sz="8" w:color="auto"/>
            </w:tcBorders>
            <w:vMerge w:val="continue"/>
          </w:tcPr>
          <w:p>
            <w:pPr>
              <w:spacing w:after="0"/>
              <w:rPr>
                <w:sz w:val="10"/>
                <w:szCs w:val="10"/>
                <w:color w:val="auto"/>
              </w:rPr>
            </w:pPr>
          </w:p>
        </w:tc>
        <w:tc>
          <w:tcPr>
            <w:tcW w:w="1320" w:type="dxa"/>
            <w:vAlign w:val="bottom"/>
            <w:tcBorders>
              <w:bottom w:val="single" w:sz="8" w:color="auto"/>
              <w:right w:val="single" w:sz="8" w:color="auto"/>
            </w:tcBorders>
            <w:vMerge w:val="continue"/>
          </w:tcPr>
          <w:p>
            <w:pPr>
              <w:spacing w:after="0"/>
              <w:rPr>
                <w:sz w:val="10"/>
                <w:szCs w:val="10"/>
                <w:color w:val="auto"/>
              </w:rPr>
            </w:pPr>
          </w:p>
        </w:tc>
        <w:tc>
          <w:tcPr>
            <w:tcW w:w="1340" w:type="dxa"/>
            <w:vAlign w:val="bottom"/>
            <w:tcBorders>
              <w:bottom w:val="single" w:sz="8" w:color="auto"/>
              <w:right w:val="single" w:sz="8" w:color="auto"/>
            </w:tcBorders>
            <w:vMerge w:val="continue"/>
          </w:tcPr>
          <w:p>
            <w:pPr>
              <w:spacing w:after="0"/>
              <w:rPr>
                <w:sz w:val="10"/>
                <w:szCs w:val="10"/>
                <w:color w:val="auto"/>
              </w:rPr>
            </w:pPr>
          </w:p>
        </w:tc>
        <w:tc>
          <w:tcPr>
            <w:tcW w:w="1340" w:type="dxa"/>
            <w:vAlign w:val="bottom"/>
            <w:tcBorders>
              <w:bottom w:val="single" w:sz="8" w:color="auto"/>
              <w:right w:val="single" w:sz="8" w:color="auto"/>
            </w:tcBorders>
            <w:vMerge w:val="continue"/>
          </w:tcPr>
          <w:p>
            <w:pPr>
              <w:spacing w:after="0"/>
              <w:rPr>
                <w:sz w:val="10"/>
                <w:szCs w:val="10"/>
                <w:color w:val="auto"/>
              </w:rPr>
            </w:pPr>
          </w:p>
        </w:tc>
        <w:tc>
          <w:tcPr>
            <w:tcW w:w="134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5"/>
        </w:trPr>
        <w:tc>
          <w:tcPr>
            <w:tcW w:w="12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rPr>
              <w:t>7**</w:t>
            </w:r>
          </w:p>
        </w:tc>
        <w:tc>
          <w:tcPr>
            <w:tcW w:w="45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To authorise the Company to make market purchases of</w:t>
            </w:r>
          </w:p>
        </w:tc>
        <w:tc>
          <w:tcPr>
            <w:tcW w:w="132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1260" w:type="dxa"/>
            <w:vAlign w:val="bottom"/>
            <w:tcBorders>
              <w:right w:val="single" w:sz="8" w:color="auto"/>
            </w:tcBorders>
            <w:vMerge w:val="continue"/>
          </w:tcPr>
          <w:p>
            <w:pPr>
              <w:spacing w:after="0"/>
              <w:rPr>
                <w:sz w:val="10"/>
                <w:szCs w:val="10"/>
                <w:color w:val="auto"/>
              </w:rPr>
            </w:pPr>
          </w:p>
        </w:tc>
        <w:tc>
          <w:tcPr>
            <w:tcW w:w="45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5"/>
              </w:rPr>
              <w:t>shares</w:t>
            </w:r>
          </w:p>
        </w:tc>
        <w:tc>
          <w:tcPr>
            <w:tcW w:w="13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68,779,075</w:t>
            </w:r>
          </w:p>
        </w:tc>
        <w:tc>
          <w:tcPr>
            <w:tcW w:w="13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8"/>
              </w:rPr>
              <w:t>68,347,004</w:t>
            </w:r>
          </w:p>
        </w:tc>
        <w:tc>
          <w:tcPr>
            <w:tcW w:w="13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145,030</w:t>
            </w:r>
          </w:p>
        </w:tc>
        <w:tc>
          <w:tcPr>
            <w:tcW w:w="13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287,041</w:t>
            </w:r>
          </w:p>
        </w:tc>
        <w:tc>
          <w:tcPr>
            <w:tcW w:w="0" w:type="dxa"/>
            <w:vAlign w:val="bottom"/>
          </w:tcPr>
          <w:p>
            <w:pPr>
              <w:spacing w:after="0"/>
              <w:rPr>
                <w:sz w:val="1"/>
                <w:szCs w:val="1"/>
                <w:color w:val="auto"/>
              </w:rPr>
            </w:pPr>
          </w:p>
        </w:tc>
      </w:tr>
      <w:tr>
        <w:trPr>
          <w:trHeight w:val="115"/>
        </w:trPr>
        <w:tc>
          <w:tcPr>
            <w:tcW w:w="1260" w:type="dxa"/>
            <w:vAlign w:val="bottom"/>
            <w:tcBorders>
              <w:bottom w:val="single" w:sz="8" w:color="auto"/>
              <w:right w:val="single" w:sz="8" w:color="auto"/>
            </w:tcBorders>
          </w:tcPr>
          <w:p>
            <w:pPr>
              <w:spacing w:after="0"/>
              <w:rPr>
                <w:sz w:val="10"/>
                <w:szCs w:val="10"/>
                <w:color w:val="auto"/>
              </w:rPr>
            </w:pPr>
          </w:p>
        </w:tc>
        <w:tc>
          <w:tcPr>
            <w:tcW w:w="4540" w:type="dxa"/>
            <w:vAlign w:val="bottom"/>
            <w:tcBorders>
              <w:bottom w:val="single" w:sz="8" w:color="auto"/>
              <w:right w:val="single" w:sz="8" w:color="auto"/>
            </w:tcBorders>
            <w:vMerge w:val="continue"/>
          </w:tcPr>
          <w:p>
            <w:pPr>
              <w:spacing w:after="0"/>
              <w:rPr>
                <w:sz w:val="10"/>
                <w:szCs w:val="10"/>
                <w:color w:val="auto"/>
              </w:rPr>
            </w:pPr>
          </w:p>
        </w:tc>
        <w:tc>
          <w:tcPr>
            <w:tcW w:w="1320" w:type="dxa"/>
            <w:vAlign w:val="bottom"/>
            <w:tcBorders>
              <w:bottom w:val="single" w:sz="8" w:color="auto"/>
              <w:right w:val="single" w:sz="8" w:color="auto"/>
            </w:tcBorders>
            <w:vMerge w:val="continue"/>
          </w:tcPr>
          <w:p>
            <w:pPr>
              <w:spacing w:after="0"/>
              <w:rPr>
                <w:sz w:val="10"/>
                <w:szCs w:val="10"/>
                <w:color w:val="auto"/>
              </w:rPr>
            </w:pPr>
          </w:p>
        </w:tc>
        <w:tc>
          <w:tcPr>
            <w:tcW w:w="1340" w:type="dxa"/>
            <w:vAlign w:val="bottom"/>
            <w:tcBorders>
              <w:bottom w:val="single" w:sz="8" w:color="auto"/>
              <w:right w:val="single" w:sz="8" w:color="auto"/>
            </w:tcBorders>
            <w:vMerge w:val="continue"/>
          </w:tcPr>
          <w:p>
            <w:pPr>
              <w:spacing w:after="0"/>
              <w:rPr>
                <w:sz w:val="10"/>
                <w:szCs w:val="10"/>
                <w:color w:val="auto"/>
              </w:rPr>
            </w:pPr>
          </w:p>
        </w:tc>
        <w:tc>
          <w:tcPr>
            <w:tcW w:w="1340" w:type="dxa"/>
            <w:vAlign w:val="bottom"/>
            <w:tcBorders>
              <w:bottom w:val="single" w:sz="8" w:color="auto"/>
              <w:right w:val="single" w:sz="8" w:color="auto"/>
            </w:tcBorders>
            <w:vMerge w:val="continue"/>
          </w:tcPr>
          <w:p>
            <w:pPr>
              <w:spacing w:after="0"/>
              <w:rPr>
                <w:sz w:val="10"/>
                <w:szCs w:val="10"/>
                <w:color w:val="auto"/>
              </w:rPr>
            </w:pPr>
          </w:p>
        </w:tc>
        <w:tc>
          <w:tcPr>
            <w:tcW w:w="134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5"/>
        </w:trPr>
        <w:tc>
          <w:tcPr>
            <w:tcW w:w="12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rPr>
              <w:t>8**</w:t>
            </w:r>
          </w:p>
        </w:tc>
        <w:tc>
          <w:tcPr>
            <w:tcW w:w="45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To authorise the price range at which the Company can</w:t>
            </w:r>
          </w:p>
        </w:tc>
        <w:tc>
          <w:tcPr>
            <w:tcW w:w="132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1260" w:type="dxa"/>
            <w:vAlign w:val="bottom"/>
            <w:tcBorders>
              <w:right w:val="single" w:sz="8" w:color="auto"/>
            </w:tcBorders>
            <w:vMerge w:val="continue"/>
          </w:tcPr>
          <w:p>
            <w:pPr>
              <w:spacing w:after="0"/>
              <w:rPr>
                <w:sz w:val="10"/>
                <w:szCs w:val="10"/>
                <w:color w:val="auto"/>
              </w:rPr>
            </w:pPr>
          </w:p>
        </w:tc>
        <w:tc>
          <w:tcPr>
            <w:tcW w:w="45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7"/>
              </w:rPr>
              <w:t>reissue shares it holds as treasury shares</w:t>
            </w:r>
          </w:p>
        </w:tc>
        <w:tc>
          <w:tcPr>
            <w:tcW w:w="13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68,779,075</w:t>
            </w:r>
          </w:p>
        </w:tc>
        <w:tc>
          <w:tcPr>
            <w:tcW w:w="13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8"/>
              </w:rPr>
              <w:t>68,608,764</w:t>
            </w:r>
          </w:p>
        </w:tc>
        <w:tc>
          <w:tcPr>
            <w:tcW w:w="13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7"/>
              </w:rPr>
              <w:t>40,897</w:t>
            </w:r>
          </w:p>
        </w:tc>
        <w:tc>
          <w:tcPr>
            <w:tcW w:w="13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129,414</w:t>
            </w:r>
          </w:p>
        </w:tc>
        <w:tc>
          <w:tcPr>
            <w:tcW w:w="0" w:type="dxa"/>
            <w:vAlign w:val="bottom"/>
          </w:tcPr>
          <w:p>
            <w:pPr>
              <w:spacing w:after="0"/>
              <w:rPr>
                <w:sz w:val="1"/>
                <w:szCs w:val="1"/>
                <w:color w:val="auto"/>
              </w:rPr>
            </w:pPr>
          </w:p>
        </w:tc>
      </w:tr>
      <w:tr>
        <w:trPr>
          <w:trHeight w:val="115"/>
        </w:trPr>
        <w:tc>
          <w:tcPr>
            <w:tcW w:w="1260" w:type="dxa"/>
            <w:vAlign w:val="bottom"/>
            <w:tcBorders>
              <w:bottom w:val="single" w:sz="8" w:color="auto"/>
              <w:right w:val="single" w:sz="8" w:color="auto"/>
            </w:tcBorders>
          </w:tcPr>
          <w:p>
            <w:pPr>
              <w:spacing w:after="0"/>
              <w:rPr>
                <w:sz w:val="10"/>
                <w:szCs w:val="10"/>
                <w:color w:val="auto"/>
              </w:rPr>
            </w:pPr>
          </w:p>
        </w:tc>
        <w:tc>
          <w:tcPr>
            <w:tcW w:w="4540" w:type="dxa"/>
            <w:vAlign w:val="bottom"/>
            <w:tcBorders>
              <w:bottom w:val="single" w:sz="8" w:color="auto"/>
              <w:right w:val="single" w:sz="8" w:color="auto"/>
            </w:tcBorders>
            <w:vMerge w:val="continue"/>
          </w:tcPr>
          <w:p>
            <w:pPr>
              <w:spacing w:after="0"/>
              <w:rPr>
                <w:sz w:val="10"/>
                <w:szCs w:val="10"/>
                <w:color w:val="auto"/>
              </w:rPr>
            </w:pPr>
          </w:p>
        </w:tc>
        <w:tc>
          <w:tcPr>
            <w:tcW w:w="1320" w:type="dxa"/>
            <w:vAlign w:val="bottom"/>
            <w:tcBorders>
              <w:bottom w:val="single" w:sz="8" w:color="auto"/>
              <w:right w:val="single" w:sz="8" w:color="auto"/>
            </w:tcBorders>
            <w:vMerge w:val="continue"/>
          </w:tcPr>
          <w:p>
            <w:pPr>
              <w:spacing w:after="0"/>
              <w:rPr>
                <w:sz w:val="10"/>
                <w:szCs w:val="10"/>
                <w:color w:val="auto"/>
              </w:rPr>
            </w:pPr>
          </w:p>
        </w:tc>
        <w:tc>
          <w:tcPr>
            <w:tcW w:w="1340" w:type="dxa"/>
            <w:vAlign w:val="bottom"/>
            <w:tcBorders>
              <w:bottom w:val="single" w:sz="8" w:color="auto"/>
              <w:right w:val="single" w:sz="8" w:color="auto"/>
            </w:tcBorders>
            <w:vMerge w:val="continue"/>
          </w:tcPr>
          <w:p>
            <w:pPr>
              <w:spacing w:after="0"/>
              <w:rPr>
                <w:sz w:val="10"/>
                <w:szCs w:val="10"/>
                <w:color w:val="auto"/>
              </w:rPr>
            </w:pPr>
          </w:p>
        </w:tc>
        <w:tc>
          <w:tcPr>
            <w:tcW w:w="1340" w:type="dxa"/>
            <w:vAlign w:val="bottom"/>
            <w:tcBorders>
              <w:bottom w:val="single" w:sz="8" w:color="auto"/>
              <w:right w:val="single" w:sz="8" w:color="auto"/>
            </w:tcBorders>
            <w:vMerge w:val="continue"/>
          </w:tcPr>
          <w:p>
            <w:pPr>
              <w:spacing w:after="0"/>
              <w:rPr>
                <w:sz w:val="10"/>
                <w:szCs w:val="10"/>
                <w:color w:val="auto"/>
              </w:rPr>
            </w:pPr>
          </w:p>
        </w:tc>
        <w:tc>
          <w:tcPr>
            <w:tcW w:w="134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195" w:lineRule="exact"/>
        <w:rPr>
          <w:sz w:val="20"/>
          <w:szCs w:val="20"/>
          <w:color w:val="auto"/>
        </w:rPr>
      </w:pPr>
    </w:p>
    <w:p>
      <w:pPr>
        <w:spacing w:after="0"/>
        <w:rPr>
          <w:sz w:val="20"/>
          <w:szCs w:val="20"/>
          <w:color w:val="auto"/>
        </w:rPr>
      </w:pPr>
      <w:r>
        <w:rPr>
          <w:rFonts w:ascii="Arial" w:cs="Arial" w:eastAsia="Arial" w:hAnsi="Arial"/>
          <w:sz w:val="22"/>
          <w:szCs w:val="22"/>
          <w:color w:val="auto"/>
        </w:rPr>
        <w:t>** Special Resolution. All resolutions are ordinary resolutions unless otherwise stated.</w:t>
      </w:r>
    </w:p>
    <w:p>
      <w:pPr>
        <w:spacing w:after="0" w:line="206" w:lineRule="exact"/>
        <w:rPr>
          <w:sz w:val="20"/>
          <w:szCs w:val="20"/>
          <w:color w:val="auto"/>
        </w:rPr>
      </w:pPr>
    </w:p>
    <w:p>
      <w:pPr>
        <w:ind w:right="100"/>
        <w:spacing w:after="0" w:line="238" w:lineRule="auto"/>
        <w:rPr>
          <w:sz w:val="20"/>
          <w:szCs w:val="20"/>
          <w:color w:val="auto"/>
        </w:rPr>
      </w:pPr>
      <w:r>
        <w:rPr>
          <w:rFonts w:ascii="Arial" w:cs="Arial" w:eastAsia="Arial" w:hAnsi="Arial"/>
          <w:sz w:val="22"/>
          <w:szCs w:val="22"/>
          <w:color w:val="auto"/>
        </w:rPr>
        <w:t>This AGM marks the retirement from the Board of Professor William Hall, Ms. Mary Pendergast and Professor Hugh Brady. Professor William Hall has served as a non-executive director of ICON since February 2013, Ms. Mary Pendergast has served as a non-executive director of ICON since February 2014 and Professor Hugh Brady has served as a non-executive director of ICON since April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 w:name="page5"/>
    <w:bookmarkEnd w:id="4"/>
    <w:p>
      <w:pPr>
        <w:ind w:right="360"/>
        <w:spacing w:after="0" w:line="328" w:lineRule="auto"/>
        <w:rPr>
          <w:sz w:val="20"/>
          <w:szCs w:val="20"/>
          <w:color w:val="auto"/>
        </w:rPr>
      </w:pPr>
      <w:r>
        <w:rPr>
          <w:rFonts w:ascii="Arial" w:cs="Arial" w:eastAsia="Arial" w:hAnsi="Arial"/>
          <w:sz w:val="19"/>
          <w:szCs w:val="19"/>
          <w:color w:val="auto"/>
        </w:rPr>
        <w:t>“I would like to thank William, Mary and Hugh for their long and distinguished service to ICON and for their important contributions to the Board and to the committees on which they have served.” commented Mr. Ciaran Murray, ICON’s Chair.</w:t>
      </w:r>
    </w:p>
    <w:p>
      <w:pPr>
        <w:spacing w:after="0" w:line="105" w:lineRule="exact"/>
        <w:rPr>
          <w:sz w:val="20"/>
          <w:szCs w:val="20"/>
          <w:color w:val="auto"/>
        </w:rPr>
      </w:pPr>
    </w:p>
    <w:p>
      <w:pPr>
        <w:spacing w:after="0" w:line="271" w:lineRule="auto"/>
        <w:rPr>
          <w:sz w:val="20"/>
          <w:szCs w:val="20"/>
          <w:color w:val="auto"/>
        </w:rPr>
      </w:pPr>
      <w:r>
        <w:rPr>
          <w:rFonts w:ascii="Arial" w:cs="Arial" w:eastAsia="Arial" w:hAnsi="Arial"/>
          <w:sz w:val="19"/>
          <w:szCs w:val="19"/>
          <w:color w:val="auto"/>
        </w:rPr>
        <w:t>This press release contains forward-looking statements. These statements are based on management's current expectations and information currently available, including current economic and industry conditions. These statements are not guarantees of future performance or actual results, and actual results, developments and business decisions may differ from those stated in this press release. The forward-looking statements are subject to future events, risks, uncertainties and other factors that could cause actual results to differ materially from those projected in the statements, including, but not limited to, the ability to enter into new contracts, maintain client relationships, manage the opening of new offices and offering of new services, the integration of new business mergers and acquisitions, the impact of COVID-19 on our business, as well as other economic and global market conditions and other risks and uncertainties detailed from time to time in SEC reports filed by ICON, all of which are difficult to predict and some of which are beyond our control. For these reasons, you should not place undue reliance on these forward-looking statements when making investment decisions. The word "expected" and variations of such words and similar expressions are intended to identify forward-looking statements. Forward-looking statements are only as of the date they are made and we do not undertake any obligation to update publicly any forward-looking statement, either as a result of new information, future events or otherwise. More information about the risks and uncertainties relating to these forward-looking statements may be found in SEC reports filed by ICON, including its Form 20-F, F-1, S-8 and F-3, which are available on the SEC's website at http://www.sec.gov.</w:t>
      </w:r>
    </w:p>
    <w:p>
      <w:pPr>
        <w:spacing w:after="0" w:line="200" w:lineRule="exact"/>
        <w:rPr>
          <w:sz w:val="20"/>
          <w:szCs w:val="20"/>
          <w:color w:val="auto"/>
        </w:rPr>
      </w:pPr>
    </w:p>
    <w:p>
      <w:pPr>
        <w:spacing w:after="0" w:line="207" w:lineRule="exact"/>
        <w:rPr>
          <w:sz w:val="20"/>
          <w:szCs w:val="20"/>
          <w:color w:val="auto"/>
        </w:rPr>
      </w:pPr>
    </w:p>
    <w:p>
      <w:pPr>
        <w:ind w:right="20"/>
        <w:spacing w:after="0" w:line="236" w:lineRule="auto"/>
        <w:rPr>
          <w:sz w:val="20"/>
          <w:szCs w:val="20"/>
          <w:color w:val="auto"/>
        </w:rPr>
      </w:pPr>
      <w:r>
        <w:rPr>
          <w:rFonts w:ascii="Arial" w:cs="Arial" w:eastAsia="Arial" w:hAnsi="Arial"/>
          <w:sz w:val="22"/>
          <w:szCs w:val="22"/>
          <w:color w:val="auto"/>
        </w:rPr>
        <w:t>ICON plc is a world-leading healthcare intelligence and clinical research organisation. From molecule to medicine, we advance clinical research providing outsourced services to pharmaceutical, biotechnology, medical device and government and public health organisations. We develop new innovations, drive emerging therapies forward and improve patient lives. With headquarters in Dublin, Ireland, ICON employed approximately 40,500 employees in 119 locations in 53 countries as at June 30, 2022. For further information about ICON, visit: www.iconplc.com.</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color w:val="auto"/>
        </w:rPr>
        <w:t>Source: ICON plc</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ICON/ICLR-F</w:t>
      </w:r>
    </w:p>
    <w:p>
      <w:pPr>
        <w:spacing w:after="0" w:line="211"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Contacts</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color w:val="auto"/>
        </w:rPr>
        <w:t>Investor Relations 1 888 381 7923 or</w:t>
      </w:r>
    </w:p>
    <w:p>
      <w:pPr>
        <w:spacing w:after="0" w:line="238" w:lineRule="auto"/>
        <w:rPr>
          <w:sz w:val="20"/>
          <w:szCs w:val="20"/>
          <w:color w:val="auto"/>
        </w:rPr>
      </w:pPr>
      <w:r>
        <w:rPr>
          <w:rFonts w:ascii="Arial" w:cs="Arial" w:eastAsia="Arial" w:hAnsi="Arial"/>
          <w:sz w:val="22"/>
          <w:szCs w:val="22"/>
          <w:color w:val="auto"/>
        </w:rPr>
        <w:t>Brendan Brennan Chief Financial Officer + 353 1 291 2000</w:t>
      </w:r>
    </w:p>
    <w:p>
      <w:pPr>
        <w:spacing w:after="0" w:line="230" w:lineRule="auto"/>
        <w:rPr>
          <w:sz w:val="20"/>
          <w:szCs w:val="20"/>
          <w:color w:val="auto"/>
        </w:rPr>
      </w:pPr>
      <w:r>
        <w:rPr>
          <w:rFonts w:ascii="Arial" w:cs="Arial" w:eastAsia="Arial" w:hAnsi="Arial"/>
          <w:sz w:val="22"/>
          <w:szCs w:val="22"/>
          <w:color w:val="auto"/>
        </w:rPr>
        <w:t>Kate Haven Vice President Investor Relations +1888 381 7923</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All at ICON.</w:t>
      </w:r>
    </w:p>
    <w:sectPr>
      <w:pgSz w:w="11900" w:h="16838" w:orient="portrait"/>
      <w:cols w:equalWidth="0" w:num="1">
        <w:col w:w="11180"/>
      </w:cols>
      <w:pgMar w:left="320" w:top="334"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2022-07-27T16:33:01Z</dcterms:created>
  <dcterms:modified xsi:type="dcterms:W3CDTF">2022-07-27T16:33:01Z</dcterms:modified>
</cp:coreProperties>
</file>