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1134745</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325"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1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ICON plc</w:t>
      </w:r>
    </w:p>
    <w:p>
      <w:pPr>
        <w:spacing w:after="0" w:line="6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321945</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D18 X5R3, Ireland</w:t>
      </w:r>
    </w:p>
    <w:p>
      <w:pPr>
        <w:spacing w:after="0" w:line="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286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ectPr>
          <w:pgSz w:w="11900" w:h="16838" w:orient="portrait"/>
          <w:cols w:equalWidth="0" w:num="1">
            <w:col w:w="10119"/>
          </w:cols>
          <w:pgMar w:left="340" w:top="1440" w:right="1440" w:bottom="1440" w:gutter="0" w:footer="0" w:header="0"/>
        </w:sectPr>
      </w:pPr>
    </w:p>
    <w:bookmarkStart w:id="1" w:name="page2"/>
    <w:bookmarkEnd w:id="1"/>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October 27, 2026 - ICON reports Third Quarter 2026 results</w:t>
      </w:r>
    </w:p>
    <w:p>
      <w:pPr>
        <w:sectPr>
          <w:pgSz w:w="11900" w:h="16838" w:orient="portrait"/>
          <w:cols w:equalWidth="0" w:num="1">
            <w:col w:w="9459"/>
          </w:cols>
          <w:pgMar w:left="1000" w:top="14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4380" w:type="dxa"/>
            <w:vAlign w:val="bottom"/>
          </w:tcPr>
          <w:p>
            <w:pPr>
              <w:spacing w:after="0"/>
              <w:rPr>
                <w:sz w:val="20"/>
                <w:szCs w:val="20"/>
                <w:color w:val="auto"/>
              </w:rPr>
            </w:pPr>
          </w:p>
        </w:tc>
      </w:tr>
      <w:tr>
        <w:trPr>
          <w:trHeight w:val="283"/>
        </w:trPr>
        <w:tc>
          <w:tcPr>
            <w:tcW w:w="3260" w:type="dxa"/>
            <w:vAlign w:val="bottom"/>
          </w:tcPr>
          <w:p>
            <w:pPr>
              <w:spacing w:after="0"/>
              <w:rPr>
                <w:sz w:val="24"/>
                <w:szCs w:val="24"/>
                <w:color w:val="auto"/>
              </w:rPr>
            </w:pP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1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3260" w:type="dxa"/>
            <w:vAlign w:val="bottom"/>
          </w:tcPr>
          <w:p>
            <w:pPr>
              <w:spacing w:after="0"/>
              <w:rPr>
                <w:sz w:val="20"/>
                <w:szCs w:val="20"/>
                <w:color w:val="auto"/>
              </w:rPr>
            </w:pP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ind w:left="76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ICON Reports Third Quarter 2026 Results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750"/>
        </w:rPr>
        <w:t>Third Quarter 2026</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750"/>
        </w:rPr>
        <w:t>Key Highlights</w:t>
      </w:r>
    </w:p>
    <w:p>
      <w:pPr>
        <w:spacing w:after="0" w:line="167" w:lineRule="exact"/>
        <w:rPr>
          <w:sz w:val="20"/>
          <w:szCs w:val="20"/>
          <w:color w:val="auto"/>
        </w:rPr>
      </w:pPr>
    </w:p>
    <w:p>
      <w:pPr>
        <w:ind w:left="400" w:right="759" w:hanging="270"/>
        <w:spacing w:after="0" w:line="303" w:lineRule="auto"/>
        <w:tabs>
          <w:tab w:leader="none" w:pos="394"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Strong commercial performance with net business wins in the quarter of $3,150 million; a net book-to-bill of 1.56x and closing backlog of $24.5 billion, up 4.8% sequentially.</w:t>
      </w:r>
    </w:p>
    <w:p>
      <w:pPr>
        <w:spacing w:after="0" w:line="30" w:lineRule="exact"/>
        <w:rPr>
          <w:rFonts w:ascii="Arial" w:cs="Arial" w:eastAsia="Arial" w:hAnsi="Arial"/>
          <w:sz w:val="18"/>
          <w:szCs w:val="18"/>
          <w:b w:val="1"/>
          <w:bCs w:val="1"/>
          <w:color w:val="128474"/>
        </w:rPr>
      </w:pPr>
    </w:p>
    <w:p>
      <w:pPr>
        <w:ind w:left="400" w:right="1179" w:hanging="270"/>
        <w:spacing w:after="0" w:line="303" w:lineRule="auto"/>
        <w:tabs>
          <w:tab w:leader="none" w:pos="394"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Revenue of $2,024.8 million and adjusted EBITDA of $336.9 million, representing an adjusted EBITDA margin of 16.6%.</w:t>
      </w:r>
    </w:p>
    <w:p>
      <w:pPr>
        <w:spacing w:after="0" w:line="30" w:lineRule="exact"/>
        <w:rPr>
          <w:rFonts w:ascii="Arial" w:cs="Arial" w:eastAsia="Arial" w:hAnsi="Arial"/>
          <w:sz w:val="18"/>
          <w:szCs w:val="18"/>
          <w:b w:val="1"/>
          <w:bCs w:val="1"/>
          <w:color w:val="128474"/>
        </w:rPr>
      </w:pPr>
    </w:p>
    <w:p>
      <w:pPr>
        <w:ind w:left="400" w:hanging="270"/>
        <w:spacing w:after="0"/>
        <w:tabs>
          <w:tab w:leader="none" w:pos="400"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GAAP net income of $122.1 million or $1.58 diluted earnings per share. Adjusted net income of</w:t>
      </w:r>
    </w:p>
    <w:p>
      <w:pPr>
        <w:spacing w:after="0" w:line="39" w:lineRule="exact"/>
        <w:rPr>
          <w:rFonts w:ascii="Arial" w:cs="Arial" w:eastAsia="Arial" w:hAnsi="Arial"/>
          <w:sz w:val="18"/>
          <w:szCs w:val="18"/>
          <w:b w:val="1"/>
          <w:bCs w:val="1"/>
          <w:color w:val="128474"/>
        </w:rPr>
      </w:pPr>
    </w:p>
    <w:p>
      <w:pPr>
        <w:ind w:left="400" w:right="599"/>
        <w:spacing w:after="0" w:line="282" w:lineRule="auto"/>
        <w:rPr>
          <w:rFonts w:ascii="Arial" w:cs="Arial" w:eastAsia="Arial" w:hAnsi="Arial"/>
          <w:sz w:val="18"/>
          <w:szCs w:val="18"/>
          <w:b w:val="1"/>
          <w:bCs w:val="1"/>
          <w:color w:val="128474"/>
        </w:rPr>
      </w:pPr>
      <w:r>
        <w:rPr>
          <w:rFonts w:ascii="Arial" w:cs="Arial" w:eastAsia="Arial" w:hAnsi="Arial"/>
          <w:sz w:val="18"/>
          <w:szCs w:val="18"/>
          <w:color w:val="auto"/>
        </w:rPr>
        <w:t>$205.8 million or $2.66 adjusted diluted earnings per share, an increase of 3.9% on quarter two 2026 adjusted diluted earnings per share.</w:t>
      </w:r>
    </w:p>
    <w:p>
      <w:pPr>
        <w:spacing w:after="0" w:line="49" w:lineRule="exact"/>
        <w:rPr>
          <w:rFonts w:ascii="Arial" w:cs="Arial" w:eastAsia="Arial" w:hAnsi="Arial"/>
          <w:sz w:val="18"/>
          <w:szCs w:val="18"/>
          <w:b w:val="1"/>
          <w:bCs w:val="1"/>
          <w:color w:val="128474"/>
        </w:rPr>
      </w:pPr>
    </w:p>
    <w:p>
      <w:pPr>
        <w:ind w:left="400" w:right="959" w:hanging="270"/>
        <w:spacing w:after="0" w:line="303" w:lineRule="auto"/>
        <w:tabs>
          <w:tab w:leader="none" w:pos="394"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Generated free cash flow of $302.4 million, supporting continued investment in the business and return of capital to shareholders.</w:t>
      </w:r>
    </w:p>
    <w:p>
      <w:pPr>
        <w:spacing w:after="0" w:line="17" w:lineRule="exact"/>
        <w:rPr>
          <w:rFonts w:ascii="Arial" w:cs="Arial" w:eastAsia="Arial" w:hAnsi="Arial"/>
          <w:sz w:val="18"/>
          <w:szCs w:val="18"/>
          <w:b w:val="1"/>
          <w:bCs w:val="1"/>
          <w:color w:val="128474"/>
        </w:rPr>
      </w:pPr>
    </w:p>
    <w:p>
      <w:pPr>
        <w:ind w:left="400" w:hanging="270"/>
        <w:spacing w:after="0"/>
        <w:tabs>
          <w:tab w:leader="none" w:pos="400"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$400.0 million worth of stock repurchased in quarter three at an average price of $170 per share.</w:t>
      </w:r>
    </w:p>
    <w:p>
      <w:pPr>
        <w:spacing w:after="0" w:line="117" w:lineRule="exact"/>
        <w:rPr>
          <w:rFonts w:ascii="Arial" w:cs="Arial" w:eastAsia="Arial" w:hAnsi="Arial"/>
          <w:sz w:val="18"/>
          <w:szCs w:val="18"/>
          <w:b w:val="1"/>
          <w:bCs w:val="1"/>
          <w:color w:val="128474"/>
        </w:rPr>
      </w:pPr>
    </w:p>
    <w:p>
      <w:pPr>
        <w:ind w:left="400" w:right="739" w:hanging="270"/>
        <w:spacing w:after="0" w:line="303" w:lineRule="auto"/>
        <w:tabs>
          <w:tab w:leader="none" w:pos="394"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Board of Directors approved an increase in the share buyback authorization bringing the total value of authorized share repurchases to $750.0 million to be opportunistically deployed.</w:t>
      </w:r>
    </w:p>
    <w:p>
      <w:pPr>
        <w:spacing w:after="0" w:line="30" w:lineRule="exact"/>
        <w:rPr>
          <w:rFonts w:ascii="Arial" w:cs="Arial" w:eastAsia="Arial" w:hAnsi="Arial"/>
          <w:sz w:val="18"/>
          <w:szCs w:val="18"/>
          <w:b w:val="1"/>
          <w:bCs w:val="1"/>
          <w:color w:val="128474"/>
        </w:rPr>
      </w:pPr>
    </w:p>
    <w:p>
      <w:pPr>
        <w:jc w:val="both"/>
        <w:ind w:left="400" w:right="879" w:hanging="270"/>
        <w:spacing w:after="0" w:line="303" w:lineRule="auto"/>
        <w:tabs>
          <w:tab w:leader="none" w:pos="394" w:val="left"/>
        </w:tabs>
        <w:numPr>
          <w:ilvl w:val="0"/>
          <w:numId w:val="1"/>
        </w:numPr>
        <w:rPr>
          <w:rFonts w:ascii="Arial" w:cs="Arial" w:eastAsia="Arial" w:hAnsi="Arial"/>
          <w:sz w:val="18"/>
          <w:szCs w:val="18"/>
          <w:b w:val="1"/>
          <w:bCs w:val="1"/>
          <w:color w:val="128474"/>
        </w:rPr>
      </w:pPr>
      <w:r>
        <w:rPr>
          <w:rFonts w:ascii="Arial" w:cs="Arial" w:eastAsia="Arial" w:hAnsi="Arial"/>
          <w:sz w:val="18"/>
          <w:szCs w:val="18"/>
          <w:color w:val="auto"/>
        </w:rPr>
        <w:t>Updating 2026 full-year financial guidance issued with revenue expected in the range of $8,100 - $8,200 million and adjusted diluted earnings per share* expected in the range of $10.35 - $10.65.</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750"/>
        </w:rPr>
        <w:t>October 27, 2026</w:t>
      </w:r>
    </w:p>
    <w:p>
      <w:pPr>
        <w:spacing w:after="0" w:line="117" w:lineRule="exact"/>
        <w:rPr>
          <w:sz w:val="20"/>
          <w:szCs w:val="20"/>
          <w:color w:val="auto"/>
        </w:rPr>
      </w:pPr>
    </w:p>
    <w:p>
      <w:pPr>
        <w:ind w:left="140" w:right="1279"/>
        <w:spacing w:after="0" w:line="335" w:lineRule="auto"/>
        <w:rPr>
          <w:sz w:val="20"/>
          <w:szCs w:val="20"/>
          <w:color w:val="auto"/>
        </w:rPr>
      </w:pPr>
      <w:r>
        <w:rPr>
          <w:rFonts w:ascii="Arial" w:cs="Arial" w:eastAsia="Arial" w:hAnsi="Arial"/>
          <w:sz w:val="17"/>
          <w:szCs w:val="17"/>
          <w:b w:val="1"/>
          <w:bCs w:val="1"/>
          <w:color w:val="auto"/>
        </w:rPr>
        <w:t xml:space="preserve">DUBLIN--(BUSINESS WIRE) </w:t>
      </w:r>
      <w:r>
        <w:rPr>
          <w:rFonts w:ascii="Arial" w:cs="Arial" w:eastAsia="Arial" w:hAnsi="Arial"/>
          <w:sz w:val="17"/>
          <w:szCs w:val="17"/>
          <w:color w:val="auto"/>
        </w:rPr>
        <w:t>– ICON plc (NASDAQ: ICLR), a world-leading clinical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today reported its financial results for the third quarter ended September 30, 2026.</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28474"/>
        </w:rPr>
        <w:t>Chief Executive Officer Commentary</w:t>
      </w:r>
    </w:p>
    <w:p>
      <w:pPr>
        <w:spacing w:after="0" w:line="164" w:lineRule="exact"/>
        <w:rPr>
          <w:sz w:val="20"/>
          <w:szCs w:val="20"/>
          <w:color w:val="auto"/>
        </w:rPr>
      </w:pPr>
    </w:p>
    <w:p>
      <w:pPr>
        <w:ind w:left="400" w:right="639"/>
        <w:spacing w:after="0" w:line="273" w:lineRule="auto"/>
        <w:rPr>
          <w:sz w:val="20"/>
          <w:szCs w:val="20"/>
          <w:color w:val="auto"/>
        </w:rPr>
      </w:pPr>
      <w:r>
        <w:rPr>
          <w:rFonts w:ascii="Arial" w:cs="Arial" w:eastAsia="Arial" w:hAnsi="Arial"/>
          <w:sz w:val="18"/>
          <w:szCs w:val="18"/>
          <w:i w:val="1"/>
          <w:iCs w:val="1"/>
          <w:color w:val="222222"/>
        </w:rPr>
        <w:t>“I am pleased with ICON’s third quarter results, which demonstrated continued financial, operational, and commercial execution. Adjusted EBITDA grew 3% sequentially, reflecting improved business mix and strong cost discipline, while sustained commercial excellence supported another quarter of exceptional bookings performance. I am particularly pleased that our AI-enabled digital platform continues to resonate with customers, many of whom choose ICON because of its impact on productivity, predictability and speed.</w:t>
      </w:r>
    </w:p>
    <w:p>
      <w:pPr>
        <w:spacing w:after="0" w:line="72" w:lineRule="exact"/>
        <w:rPr>
          <w:sz w:val="20"/>
          <w:szCs w:val="20"/>
          <w:color w:val="auto"/>
        </w:rPr>
      </w:pPr>
    </w:p>
    <w:p>
      <w:pPr>
        <w:ind w:left="400" w:right="579"/>
        <w:spacing w:after="0" w:line="283" w:lineRule="auto"/>
        <w:rPr>
          <w:sz w:val="20"/>
          <w:szCs w:val="20"/>
          <w:color w:val="auto"/>
        </w:rPr>
      </w:pPr>
      <w:r>
        <w:rPr>
          <w:rFonts w:ascii="Arial" w:cs="Arial" w:eastAsia="Arial" w:hAnsi="Arial"/>
          <w:sz w:val="18"/>
          <w:szCs w:val="18"/>
          <w:i w:val="1"/>
          <w:iCs w:val="1"/>
          <w:color w:val="222222"/>
        </w:rPr>
        <w:t>We remained focused on disciplined capital allocation, returning $400 million to shareholders through share repurchases in the third quarter, while continuing to invest in the capabilities that are driving future growth.</w:t>
      </w:r>
    </w:p>
    <w:p>
      <w:pPr>
        <w:spacing w:after="0" w:line="64" w:lineRule="exact"/>
        <w:rPr>
          <w:sz w:val="20"/>
          <w:szCs w:val="20"/>
          <w:color w:val="auto"/>
        </w:rPr>
      </w:pPr>
    </w:p>
    <w:p>
      <w:pPr>
        <w:ind w:left="400" w:right="899"/>
        <w:spacing w:after="0" w:line="282" w:lineRule="auto"/>
        <w:rPr>
          <w:sz w:val="20"/>
          <w:szCs w:val="20"/>
          <w:color w:val="auto"/>
        </w:rPr>
      </w:pPr>
      <w:r>
        <w:rPr>
          <w:rFonts w:ascii="Arial" w:cs="Arial" w:eastAsia="Arial" w:hAnsi="Arial"/>
          <w:sz w:val="18"/>
          <w:szCs w:val="18"/>
          <w:i w:val="1"/>
          <w:iCs w:val="1"/>
          <w:color w:val="222222"/>
        </w:rPr>
        <w:t>Our updated full-year financial guidance reflects sustained operational progress and higher pass-through activity. Together, strong commercial performance, disciplined execution and ongoing strategic investments reinforce our confidence in delivering revenue growth, significant earnings progression, and shareholder value creation in 2027 and beyond.”</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128474"/>
        </w:rPr>
        <w:t>— Barry Balfe,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9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128474"/>
        </w:rPr>
        <w:t>Third Quarter 2026 Results</w:t>
      </w:r>
    </w:p>
    <w:p>
      <w:pPr>
        <w:sectPr>
          <w:pgSz w:w="11900" w:h="16838" w:orient="portrait"/>
          <w:cols w:equalWidth="0" w:num="1">
            <w:col w:w="9019"/>
          </w:cols>
          <w:pgMar w:left="1440" w:top="993" w:right="1440" w:bottom="0" w:gutter="0" w:footer="0" w:header="0"/>
          <w:type w:val="continuous"/>
        </w:sectPr>
      </w:pPr>
    </w:p>
    <w:bookmarkStart w:id="4" w:name="page5"/>
    <w:bookmarkEnd w:id="4"/>
    <w:p>
      <w:pPr>
        <w:jc w:val="both"/>
        <w:ind w:left="120" w:right="119"/>
        <w:spacing w:after="0" w:line="283" w:lineRule="auto"/>
        <w:rPr>
          <w:sz w:val="20"/>
          <w:szCs w:val="20"/>
          <w:color w:val="auto"/>
        </w:rPr>
      </w:pPr>
      <w:r>
        <w:rPr>
          <w:rFonts w:ascii="Arial" w:cs="Arial" w:eastAsia="Arial" w:hAnsi="Arial"/>
          <w:sz w:val="18"/>
          <w:szCs w:val="18"/>
          <w:color w:val="auto"/>
        </w:rPr>
        <w:t>In quarter three 2026, gross bookings were $3,789 million, an increase of 26.9% on quarter three 2025, with cancellations of $639 million. This resulted in net business wins of $3,150 million and a book-to-bill of 1.56x. Backlog as at September 30, 2026 was $24.5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-427355</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43" w:lineRule="exact"/>
        <w:rPr>
          <w:sz w:val="20"/>
          <w:szCs w:val="20"/>
          <w:color w:val="auto"/>
        </w:rPr>
      </w:pPr>
    </w:p>
    <w:p>
      <w:pPr>
        <w:jc w:val="both"/>
        <w:ind w:left="120" w:right="139"/>
        <w:spacing w:after="0" w:line="303" w:lineRule="auto"/>
        <w:rPr>
          <w:sz w:val="20"/>
          <w:szCs w:val="20"/>
          <w:color w:val="auto"/>
        </w:rPr>
      </w:pPr>
      <w:r>
        <w:rPr>
          <w:rFonts w:ascii="Arial" w:cs="Arial" w:eastAsia="Arial" w:hAnsi="Arial"/>
          <w:sz w:val="18"/>
          <w:szCs w:val="18"/>
          <w:color w:val="auto"/>
        </w:rPr>
        <w:t>Revenue for the third quarter was $2,024.8 million. This represents a decrease of 2.9% on quarter three 2025, or a decrease of 2.5% on a constant currency basis.</w:t>
      </w:r>
    </w:p>
    <w:p>
      <w:pPr>
        <w:spacing w:after="0" w:line="44" w:lineRule="exact"/>
        <w:rPr>
          <w:sz w:val="20"/>
          <w:szCs w:val="20"/>
          <w:color w:val="auto"/>
        </w:rPr>
      </w:pPr>
    </w:p>
    <w:p>
      <w:pPr>
        <w:jc w:val="both"/>
        <w:ind w:left="120" w:right="139"/>
        <w:spacing w:after="0" w:line="278" w:lineRule="auto"/>
        <w:rPr>
          <w:sz w:val="20"/>
          <w:szCs w:val="20"/>
          <w:color w:val="auto"/>
        </w:rPr>
      </w:pPr>
      <w:r>
        <w:rPr>
          <w:rFonts w:ascii="Arial" w:cs="Arial" w:eastAsia="Arial" w:hAnsi="Arial"/>
          <w:sz w:val="18"/>
          <w:szCs w:val="18"/>
          <w:color w:val="auto"/>
        </w:rPr>
        <w:t>GAAP net income was $122.1 million, resulting in diluted earnings per share of $1.58 in quarter three 2026 , compared to diluted earnings per share of $(3.67) in quarter three 2025 . Adjusted net income for the quarter was $205.8 million, resulting in adjusted diluted earnings per share of $2.66 compared to $3.20 per share in quarter three 2025.</w:t>
      </w:r>
    </w:p>
    <w:p>
      <w:pPr>
        <w:spacing w:after="0" w:line="80" w:lineRule="exact"/>
        <w:rPr>
          <w:sz w:val="20"/>
          <w:szCs w:val="20"/>
          <w:color w:val="auto"/>
        </w:rPr>
      </w:pPr>
    </w:p>
    <w:p>
      <w:pPr>
        <w:ind w:left="120" w:right="159"/>
        <w:spacing w:after="0" w:line="303" w:lineRule="auto"/>
        <w:rPr>
          <w:sz w:val="20"/>
          <w:szCs w:val="20"/>
          <w:color w:val="auto"/>
        </w:rPr>
      </w:pPr>
      <w:r>
        <w:rPr>
          <w:rFonts w:ascii="Arial" w:cs="Arial" w:eastAsia="Arial" w:hAnsi="Arial"/>
          <w:sz w:val="18"/>
          <w:szCs w:val="18"/>
          <w:color w:val="auto"/>
        </w:rPr>
        <w:t>Adjusted EBITDA for the third quarter was $336.9 million or 16.6% of revenue, a decrease of 13.1% on quarter three 2025.</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tax rate on adjusted net income in quarter three 2026 was 18.6%.</w:t>
      </w:r>
    </w:p>
    <w:p>
      <w:pPr>
        <w:spacing w:after="0" w:line="131" w:lineRule="exact"/>
        <w:rPr>
          <w:sz w:val="20"/>
          <w:szCs w:val="20"/>
          <w:color w:val="auto"/>
        </w:rPr>
      </w:pPr>
    </w:p>
    <w:p>
      <w:pPr>
        <w:ind w:left="120" w:right="139"/>
        <w:spacing w:after="0" w:line="270" w:lineRule="auto"/>
        <w:rPr>
          <w:sz w:val="20"/>
          <w:szCs w:val="20"/>
          <w:color w:val="auto"/>
        </w:rPr>
      </w:pPr>
      <w:r>
        <w:rPr>
          <w:rFonts w:ascii="Arial" w:cs="Arial" w:eastAsia="Arial" w:hAnsi="Arial"/>
          <w:sz w:val="18"/>
          <w:szCs w:val="18"/>
          <w:color w:val="auto"/>
        </w:rPr>
        <w:t>Free cash flow was $302.4 million in the quarter. Cash generated from operating activities for the quarter was $340.4 million. During the quarter, $38.0 million was spent on capital expenditure. $400.0 million worth of stock was repurchased at an average price of $170 per share. In August 2026, ICON completed a successful investment grade bond issuance of $2.15 billion. The Company applied the net proceeds from the issuance to repay all the outstanding Senior Secured Term Loan of $900 million, redeem in full the outstanding May 2027 Notes of $750 million and repay all outstanding borrowings under the Bridge Secured Credit Facility of $500 million. At September 30, 2026, the Group had cash and cash equivalents of $809.0 million, compared to cash and cash equivalents of $928.4 million at June 30, 2026 and $468.9 million at September 30, 2025. Net debt as at September 30, 2026 was $2.6 billion.</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128474"/>
        </w:rPr>
        <w:t>Year to Date 2026 Results</w:t>
      </w:r>
    </w:p>
    <w:p>
      <w:pPr>
        <w:spacing w:after="0" w:line="54" w:lineRule="exact"/>
        <w:rPr>
          <w:sz w:val="20"/>
          <w:szCs w:val="20"/>
          <w:color w:val="auto"/>
        </w:rPr>
      </w:pPr>
    </w:p>
    <w:p>
      <w:pPr>
        <w:jc w:val="both"/>
        <w:ind w:left="120" w:right="139"/>
        <w:spacing w:after="0" w:line="303" w:lineRule="auto"/>
        <w:rPr>
          <w:sz w:val="20"/>
          <w:szCs w:val="20"/>
          <w:color w:val="auto"/>
        </w:rPr>
      </w:pPr>
      <w:r>
        <w:rPr>
          <w:rFonts w:ascii="Arial" w:cs="Arial" w:eastAsia="Arial" w:hAnsi="Arial"/>
          <w:sz w:val="18"/>
          <w:szCs w:val="18"/>
          <w:color w:val="auto"/>
        </w:rPr>
        <w:t>Gross business wins year to date were $10,733 million and cancellations were $1,584 million. This resulted in net business wins of $9,149 million and a book-to-bill of 1.49x.</w:t>
      </w:r>
    </w:p>
    <w:p>
      <w:pPr>
        <w:spacing w:after="0" w:line="31" w:lineRule="exact"/>
        <w:rPr>
          <w:sz w:val="20"/>
          <w:szCs w:val="20"/>
          <w:color w:val="auto"/>
        </w:rPr>
      </w:pPr>
    </w:p>
    <w:p>
      <w:pPr>
        <w:jc w:val="both"/>
        <w:ind w:left="120" w:right="139"/>
        <w:spacing w:after="0" w:line="303" w:lineRule="auto"/>
        <w:rPr>
          <w:sz w:val="20"/>
          <w:szCs w:val="20"/>
          <w:color w:val="auto"/>
        </w:rPr>
      </w:pPr>
      <w:r>
        <w:rPr>
          <w:rFonts w:ascii="Arial" w:cs="Arial" w:eastAsia="Arial" w:hAnsi="Arial"/>
          <w:sz w:val="18"/>
          <w:szCs w:val="18"/>
          <w:color w:val="auto"/>
        </w:rPr>
        <w:t>Revenue year to date was $6,122.2 million. This represents a year on year decrease of 0.3% or a decrease of 1.4% on a constant currency basis.</w:t>
      </w:r>
    </w:p>
    <w:p>
      <w:pPr>
        <w:spacing w:after="0" w:line="31" w:lineRule="exact"/>
        <w:rPr>
          <w:sz w:val="20"/>
          <w:szCs w:val="20"/>
          <w:color w:val="auto"/>
        </w:rPr>
      </w:pPr>
    </w:p>
    <w:p>
      <w:pPr>
        <w:jc w:val="both"/>
        <w:ind w:left="120" w:right="139"/>
        <w:spacing w:after="0" w:line="284" w:lineRule="auto"/>
        <w:rPr>
          <w:sz w:val="20"/>
          <w:szCs w:val="20"/>
          <w:color w:val="auto"/>
        </w:rPr>
      </w:pPr>
      <w:r>
        <w:rPr>
          <w:rFonts w:ascii="Arial" w:cs="Arial" w:eastAsia="Arial" w:hAnsi="Arial"/>
          <w:sz w:val="18"/>
          <w:szCs w:val="18"/>
          <w:color w:val="auto"/>
        </w:rPr>
        <w:t>GAAP net income year to date was $299.5 million, resulting in $3.87 diluted earnings per share. Year to date adjusted net income was $597.2 million, resulting in adjusted diluted earnings per share of $7.72 compared to $9.99 per share for the equivalent prior year period.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 year to date was $981.9 million or 16.0% of revenue, a year on year decrease of 18.4%.</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tax rate on adjusted net income year to date was 18.1%.</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128474"/>
        </w:rPr>
        <w:t>Earnings Conference Call</w:t>
      </w:r>
    </w:p>
    <w:p>
      <w:pPr>
        <w:spacing w:after="0" w:line="67" w:lineRule="exact"/>
        <w:rPr>
          <w:sz w:val="20"/>
          <w:szCs w:val="20"/>
          <w:color w:val="auto"/>
        </w:rPr>
      </w:pPr>
    </w:p>
    <w:p>
      <w:pPr>
        <w:ind w:left="120" w:right="119"/>
        <w:spacing w:after="0" w:line="275" w:lineRule="auto"/>
        <w:rPr>
          <w:sz w:val="20"/>
          <w:szCs w:val="20"/>
          <w:color w:val="auto"/>
        </w:rPr>
      </w:pPr>
      <w:r>
        <w:rPr>
          <w:rFonts w:ascii="Arial" w:cs="Arial" w:eastAsia="Arial" w:hAnsi="Arial"/>
          <w:sz w:val="18"/>
          <w:szCs w:val="18"/>
          <w:color w:val="auto"/>
        </w:rPr>
        <w:t>ICON will hold a conference call on October 28, 2026 at 08:00 EDT [12:00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128474"/>
        </w:rPr>
        <w:t>About ICON plc</w:t>
      </w:r>
    </w:p>
    <w:p>
      <w:pPr>
        <w:spacing w:after="0" w:line="45" w:lineRule="exact"/>
        <w:rPr>
          <w:sz w:val="20"/>
          <w:szCs w:val="20"/>
          <w:color w:val="auto"/>
        </w:rPr>
      </w:pPr>
    </w:p>
    <w:p>
      <w:pPr>
        <w:ind w:left="120" w:right="139"/>
        <w:spacing w:after="0" w:line="261" w:lineRule="auto"/>
        <w:rPr>
          <w:sz w:val="20"/>
          <w:szCs w:val="20"/>
          <w:color w:val="auto"/>
        </w:rPr>
      </w:pPr>
      <w:r>
        <w:rPr>
          <w:rFonts w:ascii="Arial" w:cs="Arial" w:eastAsia="Arial" w:hAnsi="Arial"/>
          <w:sz w:val="18"/>
          <w:szCs w:val="18"/>
          <w:color w:val="auto"/>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w:t>
      </w:r>
    </w:p>
    <w:p>
      <w:pPr>
        <w:sectPr>
          <w:pgSz w:w="11900" w:h="16838" w:orient="portrait"/>
          <w:cols w:equalWidth="0" w:num="1">
            <w:col w:w="9019"/>
          </w:cols>
          <w:pgMar w:left="1440" w:top="82" w:right="1440" w:bottom="0" w:gutter="0" w:footer="0" w:header="0"/>
        </w:sectPr>
      </w:pPr>
    </w:p>
    <w:bookmarkStart w:id="5" w:name="page6"/>
    <w:bookmarkEnd w:id="5"/>
    <w:p>
      <w:pPr>
        <w:ind w:left="120"/>
        <w:spacing w:after="0" w:line="215" w:lineRule="auto"/>
        <w:rPr>
          <w:sz w:val="20"/>
          <w:szCs w:val="20"/>
          <w:color w:val="auto"/>
        </w:rPr>
      </w:pPr>
      <w:r>
        <w:rPr>
          <w:rFonts w:ascii="Arial" w:cs="Arial" w:eastAsia="Arial" w:hAnsi="Arial"/>
          <w:sz w:val="18"/>
          <w:szCs w:val="18"/>
          <w:color w:val="auto"/>
        </w:rPr>
        <w:t>worldwide. With headquarters in Dublin, Ireland, ICON employed approximately 40,250 employees in locations in 55 countries as at September 30, 2026 . For further information about ICON,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-198120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98</w:t>
      </w:r>
    </w:p>
    <w:p>
      <w:pPr>
        <w:spacing w:after="0" w:line="177" w:lineRule="exact"/>
        <w:rPr>
          <w:sz w:val="20"/>
          <w:szCs w:val="20"/>
          <w:color w:val="auto"/>
        </w:rPr>
      </w:pPr>
    </w:p>
    <w:p>
      <w:pPr>
        <w:sectPr>
          <w:pgSz w:w="11900" w:h="16838" w:orient="portrait"/>
          <w:cols w:equalWidth="0" w:num="2">
            <w:col w:w="8520" w:space="180"/>
            <w:col w:w="740"/>
          </w:cols>
          <w:pgMar w:left="1440" w:top="81" w:right="1019" w:bottom="78" w:gutter="0" w:footer="0" w:header="0"/>
        </w:sectPr>
      </w:pPr>
    </w:p>
    <w:p>
      <w:pPr>
        <w:ind w:left="120"/>
        <w:spacing w:after="0"/>
        <w:rPr>
          <w:sz w:val="20"/>
          <w:szCs w:val="20"/>
          <w:color w:val="auto"/>
        </w:rPr>
      </w:pPr>
      <w:r>
        <w:rPr>
          <w:rFonts w:ascii="Arial" w:cs="Arial" w:eastAsia="Arial" w:hAnsi="Arial"/>
          <w:sz w:val="18"/>
          <w:szCs w:val="18"/>
          <w:color w:val="auto"/>
        </w:rPr>
        <w:t>www.iconplc.com.</w:t>
      </w: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04750"/>
        </w:rPr>
        <w:t>Contacts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Investor Relations </w:t>
      </w:r>
      <w:r>
        <w:rPr>
          <w:rFonts w:ascii="Arial" w:cs="Arial" w:eastAsia="Arial" w:hAnsi="Arial"/>
          <w:sz w:val="16"/>
          <w:szCs w:val="16"/>
          <w:color w:val="auto"/>
        </w:rPr>
        <w:t>+1 888 381 7923</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Nigel Clerkin </w:t>
      </w:r>
      <w:r>
        <w:rPr>
          <w:rFonts w:ascii="Arial" w:cs="Arial" w:eastAsia="Arial" w:hAnsi="Arial"/>
          <w:sz w:val="16"/>
          <w:szCs w:val="16"/>
          <w:color w:val="auto"/>
        </w:rPr>
        <w:t>Chief Financial Officer | +353 1 291 2000</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Kate Haven </w:t>
      </w:r>
      <w:r>
        <w:rPr>
          <w:rFonts w:ascii="Arial" w:cs="Arial" w:eastAsia="Arial" w:hAnsi="Arial"/>
          <w:sz w:val="16"/>
          <w:szCs w:val="16"/>
          <w:color w:val="auto"/>
        </w:rPr>
        <w:t>Vice President Investor Relations | +1 888 381 7923</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4"/>
          <w:szCs w:val="14"/>
          <w:color w:val="6A696D"/>
        </w:rPr>
        <w:t>All at ICON | Source: ICON plc | ICON/ICLR-F</w:t>
      </w:r>
    </w:p>
    <w:p>
      <w:pPr>
        <w:spacing w:after="0" w:line="34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128474"/>
        </w:rPr>
        <w:t>Other Information</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4750"/>
        </w:rPr>
        <w:t>Cautionary Statement Regarding Forward-Looking Statements</w:t>
      </w:r>
    </w:p>
    <w:p>
      <w:pPr>
        <w:spacing w:after="0" w:line="81" w:lineRule="exact"/>
        <w:rPr>
          <w:sz w:val="20"/>
          <w:szCs w:val="20"/>
          <w:color w:val="auto"/>
        </w:rPr>
      </w:pPr>
    </w:p>
    <w:p>
      <w:pPr>
        <w:ind w:left="120" w:right="600"/>
        <w:spacing w:after="0" w:line="276" w:lineRule="auto"/>
        <w:rPr>
          <w:sz w:val="20"/>
          <w:szCs w:val="20"/>
          <w:color w:val="auto"/>
        </w:rPr>
      </w:pPr>
      <w:r>
        <w:rPr>
          <w:rFonts w:ascii="Arial" w:cs="Arial" w:eastAsia="Arial" w:hAnsi="Arial"/>
          <w:sz w:val="14"/>
          <w:szCs w:val="14"/>
          <w:color w:val="333333"/>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anticipated financial results for 2026, 2027 and beyond; contracted revenue;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4750"/>
        </w:rPr>
        <w:t>Non-GAAP Financial Measures</w:t>
      </w:r>
    </w:p>
    <w:p>
      <w:pPr>
        <w:spacing w:after="0" w:line="67" w:lineRule="exact"/>
        <w:rPr>
          <w:sz w:val="20"/>
          <w:szCs w:val="20"/>
          <w:color w:val="auto"/>
        </w:rPr>
      </w:pPr>
    </w:p>
    <w:p>
      <w:pPr>
        <w:ind w:left="120" w:right="580"/>
        <w:spacing w:after="0" w:line="279" w:lineRule="auto"/>
        <w:rPr>
          <w:sz w:val="20"/>
          <w:szCs w:val="20"/>
          <w:color w:val="auto"/>
        </w:rPr>
      </w:pPr>
      <w:r>
        <w:rPr>
          <w:rFonts w:ascii="Arial" w:cs="Arial" w:eastAsia="Arial" w:hAnsi="Arial"/>
          <w:sz w:val="14"/>
          <w:szCs w:val="14"/>
          <w:color w:val="333333"/>
        </w:rPr>
        <w:t>In addition to the financial measures prepared in accordance with generally accepted accounting principles (GAAP), this press release contains certain non-GAAP financial measures, including adjusted EBITDA, adjusted net income, adjusted diluted earnings per share and free cash flow. Adjusted EBITDA excludes stock-based compensation, foreign currency gains and losses, restructuring and related costs, transaction, integration related and other adjustments, gain on investments, loss on disposal of subsidiary undertaking, goodwill impairment and impairment of non-financial assets. Adjusted net income and adjusted diluted earnings per share exclude amortization of intangible assets, stock-based compensation, foreign currency gains and losses, restructuring and related costs, transaction, integration related and other adjustments, transaction-related financing costs, gain on investments, goodwill impairment, impairment of non-financial assets, loss on disposal of subsidiary undertaking and their related taxation effect. Free cash flow reflects cash generated from operating activities less capital expenditure. While non-GAAP financial measures are not superior to or a substitute for the comparable GAAP measures, ICON believes certain non-GAAP information is useful to investors for historical comparison purposes.</w:t>
      </w:r>
    </w:p>
    <w:p>
      <w:pPr>
        <w:spacing w:after="0" w:line="86" w:lineRule="exact"/>
        <w:rPr>
          <w:sz w:val="20"/>
          <w:szCs w:val="20"/>
          <w:color w:val="auto"/>
        </w:rPr>
      </w:pPr>
    </w:p>
    <w:p>
      <w:pPr>
        <w:jc w:val="both"/>
        <w:ind w:left="120" w:right="580"/>
        <w:spacing w:after="0" w:line="289" w:lineRule="auto"/>
        <w:rPr>
          <w:sz w:val="20"/>
          <w:szCs w:val="20"/>
          <w:color w:val="auto"/>
        </w:rPr>
      </w:pPr>
      <w:r>
        <w:rPr>
          <w:rFonts w:ascii="Arial" w:cs="Arial" w:eastAsia="Arial" w:hAnsi="Arial"/>
          <w:sz w:val="14"/>
          <w:szCs w:val="14"/>
          <w:color w:val="333333"/>
        </w:rPr>
        <w:t>*Adjusted diluted earnings per share to exclude amortization of intangible assets, stock-based compensation, foreign currency gains and losses, restructuring and related costs, transaction, integration related and other adjustments, transaction-related financing costs, gain on investments, goodwill impairment, impairment of non-financial assets, loss on disposal of subsidiary undertaking and their related taxation effect.</w:t>
      </w:r>
    </w:p>
    <w:p>
      <w:pPr>
        <w:spacing w:after="0" w:line="62" w:lineRule="exact"/>
        <w:rPr>
          <w:sz w:val="20"/>
          <w:szCs w:val="20"/>
          <w:color w:val="auto"/>
        </w:rPr>
      </w:pPr>
    </w:p>
    <w:p>
      <w:pPr>
        <w:ind w:left="120" w:right="680"/>
        <w:spacing w:after="0" w:line="289" w:lineRule="auto"/>
        <w:rPr>
          <w:sz w:val="20"/>
          <w:szCs w:val="20"/>
          <w:color w:val="auto"/>
        </w:rPr>
      </w:pPr>
      <w:r>
        <w:rPr>
          <w:rFonts w:ascii="Arial" w:cs="Arial" w:eastAsia="Arial" w:hAnsi="Arial"/>
          <w:sz w:val="14"/>
          <w:szCs w:val="14"/>
          <w:color w:val="333333"/>
        </w:rPr>
        <w:t>Our full-year 2026 guidance adjusted diluted earnings per share measures are provided on a non-GAAP basis without a reconciliation to the most directly comparable GAAP measure because the Company is unable to predict with a reasonable degree of certainty certain items contained in the measures without unreasonable efforts. For the same reasons, the Company is unable to address the probable significance of the unavailable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128474"/>
        </w:rPr>
        <w:t>ICON plc</w:t>
      </w:r>
    </w:p>
    <w:p>
      <w:pPr>
        <w:spacing w:after="0" w:line="94"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004750"/>
        </w:rPr>
        <w:t>CONDENSED CONSOLIDATED STATEMENTS OF OPERATIONS</w:t>
      </w:r>
    </w:p>
    <w:p>
      <w:pPr>
        <w:spacing w:after="0" w:line="67" w:lineRule="exact"/>
        <w:rPr>
          <w:sz w:val="20"/>
          <w:szCs w:val="20"/>
          <w:color w:val="auto"/>
        </w:rPr>
      </w:pPr>
    </w:p>
    <w:p>
      <w:pPr>
        <w:jc w:val="center"/>
        <w:ind w:left="120" w:right="620"/>
        <w:spacing w:after="0" w:line="343" w:lineRule="auto"/>
        <w:rPr>
          <w:sz w:val="20"/>
          <w:szCs w:val="20"/>
          <w:color w:val="auto"/>
        </w:rPr>
      </w:pPr>
      <w:r>
        <w:rPr>
          <w:rFonts w:ascii="Arial" w:cs="Arial" w:eastAsia="Arial" w:hAnsi="Arial"/>
          <w:sz w:val="18"/>
          <w:szCs w:val="18"/>
          <w:b w:val="1"/>
          <w:bCs w:val="1"/>
          <w:color w:val="6A696D"/>
        </w:rPr>
        <w:t>FOR THE THREE AND NINE MONTHS ENDED SEPTEMBER 30, 2026 AND SEPTEMBER 30, 2025 (UNAUDITED)</w:t>
      </w:r>
    </w:p>
    <w:p>
      <w:pPr>
        <w:sectPr>
          <w:pgSz w:w="11900" w:h="16838" w:orient="portrait"/>
          <w:cols w:equalWidth="0" w:num="1">
            <w:col w:w="9440"/>
          </w:cols>
          <w:pgMar w:left="1440" w:top="81" w:right="1019" w:bottom="78"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September 30,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jc w:val="right"/>
        <w:spacing w:after="0" w:line="296" w:lineRule="auto"/>
        <w:rPr>
          <w:sz w:val="20"/>
          <w:szCs w:val="20"/>
          <w:color w:val="auto"/>
        </w:rPr>
      </w:pPr>
      <w:r>
        <w:rPr>
          <w:rFonts w:ascii="Arial" w:cs="Arial" w:eastAsia="Arial" w:hAnsi="Arial"/>
          <w:sz w:val="15"/>
          <w:szCs w:val="15"/>
          <w:b w:val="1"/>
          <w:bCs w:val="1"/>
          <w:color w:val="FFFFFF"/>
        </w:rPr>
        <w:t>September 30,    September 30,    September 30, 2025            2026            2025</w:t>
      </w:r>
    </w:p>
    <w:p>
      <w:pPr>
        <w:spacing w:after="0" w:line="20" w:lineRule="exact"/>
        <w:rPr>
          <w:sz w:val="20"/>
          <w:szCs w:val="20"/>
          <w:color w:val="auto"/>
        </w:rPr>
      </w:pPr>
    </w:p>
    <w:p>
      <w:pPr>
        <w:sectPr>
          <w:pgSz w:w="11900" w:h="16838" w:orient="portrait"/>
          <w:cols w:equalWidth="0" w:num="2">
            <w:col w:w="5160" w:space="480"/>
            <w:col w:w="3800"/>
          </w:cols>
          <w:pgMar w:left="1440" w:top="81" w:right="1019" w:bottom="78" w:gutter="0" w:footer="0" w:header="0"/>
          <w:type w:val="continuous"/>
        </w:sectPr>
      </w:pPr>
    </w:p>
    <w:p>
      <w:pPr>
        <w:ind w:left="4880"/>
        <w:spacing w:after="0"/>
        <w:rPr>
          <w:sz w:val="20"/>
          <w:szCs w:val="20"/>
          <w:color w:val="auto"/>
        </w:rPr>
      </w:pPr>
      <w:r>
        <w:rPr>
          <w:rFonts w:ascii="Arial" w:cs="Arial" w:eastAsia="Arial" w:hAnsi="Arial"/>
          <w:sz w:val="15"/>
          <w:szCs w:val="15"/>
          <w:b w:val="1"/>
          <w:bCs w:val="1"/>
          <w:color w:val="FFFFFF"/>
        </w:rPr>
        <w:t>(in thousands except share and per share data)</w:t>
      </w:r>
    </w:p>
    <w:p>
      <w:pPr>
        <w:sectPr>
          <w:pgSz w:w="11900" w:h="16838" w:orient="portrait"/>
          <w:cols w:equalWidth="0" w:num="1">
            <w:col w:w="9440"/>
          </w:cols>
          <w:pgMar w:left="1440" w:top="81" w:right="1019" w:bottom="78"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980" w:type="dxa"/>
            <w:vAlign w:val="bottom"/>
            <w:shd w:val="clear" w:color="auto" w:fill="128474"/>
          </w:tcPr>
          <w:p>
            <w:pPr>
              <w:ind w:left="80"/>
              <w:spacing w:after="0"/>
              <w:rPr>
                <w:sz w:val="20"/>
                <w:szCs w:val="20"/>
                <w:color w:val="auto"/>
              </w:rPr>
            </w:pPr>
            <w:r>
              <w:rPr>
                <w:rFonts w:ascii="Arial" w:cs="Arial" w:eastAsia="Arial" w:hAnsi="Arial"/>
                <w:sz w:val="15"/>
                <w:szCs w:val="15"/>
                <w:color w:val="auto"/>
              </w:rPr>
              <w:t>Revenue</w:t>
            </w:r>
          </w:p>
        </w:tc>
        <w:tc>
          <w:tcPr>
            <w:tcW w:w="440" w:type="dxa"/>
            <w:vAlign w:val="bottom"/>
            <w:shd w:val="clear" w:color="auto" w:fill="128474"/>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shd w:val="clear" w:color="auto" w:fill="128474"/>
          </w:tcPr>
          <w:p>
            <w:pPr>
              <w:jc w:val="right"/>
              <w:ind w:right="44"/>
              <w:spacing w:after="0"/>
              <w:rPr>
                <w:sz w:val="20"/>
                <w:szCs w:val="20"/>
                <w:color w:val="auto"/>
              </w:rPr>
            </w:pPr>
            <w:r>
              <w:rPr>
                <w:rFonts w:ascii="Arial" w:cs="Arial" w:eastAsia="Arial" w:hAnsi="Arial"/>
                <w:sz w:val="15"/>
                <w:szCs w:val="15"/>
                <w:color w:val="auto"/>
              </w:rPr>
              <w:t>2,024,757</w:t>
            </w:r>
          </w:p>
        </w:tc>
        <w:tc>
          <w:tcPr>
            <w:tcW w:w="400" w:type="dxa"/>
            <w:vAlign w:val="bottom"/>
            <w:shd w:val="clear" w:color="auto" w:fill="128474"/>
          </w:tcPr>
          <w:p>
            <w:pPr>
              <w:jc w:val="right"/>
              <w:ind w:right="184"/>
              <w:spacing w:after="0"/>
              <w:rPr>
                <w:sz w:val="20"/>
                <w:szCs w:val="20"/>
                <w:color w:val="auto"/>
              </w:rPr>
            </w:pPr>
            <w:r>
              <w:rPr>
                <w:rFonts w:ascii="Arial" w:cs="Arial" w:eastAsia="Arial" w:hAnsi="Arial"/>
                <w:sz w:val="15"/>
                <w:szCs w:val="15"/>
                <w:color w:val="auto"/>
              </w:rPr>
              <w:t>$</w:t>
            </w:r>
          </w:p>
        </w:tc>
        <w:tc>
          <w:tcPr>
            <w:tcW w:w="320" w:type="dxa"/>
            <w:vAlign w:val="bottom"/>
            <w:shd w:val="clear" w:color="auto" w:fill="128474"/>
          </w:tcPr>
          <w:p>
            <w:pPr>
              <w:spacing w:after="0"/>
              <w:rPr>
                <w:sz w:val="14"/>
                <w:szCs w:val="14"/>
                <w:color w:val="auto"/>
              </w:rPr>
            </w:pPr>
          </w:p>
        </w:tc>
        <w:tc>
          <w:tcPr>
            <w:tcW w:w="800" w:type="dxa"/>
            <w:vAlign w:val="bottom"/>
            <w:shd w:val="clear" w:color="auto" w:fill="128474"/>
          </w:tcPr>
          <w:p>
            <w:pPr>
              <w:jc w:val="right"/>
              <w:ind w:right="24"/>
              <w:spacing w:after="0"/>
              <w:rPr>
                <w:sz w:val="20"/>
                <w:szCs w:val="20"/>
                <w:color w:val="auto"/>
              </w:rPr>
            </w:pPr>
            <w:r>
              <w:rPr>
                <w:rFonts w:ascii="Arial" w:cs="Arial" w:eastAsia="Arial" w:hAnsi="Arial"/>
                <w:sz w:val="15"/>
                <w:szCs w:val="15"/>
                <w:color w:val="auto"/>
              </w:rPr>
              <w:t>2,084,415</w:t>
            </w:r>
          </w:p>
        </w:tc>
        <w:tc>
          <w:tcPr>
            <w:tcW w:w="320" w:type="dxa"/>
            <w:vAlign w:val="bottom"/>
            <w:shd w:val="clear" w:color="auto" w:fill="128474"/>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shd w:val="clear" w:color="auto" w:fill="128474"/>
          </w:tcPr>
          <w:p>
            <w:pPr>
              <w:jc w:val="right"/>
              <w:ind w:right="44"/>
              <w:spacing w:after="0"/>
              <w:rPr>
                <w:sz w:val="20"/>
                <w:szCs w:val="20"/>
                <w:color w:val="auto"/>
              </w:rPr>
            </w:pPr>
            <w:r>
              <w:rPr>
                <w:rFonts w:ascii="Arial" w:cs="Arial" w:eastAsia="Arial" w:hAnsi="Arial"/>
                <w:sz w:val="15"/>
                <w:szCs w:val="15"/>
                <w:color w:val="auto"/>
              </w:rPr>
              <w:t>6,122,242</w:t>
            </w:r>
          </w:p>
        </w:tc>
        <w:tc>
          <w:tcPr>
            <w:tcW w:w="320" w:type="dxa"/>
            <w:vAlign w:val="bottom"/>
            <w:shd w:val="clear" w:color="auto" w:fill="128474"/>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128474"/>
          </w:tcPr>
          <w:p>
            <w:pPr>
              <w:jc w:val="right"/>
              <w:spacing w:after="0"/>
              <w:rPr>
                <w:sz w:val="20"/>
                <w:szCs w:val="20"/>
                <w:color w:val="auto"/>
              </w:rPr>
            </w:pPr>
            <w:r>
              <w:rPr>
                <w:rFonts w:ascii="Arial" w:cs="Arial" w:eastAsia="Arial" w:hAnsi="Arial"/>
                <w:sz w:val="15"/>
                <w:szCs w:val="15"/>
                <w:color w:val="auto"/>
              </w:rPr>
              <w:t>6,138,823</w:t>
            </w:r>
          </w:p>
        </w:tc>
        <w:tc>
          <w:tcPr>
            <w:tcW w:w="60" w:type="dxa"/>
            <w:vAlign w:val="bottom"/>
            <w:shd w:val="clear" w:color="auto" w:fill="128474"/>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128474"/>
          </w:tcPr>
          <w:p>
            <w:pPr>
              <w:spacing w:after="0"/>
              <w:rPr>
                <w:sz w:val="16"/>
                <w:szCs w:val="16"/>
                <w:color w:val="auto"/>
              </w:rPr>
            </w:pPr>
          </w:p>
        </w:tc>
        <w:tc>
          <w:tcPr>
            <w:tcW w:w="440" w:type="dxa"/>
            <w:vAlign w:val="bottom"/>
            <w:shd w:val="clear" w:color="auto" w:fill="128474"/>
          </w:tcPr>
          <w:p>
            <w:pPr>
              <w:spacing w:after="0"/>
              <w:rPr>
                <w:sz w:val="16"/>
                <w:szCs w:val="16"/>
                <w:color w:val="auto"/>
              </w:rPr>
            </w:pPr>
          </w:p>
        </w:tc>
        <w:tc>
          <w:tcPr>
            <w:tcW w:w="1840" w:type="dxa"/>
            <w:vAlign w:val="bottom"/>
            <w:gridSpan w:val="3"/>
            <w:shd w:val="clear" w:color="auto" w:fill="128474"/>
          </w:tcPr>
          <w:p>
            <w:pPr>
              <w:ind w:left="320"/>
              <w:spacing w:after="0"/>
              <w:rPr>
                <w:sz w:val="20"/>
                <w:szCs w:val="20"/>
                <w:color w:val="auto"/>
              </w:rPr>
            </w:pPr>
            <w:r>
              <w:rPr>
                <w:rFonts w:ascii="Arial" w:cs="Arial" w:eastAsia="Arial" w:hAnsi="Arial"/>
                <w:sz w:val="15"/>
                <w:szCs w:val="15"/>
                <w:b w:val="1"/>
                <w:bCs w:val="1"/>
                <w:color w:val="FFFFFF"/>
              </w:rPr>
              <w:t>Three Months Ended</w:t>
            </w:r>
          </w:p>
        </w:tc>
        <w:tc>
          <w:tcPr>
            <w:tcW w:w="800" w:type="dxa"/>
            <w:vAlign w:val="bottom"/>
            <w:shd w:val="clear" w:color="auto" w:fill="128474"/>
          </w:tcPr>
          <w:p>
            <w:pPr>
              <w:spacing w:after="0"/>
              <w:rPr>
                <w:sz w:val="16"/>
                <w:szCs w:val="16"/>
                <w:color w:val="auto"/>
              </w:rPr>
            </w:pPr>
          </w:p>
        </w:tc>
        <w:tc>
          <w:tcPr>
            <w:tcW w:w="320" w:type="dxa"/>
            <w:vAlign w:val="bottom"/>
            <w:shd w:val="clear" w:color="auto" w:fill="128474"/>
          </w:tcPr>
          <w:p>
            <w:pPr>
              <w:spacing w:after="0"/>
              <w:rPr>
                <w:sz w:val="16"/>
                <w:szCs w:val="16"/>
                <w:color w:val="auto"/>
              </w:rPr>
            </w:pPr>
          </w:p>
        </w:tc>
        <w:tc>
          <w:tcPr>
            <w:tcW w:w="2440" w:type="dxa"/>
            <w:vAlign w:val="bottom"/>
            <w:gridSpan w:val="4"/>
            <w:shd w:val="clear" w:color="auto" w:fill="128474"/>
          </w:tcPr>
          <w:p>
            <w:pPr>
              <w:ind w:left="320"/>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393"/>
        </w:trPr>
        <w:tc>
          <w:tcPr>
            <w:tcW w:w="3980" w:type="dxa"/>
            <w:vAlign w:val="bottom"/>
            <w:shd w:val="clear" w:color="auto" w:fill="128474"/>
          </w:tcPr>
          <w:p>
            <w:pPr>
              <w:ind w:left="80"/>
              <w:spacing w:after="0"/>
              <w:rPr>
                <w:sz w:val="20"/>
                <w:szCs w:val="20"/>
                <w:color w:val="auto"/>
              </w:rPr>
            </w:pPr>
            <w:r>
              <w:rPr>
                <w:rFonts w:ascii="Arial" w:cs="Arial" w:eastAsia="Arial" w:hAnsi="Arial"/>
                <w:sz w:val="15"/>
                <w:szCs w:val="15"/>
                <w:b w:val="1"/>
                <w:bCs w:val="1"/>
                <w:color w:val="128474"/>
              </w:rPr>
              <w:t>Costs and expenses:</w:t>
            </w:r>
          </w:p>
        </w:tc>
        <w:tc>
          <w:tcPr>
            <w:tcW w:w="440" w:type="dxa"/>
            <w:vAlign w:val="bottom"/>
            <w:shd w:val="clear" w:color="auto" w:fill="128474"/>
          </w:tcPr>
          <w:p>
            <w:pPr>
              <w:spacing w:after="0"/>
              <w:rPr>
                <w:sz w:val="24"/>
                <w:szCs w:val="24"/>
                <w:color w:val="auto"/>
              </w:rPr>
            </w:pPr>
          </w:p>
        </w:tc>
        <w:tc>
          <w:tcPr>
            <w:tcW w:w="1120" w:type="dxa"/>
            <w:vAlign w:val="bottom"/>
            <w:shd w:val="clear" w:color="auto" w:fill="128474"/>
          </w:tcPr>
          <w:p>
            <w:pPr>
              <w:spacing w:after="0"/>
              <w:rPr>
                <w:sz w:val="24"/>
                <w:szCs w:val="24"/>
                <w:color w:val="auto"/>
              </w:rPr>
            </w:pPr>
          </w:p>
        </w:tc>
        <w:tc>
          <w:tcPr>
            <w:tcW w:w="400" w:type="dxa"/>
            <w:vAlign w:val="bottom"/>
            <w:shd w:val="clear" w:color="auto" w:fill="128474"/>
          </w:tcPr>
          <w:p>
            <w:pPr>
              <w:spacing w:after="0"/>
              <w:rPr>
                <w:sz w:val="24"/>
                <w:szCs w:val="24"/>
                <w:color w:val="auto"/>
              </w:rPr>
            </w:pPr>
          </w:p>
        </w:tc>
        <w:tc>
          <w:tcPr>
            <w:tcW w:w="320" w:type="dxa"/>
            <w:vAlign w:val="bottom"/>
            <w:shd w:val="clear" w:color="auto" w:fill="128474"/>
          </w:tcPr>
          <w:p>
            <w:pPr>
              <w:spacing w:after="0"/>
              <w:rPr>
                <w:sz w:val="24"/>
                <w:szCs w:val="24"/>
                <w:color w:val="auto"/>
              </w:rPr>
            </w:pPr>
          </w:p>
        </w:tc>
        <w:tc>
          <w:tcPr>
            <w:tcW w:w="800" w:type="dxa"/>
            <w:vAlign w:val="bottom"/>
            <w:shd w:val="clear" w:color="auto" w:fill="128474"/>
          </w:tcPr>
          <w:p>
            <w:pPr>
              <w:spacing w:after="0"/>
              <w:rPr>
                <w:sz w:val="24"/>
                <w:szCs w:val="24"/>
                <w:color w:val="auto"/>
              </w:rPr>
            </w:pPr>
          </w:p>
        </w:tc>
        <w:tc>
          <w:tcPr>
            <w:tcW w:w="320" w:type="dxa"/>
            <w:vAlign w:val="bottom"/>
            <w:shd w:val="clear" w:color="auto" w:fill="128474"/>
          </w:tcPr>
          <w:p>
            <w:pPr>
              <w:spacing w:after="0"/>
              <w:rPr>
                <w:sz w:val="24"/>
                <w:szCs w:val="24"/>
                <w:color w:val="auto"/>
              </w:rPr>
            </w:pPr>
          </w:p>
        </w:tc>
        <w:tc>
          <w:tcPr>
            <w:tcW w:w="1060" w:type="dxa"/>
            <w:vAlign w:val="bottom"/>
            <w:shd w:val="clear" w:color="auto" w:fill="128474"/>
          </w:tcPr>
          <w:p>
            <w:pPr>
              <w:spacing w:after="0"/>
              <w:rPr>
                <w:sz w:val="24"/>
                <w:szCs w:val="24"/>
                <w:color w:val="auto"/>
              </w:rPr>
            </w:pPr>
          </w:p>
        </w:tc>
        <w:tc>
          <w:tcPr>
            <w:tcW w:w="320" w:type="dxa"/>
            <w:vAlign w:val="bottom"/>
            <w:shd w:val="clear" w:color="auto" w:fill="128474"/>
          </w:tcPr>
          <w:p>
            <w:pPr>
              <w:spacing w:after="0"/>
              <w:rPr>
                <w:sz w:val="24"/>
                <w:szCs w:val="24"/>
                <w:color w:val="auto"/>
              </w:rPr>
            </w:pPr>
          </w:p>
        </w:tc>
        <w:tc>
          <w:tcPr>
            <w:tcW w:w="1000" w:type="dxa"/>
            <w:vAlign w:val="bottom"/>
            <w:shd w:val="clear" w:color="auto" w:fill="128474"/>
          </w:tcPr>
          <w:p>
            <w:pPr>
              <w:spacing w:after="0"/>
              <w:rPr>
                <w:sz w:val="24"/>
                <w:szCs w:val="24"/>
                <w:color w:val="auto"/>
              </w:rPr>
            </w:pPr>
          </w:p>
        </w:tc>
        <w:tc>
          <w:tcPr>
            <w:tcW w:w="60" w:type="dxa"/>
            <w:vAlign w:val="bottom"/>
            <w:shd w:val="clear" w:color="auto" w:fill="128474"/>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980" w:type="dxa"/>
            <w:vAlign w:val="bottom"/>
            <w:tcBorders>
              <w:bottom w:val="single" w:sz="8" w:color="128474"/>
            </w:tcBorders>
            <w:shd w:val="clear" w:color="auto" w:fill="128474"/>
          </w:tcPr>
          <w:p>
            <w:pPr>
              <w:ind w:left="400"/>
              <w:spacing w:after="0"/>
              <w:rPr>
                <w:sz w:val="20"/>
                <w:szCs w:val="20"/>
                <w:color w:val="auto"/>
              </w:rPr>
            </w:pPr>
            <w:r>
              <w:rPr>
                <w:rFonts w:ascii="Arial" w:cs="Arial" w:eastAsia="Arial" w:hAnsi="Arial"/>
                <w:sz w:val="15"/>
                <w:szCs w:val="15"/>
                <w:color w:val="auto"/>
              </w:rPr>
              <w:t>Direct costs</w:t>
            </w:r>
          </w:p>
        </w:tc>
        <w:tc>
          <w:tcPr>
            <w:tcW w:w="440" w:type="dxa"/>
            <w:vAlign w:val="bottom"/>
            <w:tcBorders>
              <w:bottom w:val="single" w:sz="8" w:color="128474"/>
            </w:tcBorders>
            <w:shd w:val="clear" w:color="auto" w:fill="128474"/>
          </w:tcPr>
          <w:p>
            <w:pPr>
              <w:spacing w:after="0"/>
              <w:rPr>
                <w:sz w:val="24"/>
                <w:szCs w:val="24"/>
                <w:color w:val="auto"/>
              </w:rPr>
            </w:pPr>
          </w:p>
        </w:tc>
        <w:tc>
          <w:tcPr>
            <w:tcW w:w="1120" w:type="dxa"/>
            <w:vAlign w:val="bottom"/>
            <w:tcBorders>
              <w:bottom w:val="single" w:sz="8" w:color="128474"/>
            </w:tcBorders>
            <w:shd w:val="clear" w:color="auto" w:fill="128474"/>
          </w:tcPr>
          <w:p>
            <w:pPr>
              <w:jc w:val="right"/>
              <w:ind w:right="44"/>
              <w:spacing w:after="0"/>
              <w:rPr>
                <w:sz w:val="20"/>
                <w:szCs w:val="20"/>
                <w:color w:val="auto"/>
              </w:rPr>
            </w:pPr>
            <w:r>
              <w:rPr>
                <w:rFonts w:ascii="Arial" w:cs="Arial" w:eastAsia="Arial" w:hAnsi="Arial"/>
                <w:sz w:val="15"/>
                <w:szCs w:val="15"/>
                <w:color w:val="auto"/>
              </w:rPr>
              <w:t>1,532,925</w:t>
            </w:r>
          </w:p>
        </w:tc>
        <w:tc>
          <w:tcPr>
            <w:tcW w:w="400" w:type="dxa"/>
            <w:vAlign w:val="bottom"/>
            <w:tcBorders>
              <w:bottom w:val="single" w:sz="8" w:color="128474"/>
            </w:tcBorders>
            <w:shd w:val="clear" w:color="auto" w:fill="128474"/>
          </w:tcPr>
          <w:p>
            <w:pPr>
              <w:spacing w:after="0"/>
              <w:rPr>
                <w:sz w:val="24"/>
                <w:szCs w:val="24"/>
                <w:color w:val="auto"/>
              </w:rPr>
            </w:pPr>
          </w:p>
        </w:tc>
        <w:tc>
          <w:tcPr>
            <w:tcW w:w="320" w:type="dxa"/>
            <w:vAlign w:val="bottom"/>
            <w:tcBorders>
              <w:bottom w:val="single" w:sz="8" w:color="128474"/>
            </w:tcBorders>
            <w:shd w:val="clear" w:color="auto" w:fill="128474"/>
          </w:tcPr>
          <w:p>
            <w:pPr>
              <w:spacing w:after="0"/>
              <w:rPr>
                <w:sz w:val="24"/>
                <w:szCs w:val="24"/>
                <w:color w:val="auto"/>
              </w:rPr>
            </w:pPr>
          </w:p>
        </w:tc>
        <w:tc>
          <w:tcPr>
            <w:tcW w:w="800" w:type="dxa"/>
            <w:vAlign w:val="bottom"/>
            <w:tcBorders>
              <w:bottom w:val="single" w:sz="8" w:color="128474"/>
            </w:tcBorders>
            <w:shd w:val="clear" w:color="auto" w:fill="128474"/>
          </w:tcPr>
          <w:p>
            <w:pPr>
              <w:jc w:val="right"/>
              <w:ind w:right="24"/>
              <w:spacing w:after="0"/>
              <w:rPr>
                <w:sz w:val="20"/>
                <w:szCs w:val="20"/>
                <w:color w:val="auto"/>
              </w:rPr>
            </w:pPr>
            <w:r>
              <w:rPr>
                <w:rFonts w:ascii="Arial" w:cs="Arial" w:eastAsia="Arial" w:hAnsi="Arial"/>
                <w:sz w:val="15"/>
                <w:szCs w:val="15"/>
                <w:color w:val="auto"/>
              </w:rPr>
              <w:t>1,538,951</w:t>
            </w:r>
          </w:p>
        </w:tc>
        <w:tc>
          <w:tcPr>
            <w:tcW w:w="320" w:type="dxa"/>
            <w:vAlign w:val="bottom"/>
            <w:tcBorders>
              <w:bottom w:val="single" w:sz="8" w:color="128474"/>
            </w:tcBorders>
            <w:shd w:val="clear" w:color="auto" w:fill="128474"/>
          </w:tcPr>
          <w:p>
            <w:pPr>
              <w:spacing w:after="0"/>
              <w:rPr>
                <w:sz w:val="24"/>
                <w:szCs w:val="24"/>
                <w:color w:val="auto"/>
              </w:rPr>
            </w:pPr>
          </w:p>
        </w:tc>
        <w:tc>
          <w:tcPr>
            <w:tcW w:w="1060" w:type="dxa"/>
            <w:vAlign w:val="bottom"/>
            <w:tcBorders>
              <w:bottom w:val="single" w:sz="8" w:color="128474"/>
            </w:tcBorders>
            <w:shd w:val="clear" w:color="auto" w:fill="128474"/>
          </w:tcPr>
          <w:p>
            <w:pPr>
              <w:jc w:val="right"/>
              <w:ind w:right="44"/>
              <w:spacing w:after="0"/>
              <w:rPr>
                <w:sz w:val="20"/>
                <w:szCs w:val="20"/>
                <w:color w:val="auto"/>
              </w:rPr>
            </w:pPr>
            <w:r>
              <w:rPr>
                <w:rFonts w:ascii="Arial" w:cs="Arial" w:eastAsia="Arial" w:hAnsi="Arial"/>
                <w:sz w:val="15"/>
                <w:szCs w:val="15"/>
                <w:color w:val="auto"/>
              </w:rPr>
              <w:t>4,673,190</w:t>
            </w:r>
          </w:p>
        </w:tc>
        <w:tc>
          <w:tcPr>
            <w:tcW w:w="320" w:type="dxa"/>
            <w:vAlign w:val="bottom"/>
            <w:tcBorders>
              <w:bottom w:val="single" w:sz="8" w:color="128474"/>
            </w:tcBorders>
            <w:shd w:val="clear" w:color="auto" w:fill="128474"/>
          </w:tcPr>
          <w:p>
            <w:pPr>
              <w:spacing w:after="0"/>
              <w:rPr>
                <w:sz w:val="24"/>
                <w:szCs w:val="24"/>
                <w:color w:val="auto"/>
              </w:rPr>
            </w:pPr>
          </w:p>
        </w:tc>
        <w:tc>
          <w:tcPr>
            <w:tcW w:w="1000" w:type="dxa"/>
            <w:vAlign w:val="bottom"/>
            <w:tcBorders>
              <w:bottom w:val="single" w:sz="8" w:color="128474"/>
            </w:tcBorders>
            <w:shd w:val="clear" w:color="auto" w:fill="128474"/>
          </w:tcPr>
          <w:p>
            <w:pPr>
              <w:jc w:val="right"/>
              <w:spacing w:after="0"/>
              <w:rPr>
                <w:sz w:val="20"/>
                <w:szCs w:val="20"/>
                <w:color w:val="auto"/>
              </w:rPr>
            </w:pPr>
            <w:r>
              <w:rPr>
                <w:rFonts w:ascii="Arial" w:cs="Arial" w:eastAsia="Arial" w:hAnsi="Arial"/>
                <w:sz w:val="15"/>
                <w:szCs w:val="15"/>
                <w:color w:val="auto"/>
              </w:rPr>
              <w:t>4,443,967</w:t>
            </w:r>
          </w:p>
        </w:tc>
        <w:tc>
          <w:tcPr>
            <w:tcW w:w="60" w:type="dxa"/>
            <w:vAlign w:val="bottom"/>
            <w:tcBorders>
              <w:bottom w:val="single" w:sz="8" w:color="128474"/>
            </w:tcBorders>
            <w:shd w:val="clear" w:color="auto" w:fill="128474"/>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980" w:type="dxa"/>
            <w:vAlign w:val="bottom"/>
          </w:tcPr>
          <w:p>
            <w:pPr>
              <w:ind w:left="400"/>
              <w:spacing w:after="0"/>
              <w:rPr>
                <w:sz w:val="20"/>
                <w:szCs w:val="20"/>
                <w:color w:val="auto"/>
              </w:rPr>
            </w:pPr>
            <w:r>
              <w:rPr>
                <w:rFonts w:ascii="Arial" w:cs="Arial" w:eastAsia="Arial" w:hAnsi="Arial"/>
                <w:sz w:val="15"/>
                <w:szCs w:val="15"/>
                <w:color w:val="auto"/>
              </w:rPr>
              <w:t>Selling, general and administrative</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196,850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197,049</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591,766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600,439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80" w:type="dxa"/>
            <w:vAlign w:val="bottom"/>
          </w:tcPr>
          <w:p>
            <w:pPr>
              <w:ind w:left="400"/>
              <w:spacing w:after="0"/>
              <w:rPr>
                <w:sz w:val="20"/>
                <w:szCs w:val="20"/>
                <w:color w:val="auto"/>
              </w:rPr>
            </w:pPr>
            <w:r>
              <w:rPr>
                <w:rFonts w:ascii="Arial" w:cs="Arial" w:eastAsia="Arial" w:hAnsi="Arial"/>
                <w:sz w:val="15"/>
                <w:szCs w:val="15"/>
                <w:color w:val="auto"/>
              </w:rPr>
              <w:t>Depreciation and amortization of intangible assets</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94,422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99,030</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275,520</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292,706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80" w:type="dxa"/>
            <w:vAlign w:val="bottom"/>
          </w:tcPr>
          <w:p>
            <w:pPr>
              <w:ind w:left="400"/>
              <w:spacing w:after="0"/>
              <w:rPr>
                <w:sz w:val="20"/>
                <w:szCs w:val="20"/>
                <w:color w:val="auto"/>
              </w:rPr>
            </w:pPr>
            <w:r>
              <w:rPr>
                <w:rFonts w:ascii="Arial" w:cs="Arial" w:eastAsia="Arial" w:hAnsi="Arial"/>
                <w:sz w:val="15"/>
                <w:szCs w:val="15"/>
                <w:color w:val="auto"/>
              </w:rPr>
              <w:t>Transaction and integration related</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233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7,020</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5,949</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19,141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80" w:type="dxa"/>
            <w:vAlign w:val="bottom"/>
          </w:tcPr>
          <w:p>
            <w:pPr>
              <w:ind w:left="400"/>
              <w:spacing w:after="0"/>
              <w:rPr>
                <w:sz w:val="20"/>
                <w:szCs w:val="20"/>
                <w:color w:val="auto"/>
              </w:rPr>
            </w:pPr>
            <w:r>
              <w:rPr>
                <w:rFonts w:ascii="Arial" w:cs="Arial" w:eastAsia="Arial" w:hAnsi="Arial"/>
                <w:sz w:val="15"/>
                <w:szCs w:val="15"/>
                <w:color w:val="auto"/>
              </w:rPr>
              <w:t>Restructuring</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1,486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32,466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980" w:type="dxa"/>
            <w:vAlign w:val="bottom"/>
          </w:tcPr>
          <w:p>
            <w:pPr>
              <w:ind w:left="400"/>
              <w:spacing w:after="0"/>
              <w:rPr>
                <w:sz w:val="20"/>
                <w:szCs w:val="20"/>
                <w:color w:val="auto"/>
              </w:rPr>
            </w:pPr>
            <w:r>
              <w:rPr>
                <w:rFonts w:ascii="Arial" w:cs="Arial" w:eastAsia="Arial" w:hAnsi="Arial"/>
                <w:sz w:val="15"/>
                <w:szCs w:val="15"/>
                <w:color w:val="auto"/>
              </w:rPr>
              <w:t>Loss on disposal of subsidiary undertaking</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32,947</w:t>
            </w:r>
          </w:p>
        </w:tc>
        <w:tc>
          <w:tcPr>
            <w:tcW w:w="3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0"/>
        </w:trPr>
        <w:tc>
          <w:tcPr>
            <w:tcW w:w="3980" w:type="dxa"/>
            <w:vAlign w:val="bottom"/>
            <w:shd w:val="clear" w:color="auto" w:fill="F3F8F7"/>
          </w:tcPr>
          <w:p>
            <w:pPr>
              <w:ind w:left="400"/>
              <w:spacing w:after="0"/>
              <w:rPr>
                <w:sz w:val="20"/>
                <w:szCs w:val="20"/>
                <w:color w:val="auto"/>
              </w:rPr>
            </w:pPr>
            <w:r>
              <w:rPr>
                <w:rFonts w:ascii="Arial" w:cs="Arial" w:eastAsia="Arial" w:hAnsi="Arial"/>
                <w:sz w:val="15"/>
                <w:szCs w:val="15"/>
                <w:color w:val="auto"/>
              </w:rPr>
              <w:t>Goodwill impairment</w:t>
            </w:r>
          </w:p>
        </w:tc>
        <w:tc>
          <w:tcPr>
            <w:tcW w:w="440" w:type="dxa"/>
            <w:vAlign w:val="bottom"/>
            <w:shd w:val="clear" w:color="auto" w:fill="F3F8F7"/>
          </w:tcPr>
          <w:p>
            <w:pPr>
              <w:spacing w:after="0"/>
              <w:rPr>
                <w:sz w:val="24"/>
                <w:szCs w:val="24"/>
                <w:color w:val="auto"/>
              </w:rPr>
            </w:pPr>
          </w:p>
        </w:tc>
        <w:tc>
          <w:tcPr>
            <w:tcW w:w="1120" w:type="dxa"/>
            <w:vAlign w:val="bottom"/>
            <w:shd w:val="clear" w:color="auto" w:fill="F3F8F7"/>
          </w:tcPr>
          <w:p>
            <w:pPr>
              <w:jc w:val="right"/>
              <w:ind w:right="44"/>
              <w:spacing w:after="0"/>
              <w:rPr>
                <w:sz w:val="20"/>
                <w:szCs w:val="20"/>
                <w:color w:val="auto"/>
              </w:rPr>
            </w:pPr>
            <w:r>
              <w:rPr>
                <w:rFonts w:ascii="Arial" w:cs="Arial" w:eastAsia="Arial" w:hAnsi="Arial"/>
                <w:sz w:val="15"/>
                <w:szCs w:val="15"/>
                <w:color w:val="auto"/>
              </w:rPr>
              <w:t>—</w:t>
            </w:r>
          </w:p>
        </w:tc>
        <w:tc>
          <w:tcPr>
            <w:tcW w:w="400" w:type="dxa"/>
            <w:vAlign w:val="bottom"/>
            <w:shd w:val="clear" w:color="auto" w:fill="F3F8F7"/>
          </w:tcPr>
          <w:p>
            <w:pPr>
              <w:spacing w:after="0"/>
              <w:rPr>
                <w:sz w:val="24"/>
                <w:szCs w:val="24"/>
                <w:color w:val="auto"/>
              </w:rPr>
            </w:pPr>
          </w:p>
        </w:tc>
        <w:tc>
          <w:tcPr>
            <w:tcW w:w="320" w:type="dxa"/>
            <w:vAlign w:val="bottom"/>
            <w:shd w:val="clear" w:color="auto" w:fill="F3F8F7"/>
          </w:tcPr>
          <w:p>
            <w:pPr>
              <w:spacing w:after="0"/>
              <w:rPr>
                <w:sz w:val="24"/>
                <w:szCs w:val="24"/>
                <w:color w:val="auto"/>
              </w:rPr>
            </w:pPr>
          </w:p>
        </w:tc>
        <w:tc>
          <w:tcPr>
            <w:tcW w:w="800" w:type="dxa"/>
            <w:vAlign w:val="bottom"/>
            <w:shd w:val="clear" w:color="auto" w:fill="F3F8F7"/>
          </w:tcPr>
          <w:p>
            <w:pPr>
              <w:jc w:val="right"/>
              <w:ind w:right="24"/>
              <w:spacing w:after="0"/>
              <w:rPr>
                <w:sz w:val="20"/>
                <w:szCs w:val="20"/>
                <w:color w:val="auto"/>
              </w:rPr>
            </w:pPr>
            <w:r>
              <w:rPr>
                <w:rFonts w:ascii="Arial" w:cs="Arial" w:eastAsia="Arial" w:hAnsi="Arial"/>
                <w:sz w:val="15"/>
                <w:szCs w:val="15"/>
                <w:color w:val="auto"/>
              </w:rPr>
              <w:t>364,248</w:t>
            </w:r>
          </w:p>
        </w:tc>
        <w:tc>
          <w:tcPr>
            <w:tcW w:w="320" w:type="dxa"/>
            <w:vAlign w:val="bottom"/>
            <w:shd w:val="clear" w:color="auto" w:fill="F3F8F7"/>
          </w:tcPr>
          <w:p>
            <w:pPr>
              <w:spacing w:after="0"/>
              <w:rPr>
                <w:sz w:val="24"/>
                <w:szCs w:val="24"/>
                <w:color w:val="auto"/>
              </w:rPr>
            </w:pPr>
          </w:p>
        </w:tc>
        <w:tc>
          <w:tcPr>
            <w:tcW w:w="1060" w:type="dxa"/>
            <w:vAlign w:val="bottom"/>
            <w:shd w:val="clear" w:color="auto" w:fill="F3F8F7"/>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shd w:val="clear" w:color="auto" w:fill="F3F8F7"/>
          </w:tcPr>
          <w:p>
            <w:pPr>
              <w:spacing w:after="0"/>
              <w:rPr>
                <w:sz w:val="24"/>
                <w:szCs w:val="24"/>
                <w:color w:val="auto"/>
              </w:rPr>
            </w:pPr>
          </w:p>
        </w:tc>
        <w:tc>
          <w:tcPr>
            <w:tcW w:w="10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364,248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80" w:type="dxa"/>
            <w:vAlign w:val="bottom"/>
          </w:tcPr>
          <w:p>
            <w:pPr>
              <w:ind w:left="400"/>
              <w:spacing w:after="0"/>
              <w:rPr>
                <w:sz w:val="20"/>
                <w:szCs w:val="20"/>
                <w:color w:val="auto"/>
              </w:rPr>
            </w:pPr>
            <w:r>
              <w:rPr>
                <w:rFonts w:ascii="Arial" w:cs="Arial" w:eastAsia="Arial" w:hAnsi="Arial"/>
                <w:sz w:val="15"/>
                <w:szCs w:val="15"/>
                <w:color w:val="auto"/>
              </w:rPr>
              <w:t>Impairment of non-financial assets</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101,027</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101,027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80" w:type="dxa"/>
            <w:vAlign w:val="bottom"/>
            <w:shd w:val="clear" w:color="auto" w:fill="F3F8F7"/>
          </w:tcPr>
          <w:p>
            <w:pPr>
              <w:ind w:left="80"/>
              <w:spacing w:after="0"/>
              <w:rPr>
                <w:sz w:val="20"/>
                <w:szCs w:val="20"/>
                <w:color w:val="auto"/>
              </w:rPr>
            </w:pPr>
            <w:r>
              <w:rPr>
                <w:rFonts w:ascii="Arial" w:cs="Arial" w:eastAsia="Arial" w:hAnsi="Arial"/>
                <w:sz w:val="15"/>
                <w:szCs w:val="15"/>
                <w:b w:val="1"/>
                <w:bCs w:val="1"/>
                <w:color w:val="004750"/>
              </w:rPr>
              <w:t>Total costs and expenses</w:t>
            </w:r>
          </w:p>
        </w:tc>
        <w:tc>
          <w:tcPr>
            <w:tcW w:w="440" w:type="dxa"/>
            <w:vAlign w:val="bottom"/>
            <w:shd w:val="clear" w:color="auto" w:fill="F3F8F7"/>
          </w:tcPr>
          <w:p>
            <w:pPr>
              <w:spacing w:after="0"/>
              <w:rPr>
                <w:sz w:val="24"/>
                <w:szCs w:val="24"/>
                <w:color w:val="auto"/>
              </w:rPr>
            </w:pPr>
          </w:p>
        </w:tc>
        <w:tc>
          <w:tcPr>
            <w:tcW w:w="1120" w:type="dxa"/>
            <w:vAlign w:val="bottom"/>
            <w:shd w:val="clear" w:color="auto" w:fill="F3F8F7"/>
          </w:tcPr>
          <w:p>
            <w:pPr>
              <w:jc w:val="right"/>
              <w:ind w:right="44"/>
              <w:spacing w:after="0"/>
              <w:rPr>
                <w:sz w:val="20"/>
                <w:szCs w:val="20"/>
                <w:color w:val="auto"/>
              </w:rPr>
            </w:pPr>
            <w:r>
              <w:rPr>
                <w:rFonts w:ascii="Arial" w:cs="Arial" w:eastAsia="Arial" w:hAnsi="Arial"/>
                <w:sz w:val="15"/>
                <w:szCs w:val="15"/>
                <w:b w:val="1"/>
                <w:bCs w:val="1"/>
                <w:color w:val="004750"/>
              </w:rPr>
              <w:t>1,825,916</w:t>
            </w:r>
          </w:p>
        </w:tc>
        <w:tc>
          <w:tcPr>
            <w:tcW w:w="400" w:type="dxa"/>
            <w:vAlign w:val="bottom"/>
            <w:shd w:val="clear" w:color="auto" w:fill="F3F8F7"/>
          </w:tcPr>
          <w:p>
            <w:pPr>
              <w:spacing w:after="0"/>
              <w:rPr>
                <w:sz w:val="24"/>
                <w:szCs w:val="24"/>
                <w:color w:val="auto"/>
              </w:rPr>
            </w:pPr>
          </w:p>
        </w:tc>
        <w:tc>
          <w:tcPr>
            <w:tcW w:w="320" w:type="dxa"/>
            <w:vAlign w:val="bottom"/>
            <w:shd w:val="clear" w:color="auto" w:fill="F3F8F7"/>
          </w:tcPr>
          <w:p>
            <w:pPr>
              <w:spacing w:after="0"/>
              <w:rPr>
                <w:sz w:val="24"/>
                <w:szCs w:val="24"/>
                <w:color w:val="auto"/>
              </w:rPr>
            </w:pPr>
          </w:p>
        </w:tc>
        <w:tc>
          <w:tcPr>
            <w:tcW w:w="800" w:type="dxa"/>
            <w:vAlign w:val="bottom"/>
            <w:shd w:val="clear" w:color="auto" w:fill="F3F8F7"/>
          </w:tcPr>
          <w:p>
            <w:pPr>
              <w:jc w:val="right"/>
              <w:ind w:right="24"/>
              <w:spacing w:after="0"/>
              <w:rPr>
                <w:sz w:val="20"/>
                <w:szCs w:val="20"/>
                <w:color w:val="auto"/>
              </w:rPr>
            </w:pPr>
            <w:r>
              <w:rPr>
                <w:rFonts w:ascii="Arial" w:cs="Arial" w:eastAsia="Arial" w:hAnsi="Arial"/>
                <w:sz w:val="15"/>
                <w:szCs w:val="15"/>
                <w:b w:val="1"/>
                <w:bCs w:val="1"/>
                <w:color w:val="004750"/>
              </w:rPr>
              <w:t>2,307,325</w:t>
            </w:r>
          </w:p>
        </w:tc>
        <w:tc>
          <w:tcPr>
            <w:tcW w:w="320" w:type="dxa"/>
            <w:vAlign w:val="bottom"/>
            <w:shd w:val="clear" w:color="auto" w:fill="F3F8F7"/>
          </w:tcPr>
          <w:p>
            <w:pPr>
              <w:spacing w:after="0"/>
              <w:rPr>
                <w:sz w:val="24"/>
                <w:szCs w:val="24"/>
                <w:color w:val="auto"/>
              </w:rPr>
            </w:pPr>
          </w:p>
        </w:tc>
        <w:tc>
          <w:tcPr>
            <w:tcW w:w="1060" w:type="dxa"/>
            <w:vAlign w:val="bottom"/>
            <w:shd w:val="clear" w:color="auto" w:fill="F3F8F7"/>
          </w:tcPr>
          <w:p>
            <w:pPr>
              <w:jc w:val="right"/>
              <w:ind w:right="44"/>
              <w:spacing w:after="0"/>
              <w:rPr>
                <w:sz w:val="20"/>
                <w:szCs w:val="20"/>
                <w:color w:val="auto"/>
              </w:rPr>
            </w:pPr>
            <w:r>
              <w:rPr>
                <w:rFonts w:ascii="Arial" w:cs="Arial" w:eastAsia="Arial" w:hAnsi="Arial"/>
                <w:sz w:val="15"/>
                <w:szCs w:val="15"/>
                <w:b w:val="1"/>
                <w:bCs w:val="1"/>
                <w:color w:val="004750"/>
              </w:rPr>
              <w:t>5,611,838</w:t>
            </w:r>
          </w:p>
        </w:tc>
        <w:tc>
          <w:tcPr>
            <w:tcW w:w="320" w:type="dxa"/>
            <w:vAlign w:val="bottom"/>
            <w:shd w:val="clear" w:color="auto" w:fill="F3F8F7"/>
          </w:tcPr>
          <w:p>
            <w:pPr>
              <w:spacing w:after="0"/>
              <w:rPr>
                <w:sz w:val="24"/>
                <w:szCs w:val="24"/>
                <w:color w:val="auto"/>
              </w:rPr>
            </w:pPr>
          </w:p>
        </w:tc>
        <w:tc>
          <w:tcPr>
            <w:tcW w:w="1000" w:type="dxa"/>
            <w:vAlign w:val="bottom"/>
            <w:shd w:val="clear" w:color="auto" w:fill="F3F8F7"/>
          </w:tcPr>
          <w:p>
            <w:pPr>
              <w:jc w:val="right"/>
              <w:spacing w:after="0"/>
              <w:rPr>
                <w:sz w:val="20"/>
                <w:szCs w:val="20"/>
                <w:color w:val="auto"/>
              </w:rPr>
            </w:pPr>
            <w:r>
              <w:rPr>
                <w:rFonts w:ascii="Arial" w:cs="Arial" w:eastAsia="Arial" w:hAnsi="Arial"/>
                <w:sz w:val="15"/>
                <w:szCs w:val="15"/>
                <w:b w:val="1"/>
                <w:bCs w:val="1"/>
                <w:color w:val="004750"/>
              </w:rPr>
              <w:t>5,903,824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80" w:type="dxa"/>
            <w:vAlign w:val="bottom"/>
            <w:shd w:val="clear" w:color="auto" w:fill="F3F8F7"/>
          </w:tcPr>
          <w:p>
            <w:pPr>
              <w:ind w:left="80"/>
              <w:spacing w:after="0"/>
              <w:rPr>
                <w:sz w:val="20"/>
                <w:szCs w:val="20"/>
                <w:color w:val="auto"/>
              </w:rPr>
            </w:pPr>
            <w:r>
              <w:rPr>
                <w:rFonts w:ascii="Arial" w:cs="Arial" w:eastAsia="Arial" w:hAnsi="Arial"/>
                <w:sz w:val="15"/>
                <w:szCs w:val="15"/>
                <w:color w:val="auto"/>
              </w:rPr>
              <w:t>Income / (loss) from operations</w:t>
            </w:r>
          </w:p>
        </w:tc>
        <w:tc>
          <w:tcPr>
            <w:tcW w:w="440" w:type="dxa"/>
            <w:vAlign w:val="bottom"/>
            <w:shd w:val="clear" w:color="auto" w:fill="F3F8F7"/>
          </w:tcPr>
          <w:p>
            <w:pPr>
              <w:spacing w:after="0"/>
              <w:rPr>
                <w:sz w:val="24"/>
                <w:szCs w:val="24"/>
                <w:color w:val="auto"/>
              </w:rPr>
            </w:pPr>
          </w:p>
        </w:tc>
        <w:tc>
          <w:tcPr>
            <w:tcW w:w="1120" w:type="dxa"/>
            <w:vAlign w:val="bottom"/>
            <w:shd w:val="clear" w:color="auto" w:fill="F3F8F7"/>
          </w:tcPr>
          <w:p>
            <w:pPr>
              <w:jc w:val="right"/>
              <w:ind w:right="44"/>
              <w:spacing w:after="0"/>
              <w:rPr>
                <w:sz w:val="20"/>
                <w:szCs w:val="20"/>
                <w:color w:val="auto"/>
              </w:rPr>
            </w:pPr>
            <w:r>
              <w:rPr>
                <w:rFonts w:ascii="Arial" w:cs="Arial" w:eastAsia="Arial" w:hAnsi="Arial"/>
                <w:sz w:val="15"/>
                <w:szCs w:val="15"/>
                <w:color w:val="auto"/>
              </w:rPr>
              <w:t>198,841</w:t>
            </w:r>
          </w:p>
        </w:tc>
        <w:tc>
          <w:tcPr>
            <w:tcW w:w="400" w:type="dxa"/>
            <w:vAlign w:val="bottom"/>
            <w:shd w:val="clear" w:color="auto" w:fill="F3F8F7"/>
          </w:tcPr>
          <w:p>
            <w:pPr>
              <w:spacing w:after="0"/>
              <w:rPr>
                <w:sz w:val="24"/>
                <w:szCs w:val="24"/>
                <w:color w:val="auto"/>
              </w:rPr>
            </w:pPr>
          </w:p>
        </w:tc>
        <w:tc>
          <w:tcPr>
            <w:tcW w:w="320" w:type="dxa"/>
            <w:vAlign w:val="bottom"/>
            <w:shd w:val="clear" w:color="auto" w:fill="F3F8F7"/>
          </w:tcPr>
          <w:p>
            <w:pPr>
              <w:spacing w:after="0"/>
              <w:rPr>
                <w:sz w:val="24"/>
                <w:szCs w:val="24"/>
                <w:color w:val="auto"/>
              </w:rPr>
            </w:pPr>
          </w:p>
        </w:tc>
        <w:tc>
          <w:tcPr>
            <w:tcW w:w="8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(222,910)</w:t>
            </w:r>
          </w:p>
        </w:tc>
        <w:tc>
          <w:tcPr>
            <w:tcW w:w="320" w:type="dxa"/>
            <w:vAlign w:val="bottom"/>
            <w:shd w:val="clear" w:color="auto" w:fill="F3F8F7"/>
          </w:tcPr>
          <w:p>
            <w:pPr>
              <w:spacing w:after="0"/>
              <w:rPr>
                <w:sz w:val="24"/>
                <w:szCs w:val="24"/>
                <w:color w:val="auto"/>
              </w:rPr>
            </w:pPr>
          </w:p>
        </w:tc>
        <w:tc>
          <w:tcPr>
            <w:tcW w:w="1060" w:type="dxa"/>
            <w:vAlign w:val="bottom"/>
            <w:shd w:val="clear" w:color="auto" w:fill="F3F8F7"/>
          </w:tcPr>
          <w:p>
            <w:pPr>
              <w:jc w:val="right"/>
              <w:ind w:right="44"/>
              <w:spacing w:after="0"/>
              <w:rPr>
                <w:sz w:val="20"/>
                <w:szCs w:val="20"/>
                <w:color w:val="auto"/>
              </w:rPr>
            </w:pPr>
            <w:r>
              <w:rPr>
                <w:rFonts w:ascii="Arial" w:cs="Arial" w:eastAsia="Arial" w:hAnsi="Arial"/>
                <w:sz w:val="15"/>
                <w:szCs w:val="15"/>
                <w:color w:val="auto"/>
              </w:rPr>
              <w:t>510,404</w:t>
            </w:r>
          </w:p>
        </w:tc>
        <w:tc>
          <w:tcPr>
            <w:tcW w:w="320" w:type="dxa"/>
            <w:vAlign w:val="bottom"/>
            <w:shd w:val="clear" w:color="auto" w:fill="F3F8F7"/>
          </w:tcPr>
          <w:p>
            <w:pPr>
              <w:spacing w:after="0"/>
              <w:rPr>
                <w:sz w:val="24"/>
                <w:szCs w:val="24"/>
                <w:color w:val="auto"/>
              </w:rPr>
            </w:pPr>
          </w:p>
        </w:tc>
        <w:tc>
          <w:tcPr>
            <w:tcW w:w="10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234,999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980" w:type="dxa"/>
            <w:vAlign w:val="bottom"/>
          </w:tcPr>
          <w:p>
            <w:pPr>
              <w:ind w:left="400"/>
              <w:spacing w:after="0"/>
              <w:rPr>
                <w:sz w:val="20"/>
                <w:szCs w:val="20"/>
                <w:color w:val="auto"/>
              </w:rPr>
            </w:pPr>
            <w:r>
              <w:rPr>
                <w:rFonts w:ascii="Arial" w:cs="Arial" w:eastAsia="Arial" w:hAnsi="Arial"/>
                <w:sz w:val="15"/>
                <w:szCs w:val="15"/>
                <w:color w:val="auto"/>
              </w:rPr>
              <w:t>Interest income</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5,612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1,761</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10,588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80" w:type="dxa"/>
            <w:vAlign w:val="bottom"/>
            <w:tcBorders>
              <w:bottom w:val="single" w:sz="8" w:color="128474"/>
            </w:tcBorders>
            <w:shd w:val="clear" w:color="auto" w:fill="F3F8F7"/>
          </w:tcPr>
          <w:p>
            <w:pPr>
              <w:ind w:left="400"/>
              <w:spacing w:after="0"/>
              <w:rPr>
                <w:sz w:val="20"/>
                <w:szCs w:val="20"/>
                <w:color w:val="auto"/>
              </w:rPr>
            </w:pPr>
            <w:r>
              <w:rPr>
                <w:rFonts w:ascii="Arial" w:cs="Arial" w:eastAsia="Arial" w:hAnsi="Arial"/>
                <w:sz w:val="15"/>
                <w:szCs w:val="15"/>
                <w:color w:val="auto"/>
              </w:rPr>
              <w:t>Interest expense</w:t>
            </w:r>
          </w:p>
        </w:tc>
        <w:tc>
          <w:tcPr>
            <w:tcW w:w="440" w:type="dxa"/>
            <w:vAlign w:val="bottom"/>
            <w:tcBorders>
              <w:bottom w:val="single" w:sz="8" w:color="128474"/>
            </w:tcBorders>
            <w:shd w:val="clear" w:color="auto" w:fill="F3F8F7"/>
          </w:tcPr>
          <w:p>
            <w:pPr>
              <w:spacing w:after="0"/>
              <w:rPr>
                <w:sz w:val="24"/>
                <w:szCs w:val="24"/>
                <w:color w:val="auto"/>
              </w:rPr>
            </w:pPr>
          </w:p>
        </w:tc>
        <w:tc>
          <w:tcPr>
            <w:tcW w:w="1120" w:type="dxa"/>
            <w:vAlign w:val="bottom"/>
            <w:tcBorders>
              <w:bottom w:val="single" w:sz="8" w:color="128474"/>
            </w:tcBorders>
            <w:shd w:val="clear" w:color="auto" w:fill="F3F8F7"/>
          </w:tcPr>
          <w:p>
            <w:pPr>
              <w:jc w:val="right"/>
              <w:spacing w:after="0"/>
              <w:rPr>
                <w:sz w:val="20"/>
                <w:szCs w:val="20"/>
                <w:color w:val="auto"/>
              </w:rPr>
            </w:pPr>
            <w:r>
              <w:rPr>
                <w:rFonts w:ascii="Arial" w:cs="Arial" w:eastAsia="Arial" w:hAnsi="Arial"/>
                <w:sz w:val="15"/>
                <w:szCs w:val="15"/>
                <w:color w:val="auto"/>
              </w:rPr>
              <w:t>(66,175)</w:t>
            </w:r>
          </w:p>
        </w:tc>
        <w:tc>
          <w:tcPr>
            <w:tcW w:w="400" w:type="dxa"/>
            <w:vAlign w:val="bottom"/>
            <w:tcBorders>
              <w:bottom w:val="single" w:sz="8" w:color="128474"/>
            </w:tcBorders>
            <w:shd w:val="clear" w:color="auto" w:fill="F3F8F7"/>
          </w:tcPr>
          <w:p>
            <w:pPr>
              <w:spacing w:after="0"/>
              <w:rPr>
                <w:sz w:val="24"/>
                <w:szCs w:val="24"/>
                <w:color w:val="auto"/>
              </w:rPr>
            </w:pPr>
          </w:p>
        </w:tc>
        <w:tc>
          <w:tcPr>
            <w:tcW w:w="320" w:type="dxa"/>
            <w:vAlign w:val="bottom"/>
            <w:tcBorders>
              <w:bottom w:val="single" w:sz="8" w:color="128474"/>
            </w:tcBorders>
            <w:shd w:val="clear" w:color="auto" w:fill="F3F8F7"/>
          </w:tcPr>
          <w:p>
            <w:pPr>
              <w:spacing w:after="0"/>
              <w:rPr>
                <w:sz w:val="24"/>
                <w:szCs w:val="24"/>
                <w:color w:val="auto"/>
              </w:rPr>
            </w:pPr>
          </w:p>
        </w:tc>
        <w:tc>
          <w:tcPr>
            <w:tcW w:w="800" w:type="dxa"/>
            <w:vAlign w:val="bottom"/>
            <w:tcBorders>
              <w:bottom w:val="single" w:sz="8" w:color="128474"/>
            </w:tcBorders>
            <w:shd w:val="clear" w:color="auto" w:fill="F3F8F7"/>
          </w:tcPr>
          <w:p>
            <w:pPr>
              <w:jc w:val="right"/>
              <w:spacing w:after="0"/>
              <w:rPr>
                <w:sz w:val="20"/>
                <w:szCs w:val="20"/>
                <w:color w:val="auto"/>
              </w:rPr>
            </w:pPr>
            <w:r>
              <w:rPr>
                <w:rFonts w:ascii="Arial" w:cs="Arial" w:eastAsia="Arial" w:hAnsi="Arial"/>
                <w:sz w:val="15"/>
                <w:szCs w:val="15"/>
                <w:color w:val="auto"/>
              </w:rPr>
              <w:t>(50,243)</w:t>
            </w:r>
          </w:p>
        </w:tc>
        <w:tc>
          <w:tcPr>
            <w:tcW w:w="320" w:type="dxa"/>
            <w:vAlign w:val="bottom"/>
            <w:tcBorders>
              <w:bottom w:val="single" w:sz="8" w:color="128474"/>
            </w:tcBorders>
            <w:shd w:val="clear" w:color="auto" w:fill="F3F8F7"/>
          </w:tcPr>
          <w:p>
            <w:pPr>
              <w:spacing w:after="0"/>
              <w:rPr>
                <w:sz w:val="24"/>
                <w:szCs w:val="24"/>
                <w:color w:val="auto"/>
              </w:rPr>
            </w:pPr>
          </w:p>
        </w:tc>
        <w:tc>
          <w:tcPr>
            <w:tcW w:w="1060" w:type="dxa"/>
            <w:vAlign w:val="bottom"/>
            <w:tcBorders>
              <w:bottom w:val="single" w:sz="8" w:color="128474"/>
            </w:tcBorders>
            <w:shd w:val="clear" w:color="auto" w:fill="F3F8F7"/>
          </w:tcPr>
          <w:p>
            <w:pPr>
              <w:jc w:val="right"/>
              <w:spacing w:after="0"/>
              <w:rPr>
                <w:sz w:val="20"/>
                <w:szCs w:val="20"/>
                <w:color w:val="auto"/>
              </w:rPr>
            </w:pPr>
            <w:r>
              <w:rPr>
                <w:rFonts w:ascii="Arial" w:cs="Arial" w:eastAsia="Arial" w:hAnsi="Arial"/>
                <w:sz w:val="15"/>
                <w:szCs w:val="15"/>
                <w:color w:val="auto"/>
              </w:rPr>
              <w:t>(162,959)</w:t>
            </w:r>
          </w:p>
        </w:tc>
        <w:tc>
          <w:tcPr>
            <w:tcW w:w="320" w:type="dxa"/>
            <w:vAlign w:val="bottom"/>
            <w:tcBorders>
              <w:bottom w:val="single" w:sz="8" w:color="128474"/>
            </w:tcBorders>
            <w:shd w:val="clear" w:color="auto" w:fill="F3F8F7"/>
          </w:tcPr>
          <w:p>
            <w:pPr>
              <w:spacing w:after="0"/>
              <w:rPr>
                <w:sz w:val="24"/>
                <w:szCs w:val="24"/>
                <w:color w:val="auto"/>
              </w:rPr>
            </w:pPr>
          </w:p>
        </w:tc>
        <w:tc>
          <w:tcPr>
            <w:tcW w:w="1000" w:type="dxa"/>
            <w:vAlign w:val="bottom"/>
            <w:tcBorders>
              <w:bottom w:val="single" w:sz="8" w:color="128474"/>
            </w:tcBorders>
            <w:shd w:val="clear" w:color="auto" w:fill="F3F8F7"/>
          </w:tcPr>
          <w:p>
            <w:pPr>
              <w:jc w:val="right"/>
              <w:spacing w:after="0"/>
              <w:rPr>
                <w:sz w:val="20"/>
                <w:szCs w:val="20"/>
                <w:color w:val="auto"/>
              </w:rPr>
            </w:pPr>
            <w:r>
              <w:rPr>
                <w:rFonts w:ascii="Arial" w:cs="Arial" w:eastAsia="Arial" w:hAnsi="Arial"/>
                <w:sz w:val="15"/>
                <w:szCs w:val="15"/>
                <w:color w:val="auto"/>
              </w:rPr>
              <w:t>(148,003)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980" w:type="dxa"/>
            <w:vAlign w:val="bottom"/>
            <w:tcBorders>
              <w:bottom w:val="single" w:sz="8" w:color="auto"/>
            </w:tcBorders>
            <w:shd w:val="clear" w:color="auto" w:fill="D0E6E3"/>
          </w:tcPr>
          <w:p>
            <w:pPr>
              <w:spacing w:after="0"/>
              <w:rPr>
                <w:sz w:val="24"/>
                <w:szCs w:val="24"/>
                <w:color w:val="auto"/>
              </w:rPr>
            </w:pPr>
          </w:p>
        </w:tc>
        <w:tc>
          <w:tcPr>
            <w:tcW w:w="440" w:type="dxa"/>
            <w:vAlign w:val="bottom"/>
            <w:tcBorders>
              <w:bottom w:val="single" w:sz="8" w:color="auto"/>
            </w:tcBorders>
            <w:shd w:val="clear" w:color="auto" w:fill="D0E6E3"/>
          </w:tcPr>
          <w:p>
            <w:pPr>
              <w:spacing w:after="0"/>
              <w:rPr>
                <w:sz w:val="24"/>
                <w:szCs w:val="24"/>
                <w:color w:val="auto"/>
              </w:rPr>
            </w:pPr>
          </w:p>
        </w:tc>
        <w:tc>
          <w:tcPr>
            <w:tcW w:w="1120" w:type="dxa"/>
            <w:vAlign w:val="bottom"/>
            <w:tcBorders>
              <w:bottom w:val="single" w:sz="8" w:color="auto"/>
            </w:tcBorders>
            <w:shd w:val="clear" w:color="auto" w:fill="D0E6E3"/>
          </w:tcPr>
          <w:p>
            <w:pPr>
              <w:spacing w:after="0"/>
              <w:rPr>
                <w:sz w:val="24"/>
                <w:szCs w:val="24"/>
                <w:color w:val="auto"/>
              </w:rPr>
            </w:pPr>
          </w:p>
        </w:tc>
        <w:tc>
          <w:tcPr>
            <w:tcW w:w="400" w:type="dxa"/>
            <w:vAlign w:val="bottom"/>
            <w:tcBorders>
              <w:bottom w:val="single" w:sz="8" w:color="auto"/>
            </w:tcBorders>
            <w:shd w:val="clear" w:color="auto" w:fill="D0E6E3"/>
          </w:tcPr>
          <w:p>
            <w:pPr>
              <w:spacing w:after="0"/>
              <w:rPr>
                <w:sz w:val="24"/>
                <w:szCs w:val="24"/>
                <w:color w:val="auto"/>
              </w:rPr>
            </w:pPr>
          </w:p>
        </w:tc>
        <w:tc>
          <w:tcPr>
            <w:tcW w:w="320" w:type="dxa"/>
            <w:vAlign w:val="bottom"/>
            <w:tcBorders>
              <w:bottom w:val="single" w:sz="8" w:color="auto"/>
            </w:tcBorders>
            <w:shd w:val="clear" w:color="auto" w:fill="D0E6E3"/>
          </w:tcPr>
          <w:p>
            <w:pPr>
              <w:spacing w:after="0"/>
              <w:rPr>
                <w:sz w:val="24"/>
                <w:szCs w:val="24"/>
                <w:color w:val="auto"/>
              </w:rPr>
            </w:pPr>
          </w:p>
        </w:tc>
        <w:tc>
          <w:tcPr>
            <w:tcW w:w="800" w:type="dxa"/>
            <w:vAlign w:val="bottom"/>
            <w:tcBorders>
              <w:bottom w:val="single" w:sz="8" w:color="auto"/>
            </w:tcBorders>
            <w:shd w:val="clear" w:color="auto" w:fill="D0E6E3"/>
          </w:tcPr>
          <w:p>
            <w:pPr>
              <w:spacing w:after="0"/>
              <w:rPr>
                <w:sz w:val="24"/>
                <w:szCs w:val="24"/>
                <w:color w:val="auto"/>
              </w:rPr>
            </w:pPr>
          </w:p>
        </w:tc>
        <w:tc>
          <w:tcPr>
            <w:tcW w:w="320" w:type="dxa"/>
            <w:vAlign w:val="bottom"/>
            <w:tcBorders>
              <w:bottom w:val="single" w:sz="8" w:color="auto"/>
            </w:tcBorders>
            <w:shd w:val="clear" w:color="auto" w:fill="D0E6E3"/>
          </w:tcPr>
          <w:p>
            <w:pPr>
              <w:spacing w:after="0"/>
              <w:rPr>
                <w:sz w:val="24"/>
                <w:szCs w:val="24"/>
                <w:color w:val="auto"/>
              </w:rPr>
            </w:pPr>
          </w:p>
        </w:tc>
        <w:tc>
          <w:tcPr>
            <w:tcW w:w="1060" w:type="dxa"/>
            <w:vAlign w:val="bottom"/>
            <w:tcBorders>
              <w:bottom w:val="single" w:sz="8" w:color="auto"/>
            </w:tcBorders>
            <w:shd w:val="clear" w:color="auto" w:fill="D0E6E3"/>
          </w:tcPr>
          <w:p>
            <w:pPr>
              <w:spacing w:after="0"/>
              <w:rPr>
                <w:sz w:val="24"/>
                <w:szCs w:val="24"/>
                <w:color w:val="auto"/>
              </w:rPr>
            </w:pPr>
          </w:p>
        </w:tc>
        <w:tc>
          <w:tcPr>
            <w:tcW w:w="320" w:type="dxa"/>
            <w:vAlign w:val="bottom"/>
            <w:tcBorders>
              <w:bottom w:val="single" w:sz="8" w:color="auto"/>
            </w:tcBorders>
            <w:shd w:val="clear" w:color="auto" w:fill="D0E6E3"/>
          </w:tcPr>
          <w:p>
            <w:pPr>
              <w:spacing w:after="0"/>
              <w:rPr>
                <w:sz w:val="24"/>
                <w:szCs w:val="24"/>
                <w:color w:val="auto"/>
              </w:rPr>
            </w:pPr>
          </w:p>
        </w:tc>
        <w:tc>
          <w:tcPr>
            <w:tcW w:w="1000" w:type="dxa"/>
            <w:vAlign w:val="bottom"/>
            <w:tcBorders>
              <w:bottom w:val="single" w:sz="8" w:color="auto"/>
            </w:tcBorders>
            <w:shd w:val="clear" w:color="auto" w:fill="D0E6E3"/>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80" w:type="dxa"/>
            <w:vAlign w:val="bottom"/>
          </w:tcPr>
          <w:p>
            <w:pPr>
              <w:ind w:left="80"/>
              <w:spacing w:after="0"/>
              <w:rPr>
                <w:sz w:val="20"/>
                <w:szCs w:val="20"/>
                <w:color w:val="auto"/>
              </w:rPr>
            </w:pPr>
            <w:r>
              <w:rPr>
                <w:rFonts w:ascii="Arial" w:cs="Arial" w:eastAsia="Arial" w:hAnsi="Arial"/>
                <w:sz w:val="15"/>
                <w:szCs w:val="15"/>
                <w:color w:val="auto"/>
              </w:rPr>
              <w:t>Income / (loss) before income tax expense</w:t>
            </w:r>
          </w:p>
        </w:tc>
        <w:tc>
          <w:tcPr>
            <w:tcW w:w="440" w:type="dxa"/>
            <w:vAlign w:val="bottom"/>
          </w:tcPr>
          <w:p>
            <w:pPr>
              <w:spacing w:after="0"/>
              <w:rPr>
                <w:sz w:val="22"/>
                <w:szCs w:val="22"/>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138,278</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(271,392)</w:t>
            </w:r>
          </w:p>
        </w:tc>
        <w:tc>
          <w:tcPr>
            <w:tcW w:w="32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358,033</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92,613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3980" w:type="dxa"/>
            <w:vAlign w:val="bottom"/>
          </w:tcPr>
          <w:p>
            <w:pPr>
              <w:ind w:left="400"/>
              <w:spacing w:after="0"/>
              <w:rPr>
                <w:sz w:val="20"/>
                <w:szCs w:val="20"/>
                <w:color w:val="auto"/>
              </w:rPr>
            </w:pPr>
            <w:r>
              <w:rPr>
                <w:rFonts w:ascii="Arial" w:cs="Arial" w:eastAsia="Arial" w:hAnsi="Arial"/>
                <w:sz w:val="15"/>
                <w:szCs w:val="15"/>
                <w:color w:val="auto"/>
              </w:rPr>
              <w:t>Income tax expense</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(32,446)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(12,791)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(74,868)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980" w:type="dxa"/>
            <w:vAlign w:val="bottom"/>
            <w:shd w:val="clear" w:color="auto" w:fill="F3F8F7"/>
          </w:tcPr>
          <w:p>
            <w:pPr>
              <w:spacing w:after="0"/>
              <w:rPr>
                <w:sz w:val="24"/>
                <w:szCs w:val="24"/>
                <w:color w:val="auto"/>
              </w:rPr>
            </w:pPr>
          </w:p>
        </w:tc>
        <w:tc>
          <w:tcPr>
            <w:tcW w:w="440" w:type="dxa"/>
            <w:vAlign w:val="bottom"/>
            <w:shd w:val="clear" w:color="auto" w:fill="F3F8F7"/>
          </w:tcPr>
          <w:p>
            <w:pPr>
              <w:spacing w:after="0"/>
              <w:rPr>
                <w:sz w:val="24"/>
                <w:szCs w:val="24"/>
                <w:color w:val="auto"/>
              </w:rPr>
            </w:pPr>
          </w:p>
        </w:tc>
        <w:tc>
          <w:tcPr>
            <w:tcW w:w="1120" w:type="dxa"/>
            <w:vAlign w:val="bottom"/>
            <w:shd w:val="clear" w:color="auto" w:fill="F3F8F7"/>
          </w:tcPr>
          <w:p>
            <w:pPr>
              <w:spacing w:after="0"/>
              <w:rPr>
                <w:sz w:val="24"/>
                <w:szCs w:val="24"/>
                <w:color w:val="auto"/>
              </w:rPr>
            </w:pPr>
          </w:p>
        </w:tc>
        <w:tc>
          <w:tcPr>
            <w:tcW w:w="400" w:type="dxa"/>
            <w:vAlign w:val="bottom"/>
            <w:shd w:val="clear" w:color="auto" w:fill="F3F8F7"/>
          </w:tcPr>
          <w:p>
            <w:pPr>
              <w:spacing w:after="0"/>
              <w:rPr>
                <w:sz w:val="24"/>
                <w:szCs w:val="24"/>
                <w:color w:val="auto"/>
              </w:rPr>
            </w:pPr>
          </w:p>
        </w:tc>
        <w:tc>
          <w:tcPr>
            <w:tcW w:w="320" w:type="dxa"/>
            <w:vAlign w:val="bottom"/>
            <w:shd w:val="clear" w:color="auto" w:fill="F3F8F7"/>
          </w:tcPr>
          <w:p>
            <w:pPr>
              <w:spacing w:after="0"/>
              <w:rPr>
                <w:sz w:val="24"/>
                <w:szCs w:val="24"/>
                <w:color w:val="auto"/>
              </w:rPr>
            </w:pPr>
          </w:p>
        </w:tc>
        <w:tc>
          <w:tcPr>
            <w:tcW w:w="800" w:type="dxa"/>
            <w:vAlign w:val="bottom"/>
            <w:shd w:val="clear" w:color="auto" w:fill="F3F8F7"/>
          </w:tcPr>
          <w:p>
            <w:pPr>
              <w:spacing w:after="0"/>
              <w:rPr>
                <w:sz w:val="24"/>
                <w:szCs w:val="24"/>
                <w:color w:val="auto"/>
              </w:rPr>
            </w:pPr>
          </w:p>
        </w:tc>
        <w:tc>
          <w:tcPr>
            <w:tcW w:w="320" w:type="dxa"/>
            <w:vAlign w:val="bottom"/>
            <w:shd w:val="clear" w:color="auto" w:fill="F3F8F7"/>
          </w:tcPr>
          <w:p>
            <w:pPr>
              <w:spacing w:after="0"/>
              <w:rPr>
                <w:sz w:val="24"/>
                <w:szCs w:val="24"/>
                <w:color w:val="auto"/>
              </w:rPr>
            </w:pPr>
          </w:p>
        </w:tc>
        <w:tc>
          <w:tcPr>
            <w:tcW w:w="1060" w:type="dxa"/>
            <w:vAlign w:val="bottom"/>
            <w:shd w:val="clear" w:color="auto" w:fill="F3F8F7"/>
          </w:tcPr>
          <w:p>
            <w:pPr>
              <w:spacing w:after="0"/>
              <w:rPr>
                <w:sz w:val="24"/>
                <w:szCs w:val="24"/>
                <w:color w:val="auto"/>
              </w:rPr>
            </w:pPr>
          </w:p>
        </w:tc>
        <w:tc>
          <w:tcPr>
            <w:tcW w:w="320" w:type="dxa"/>
            <w:vAlign w:val="bottom"/>
            <w:shd w:val="clear" w:color="auto" w:fill="F3F8F7"/>
          </w:tcPr>
          <w:p>
            <w:pPr>
              <w:spacing w:after="0"/>
              <w:rPr>
                <w:sz w:val="24"/>
                <w:szCs w:val="24"/>
                <w:color w:val="auto"/>
              </w:rPr>
            </w:pPr>
          </w:p>
        </w:tc>
        <w:tc>
          <w:tcPr>
            <w:tcW w:w="1000" w:type="dxa"/>
            <w:vAlign w:val="bottom"/>
            <w:shd w:val="clear" w:color="auto" w:fill="F3F8F7"/>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80"/>
              <w:spacing w:after="0"/>
              <w:rPr>
                <w:sz w:val="20"/>
                <w:szCs w:val="20"/>
                <w:color w:val="auto"/>
              </w:rPr>
            </w:pPr>
            <w:r>
              <w:rPr>
                <w:rFonts w:ascii="Arial" w:cs="Arial" w:eastAsia="Arial" w:hAnsi="Arial"/>
                <w:sz w:val="15"/>
                <w:szCs w:val="15"/>
                <w:color w:val="auto"/>
              </w:rPr>
              <w:t>Income / (loss) before share of net gains from equity</w:t>
            </w:r>
          </w:p>
        </w:tc>
        <w:tc>
          <w:tcPr>
            <w:tcW w:w="440" w:type="dxa"/>
            <w:vAlign w:val="bottom"/>
          </w:tcPr>
          <w:p>
            <w:pPr>
              <w:spacing w:after="0"/>
              <w:rPr>
                <w:sz w:val="16"/>
                <w:szCs w:val="16"/>
                <w:color w:val="auto"/>
              </w:rPr>
            </w:pPr>
          </w:p>
        </w:tc>
        <w:tc>
          <w:tcPr>
            <w:tcW w:w="1120" w:type="dxa"/>
            <w:vAlign w:val="bottom"/>
            <w:vMerge w:val="restart"/>
          </w:tcPr>
          <w:p>
            <w:pPr>
              <w:jc w:val="right"/>
              <w:ind w:right="44"/>
              <w:spacing w:after="0"/>
              <w:rPr>
                <w:sz w:val="20"/>
                <w:szCs w:val="20"/>
                <w:color w:val="auto"/>
              </w:rPr>
            </w:pPr>
            <w:r>
              <w:rPr>
                <w:rFonts w:ascii="Arial" w:cs="Arial" w:eastAsia="Arial" w:hAnsi="Arial"/>
                <w:sz w:val="15"/>
                <w:szCs w:val="15"/>
                <w:color w:val="auto"/>
              </w:rPr>
              <w:t>105,832</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(284,183)</w:t>
            </w:r>
          </w:p>
        </w:tc>
        <w:tc>
          <w:tcPr>
            <w:tcW w:w="320" w:type="dxa"/>
            <w:vAlign w:val="bottom"/>
          </w:tcPr>
          <w:p>
            <w:pPr>
              <w:spacing w:after="0"/>
              <w:rPr>
                <w:sz w:val="16"/>
                <w:szCs w:val="16"/>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283,165</w:t>
            </w: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80,145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980" w:type="dxa"/>
            <w:vAlign w:val="bottom"/>
            <w:vMerge w:val="restart"/>
          </w:tcPr>
          <w:p>
            <w:pPr>
              <w:ind w:left="80"/>
              <w:spacing w:after="0"/>
              <w:rPr>
                <w:sz w:val="20"/>
                <w:szCs w:val="20"/>
                <w:color w:val="auto"/>
              </w:rPr>
            </w:pPr>
            <w:r>
              <w:rPr>
                <w:rFonts w:ascii="Arial" w:cs="Arial" w:eastAsia="Arial" w:hAnsi="Arial"/>
                <w:sz w:val="15"/>
                <w:szCs w:val="15"/>
                <w:color w:val="auto"/>
              </w:rPr>
              <w:t>method investments</w:t>
            </w:r>
          </w:p>
        </w:tc>
        <w:tc>
          <w:tcPr>
            <w:tcW w:w="4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980" w:type="dxa"/>
            <w:vAlign w:val="bottom"/>
          </w:tcPr>
          <w:p>
            <w:pPr>
              <w:ind w:left="400"/>
              <w:spacing w:after="0"/>
              <w:rPr>
                <w:sz w:val="20"/>
                <w:szCs w:val="20"/>
                <w:color w:val="auto"/>
              </w:rPr>
            </w:pPr>
            <w:r>
              <w:rPr>
                <w:rFonts w:ascii="Arial" w:cs="Arial" w:eastAsia="Arial" w:hAnsi="Arial"/>
                <w:sz w:val="15"/>
                <w:szCs w:val="15"/>
                <w:color w:val="auto"/>
              </w:rPr>
              <w:t>Share of net gains from equity method investments</w:t>
            </w:r>
          </w:p>
        </w:tc>
        <w:tc>
          <w:tcPr>
            <w:tcW w:w="440" w:type="dxa"/>
            <w:vAlign w:val="bottom"/>
          </w:tcPr>
          <w:p>
            <w:pPr>
              <w:spacing w:after="0"/>
              <w:rPr>
                <w:sz w:val="22"/>
                <w:szCs w:val="22"/>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16,298</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16,298</w:t>
            </w:r>
          </w:p>
        </w:tc>
        <w:tc>
          <w:tcPr>
            <w:tcW w:w="3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3"/>
        </w:trPr>
        <w:tc>
          <w:tcPr>
            <w:tcW w:w="3980" w:type="dxa"/>
            <w:vAlign w:val="bottom"/>
          </w:tcPr>
          <w:p>
            <w:pPr>
              <w:ind w:left="80"/>
              <w:spacing w:after="0"/>
              <w:rPr>
                <w:sz w:val="20"/>
                <w:szCs w:val="20"/>
                <w:color w:val="auto"/>
              </w:rPr>
            </w:pPr>
            <w:r>
              <w:rPr>
                <w:rFonts w:ascii="Arial" w:cs="Arial" w:eastAsia="Arial" w:hAnsi="Arial"/>
                <w:sz w:val="15"/>
                <w:szCs w:val="15"/>
                <w:color w:val="auto"/>
              </w:rPr>
              <w:t>Net income / (loss)</w:t>
            </w:r>
          </w:p>
        </w:tc>
        <w:tc>
          <w:tcPr>
            <w:tcW w:w="4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122,130</w:t>
            </w:r>
          </w:p>
        </w:tc>
        <w:tc>
          <w:tcPr>
            <w:tcW w:w="4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(284,183)</w:t>
            </w:r>
          </w:p>
        </w:tc>
        <w:tc>
          <w:tcPr>
            <w:tcW w:w="3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299,463</w:t>
            </w:r>
          </w:p>
        </w:tc>
        <w:tc>
          <w:tcPr>
            <w:tcW w:w="3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80,145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3980" w:type="dxa"/>
            <w:vAlign w:val="bottom"/>
            <w:tcBorders>
              <w:bottom w:val="single" w:sz="8" w:color="auto"/>
            </w:tcBorders>
            <w:shd w:val="clear" w:color="auto" w:fill="F3F8F7"/>
          </w:tcPr>
          <w:p>
            <w:pPr>
              <w:spacing w:after="0"/>
              <w:rPr>
                <w:sz w:val="24"/>
                <w:szCs w:val="24"/>
                <w:color w:val="auto"/>
              </w:rPr>
            </w:pPr>
          </w:p>
        </w:tc>
        <w:tc>
          <w:tcPr>
            <w:tcW w:w="440" w:type="dxa"/>
            <w:vAlign w:val="bottom"/>
            <w:tcBorders>
              <w:bottom w:val="single" w:sz="8" w:color="auto"/>
            </w:tcBorders>
            <w:shd w:val="clear" w:color="auto" w:fill="F3F8F7"/>
          </w:tcPr>
          <w:p>
            <w:pPr>
              <w:spacing w:after="0"/>
              <w:rPr>
                <w:sz w:val="24"/>
                <w:szCs w:val="24"/>
                <w:color w:val="auto"/>
              </w:rPr>
            </w:pPr>
          </w:p>
        </w:tc>
        <w:tc>
          <w:tcPr>
            <w:tcW w:w="1120" w:type="dxa"/>
            <w:vAlign w:val="bottom"/>
            <w:tcBorders>
              <w:bottom w:val="single" w:sz="8" w:color="auto"/>
            </w:tcBorders>
            <w:shd w:val="clear" w:color="auto" w:fill="F3F8F7"/>
          </w:tcPr>
          <w:p>
            <w:pPr>
              <w:spacing w:after="0"/>
              <w:rPr>
                <w:sz w:val="24"/>
                <w:szCs w:val="24"/>
                <w:color w:val="auto"/>
              </w:rPr>
            </w:pPr>
          </w:p>
        </w:tc>
        <w:tc>
          <w:tcPr>
            <w:tcW w:w="400" w:type="dxa"/>
            <w:vAlign w:val="bottom"/>
            <w:tcBorders>
              <w:bottom w:val="single" w:sz="8" w:color="auto"/>
            </w:tcBorders>
            <w:shd w:val="clear" w:color="auto" w:fill="F3F8F7"/>
          </w:tcPr>
          <w:p>
            <w:pPr>
              <w:spacing w:after="0"/>
              <w:rPr>
                <w:sz w:val="24"/>
                <w:szCs w:val="24"/>
                <w:color w:val="auto"/>
              </w:rPr>
            </w:pPr>
          </w:p>
        </w:tc>
        <w:tc>
          <w:tcPr>
            <w:tcW w:w="320" w:type="dxa"/>
            <w:vAlign w:val="bottom"/>
            <w:tcBorders>
              <w:bottom w:val="single" w:sz="8" w:color="auto"/>
            </w:tcBorders>
            <w:shd w:val="clear" w:color="auto" w:fill="F3F8F7"/>
          </w:tcPr>
          <w:p>
            <w:pPr>
              <w:spacing w:after="0"/>
              <w:rPr>
                <w:sz w:val="24"/>
                <w:szCs w:val="24"/>
                <w:color w:val="auto"/>
              </w:rPr>
            </w:pPr>
          </w:p>
        </w:tc>
        <w:tc>
          <w:tcPr>
            <w:tcW w:w="800" w:type="dxa"/>
            <w:vAlign w:val="bottom"/>
            <w:tcBorders>
              <w:bottom w:val="single" w:sz="8" w:color="auto"/>
            </w:tcBorders>
            <w:shd w:val="clear" w:color="auto" w:fill="F3F8F7"/>
          </w:tcPr>
          <w:p>
            <w:pPr>
              <w:spacing w:after="0"/>
              <w:rPr>
                <w:sz w:val="24"/>
                <w:szCs w:val="24"/>
                <w:color w:val="auto"/>
              </w:rPr>
            </w:pPr>
          </w:p>
        </w:tc>
        <w:tc>
          <w:tcPr>
            <w:tcW w:w="320" w:type="dxa"/>
            <w:vAlign w:val="bottom"/>
            <w:tcBorders>
              <w:bottom w:val="single" w:sz="8" w:color="auto"/>
            </w:tcBorders>
            <w:shd w:val="clear" w:color="auto" w:fill="F3F8F7"/>
          </w:tcPr>
          <w:p>
            <w:pPr>
              <w:spacing w:after="0"/>
              <w:rPr>
                <w:sz w:val="24"/>
                <w:szCs w:val="24"/>
                <w:color w:val="auto"/>
              </w:rPr>
            </w:pPr>
          </w:p>
        </w:tc>
        <w:tc>
          <w:tcPr>
            <w:tcW w:w="1060" w:type="dxa"/>
            <w:vAlign w:val="bottom"/>
            <w:tcBorders>
              <w:bottom w:val="single" w:sz="8" w:color="auto"/>
            </w:tcBorders>
            <w:shd w:val="clear" w:color="auto" w:fill="F3F8F7"/>
          </w:tcPr>
          <w:p>
            <w:pPr>
              <w:spacing w:after="0"/>
              <w:rPr>
                <w:sz w:val="24"/>
                <w:szCs w:val="24"/>
                <w:color w:val="auto"/>
              </w:rPr>
            </w:pPr>
          </w:p>
        </w:tc>
        <w:tc>
          <w:tcPr>
            <w:tcW w:w="320" w:type="dxa"/>
            <w:vAlign w:val="bottom"/>
            <w:tcBorders>
              <w:bottom w:val="single" w:sz="8" w:color="auto"/>
            </w:tcBorders>
            <w:shd w:val="clear" w:color="auto" w:fill="F3F8F7"/>
          </w:tcPr>
          <w:p>
            <w:pPr>
              <w:spacing w:after="0"/>
              <w:rPr>
                <w:sz w:val="24"/>
                <w:szCs w:val="24"/>
                <w:color w:val="auto"/>
              </w:rPr>
            </w:pPr>
          </w:p>
        </w:tc>
        <w:tc>
          <w:tcPr>
            <w:tcW w:w="1000" w:type="dxa"/>
            <w:vAlign w:val="bottom"/>
            <w:tcBorders>
              <w:bottom w:val="single" w:sz="8" w:color="auto"/>
            </w:tcBorders>
            <w:shd w:val="clear" w:color="auto" w:fill="F3F8F7"/>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tcPr>
          <w:p>
            <w:pPr>
              <w:ind w:left="80"/>
              <w:spacing w:after="0"/>
              <w:rPr>
                <w:sz w:val="20"/>
                <w:szCs w:val="20"/>
                <w:color w:val="auto"/>
              </w:rPr>
            </w:pPr>
            <w:r>
              <w:rPr>
                <w:rFonts w:ascii="Arial" w:cs="Arial" w:eastAsia="Arial" w:hAnsi="Arial"/>
                <w:sz w:val="15"/>
                <w:szCs w:val="15"/>
                <w:color w:val="auto"/>
              </w:rPr>
              <w:t>Net income / (loss) per Ordinary Share:</w:t>
            </w: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3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80" w:type="dxa"/>
            <w:vAlign w:val="bottom"/>
            <w:shd w:val="clear" w:color="auto" w:fill="F3F8F7"/>
          </w:tcPr>
          <w:p>
            <w:pPr>
              <w:ind w:left="400"/>
              <w:spacing w:after="0"/>
              <w:rPr>
                <w:sz w:val="20"/>
                <w:szCs w:val="20"/>
                <w:color w:val="auto"/>
              </w:rPr>
            </w:pPr>
            <w:r>
              <w:rPr>
                <w:rFonts w:ascii="Arial" w:cs="Arial" w:eastAsia="Arial" w:hAnsi="Arial"/>
                <w:sz w:val="15"/>
                <w:szCs w:val="15"/>
                <w:color w:val="auto"/>
              </w:rPr>
              <w:t>Basic</w:t>
            </w:r>
          </w:p>
        </w:tc>
        <w:tc>
          <w:tcPr>
            <w:tcW w:w="440" w:type="dxa"/>
            <w:vAlign w:val="bottom"/>
            <w:shd w:val="clear" w:color="auto" w:fill="F3F8F7"/>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shd w:val="clear" w:color="auto" w:fill="F3F8F7"/>
          </w:tcPr>
          <w:p>
            <w:pPr>
              <w:jc w:val="right"/>
              <w:ind w:right="44"/>
              <w:spacing w:after="0"/>
              <w:rPr>
                <w:sz w:val="20"/>
                <w:szCs w:val="20"/>
                <w:color w:val="auto"/>
              </w:rPr>
            </w:pPr>
            <w:r>
              <w:rPr>
                <w:rFonts w:ascii="Arial" w:cs="Arial" w:eastAsia="Arial" w:hAnsi="Arial"/>
                <w:sz w:val="15"/>
                <w:szCs w:val="15"/>
                <w:color w:val="auto"/>
              </w:rPr>
              <w:t>1.59</w:t>
            </w:r>
          </w:p>
        </w:tc>
        <w:tc>
          <w:tcPr>
            <w:tcW w:w="400" w:type="dxa"/>
            <w:vAlign w:val="bottom"/>
            <w:shd w:val="clear" w:color="auto" w:fill="F3F8F7"/>
          </w:tcPr>
          <w:p>
            <w:pPr>
              <w:jc w:val="right"/>
              <w:ind w:right="184"/>
              <w:spacing w:after="0"/>
              <w:rPr>
                <w:sz w:val="20"/>
                <w:szCs w:val="20"/>
                <w:color w:val="auto"/>
              </w:rPr>
            </w:pPr>
            <w:r>
              <w:rPr>
                <w:rFonts w:ascii="Arial" w:cs="Arial" w:eastAsia="Arial" w:hAnsi="Arial"/>
                <w:sz w:val="15"/>
                <w:szCs w:val="15"/>
                <w:color w:val="auto"/>
              </w:rPr>
              <w:t>$</w:t>
            </w:r>
          </w:p>
        </w:tc>
        <w:tc>
          <w:tcPr>
            <w:tcW w:w="320" w:type="dxa"/>
            <w:vAlign w:val="bottom"/>
            <w:shd w:val="clear" w:color="auto" w:fill="F3F8F7"/>
          </w:tcPr>
          <w:p>
            <w:pPr>
              <w:spacing w:after="0"/>
              <w:rPr>
                <w:sz w:val="17"/>
                <w:szCs w:val="17"/>
                <w:color w:val="auto"/>
              </w:rPr>
            </w:pPr>
          </w:p>
        </w:tc>
        <w:tc>
          <w:tcPr>
            <w:tcW w:w="8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(3.67)</w:t>
            </w:r>
          </w:p>
        </w:tc>
        <w:tc>
          <w:tcPr>
            <w:tcW w:w="320" w:type="dxa"/>
            <w:vAlign w:val="bottom"/>
            <w:shd w:val="clear" w:color="auto" w:fill="F3F8F7"/>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shd w:val="clear" w:color="auto" w:fill="F3F8F7"/>
          </w:tcPr>
          <w:p>
            <w:pPr>
              <w:jc w:val="right"/>
              <w:ind w:right="44"/>
              <w:spacing w:after="0"/>
              <w:rPr>
                <w:sz w:val="20"/>
                <w:szCs w:val="20"/>
                <w:color w:val="auto"/>
              </w:rPr>
            </w:pPr>
            <w:r>
              <w:rPr>
                <w:rFonts w:ascii="Arial" w:cs="Arial" w:eastAsia="Arial" w:hAnsi="Arial"/>
                <w:sz w:val="15"/>
                <w:szCs w:val="15"/>
                <w:color w:val="auto"/>
              </w:rPr>
              <w:t>3.90</w:t>
            </w:r>
          </w:p>
        </w:tc>
        <w:tc>
          <w:tcPr>
            <w:tcW w:w="320" w:type="dxa"/>
            <w:vAlign w:val="bottom"/>
            <w:shd w:val="clear" w:color="auto" w:fill="F3F8F7"/>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1.01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980" w:type="dxa"/>
            <w:vAlign w:val="bottom"/>
            <w:tcBorders>
              <w:bottom w:val="single" w:sz="8" w:color="128474"/>
            </w:tcBorders>
            <w:shd w:val="clear" w:color="auto" w:fill="F3F8F7"/>
          </w:tcPr>
          <w:p>
            <w:pPr>
              <w:spacing w:after="0"/>
              <w:rPr>
                <w:sz w:val="9"/>
                <w:szCs w:val="9"/>
                <w:color w:val="auto"/>
              </w:rPr>
            </w:pPr>
          </w:p>
        </w:tc>
        <w:tc>
          <w:tcPr>
            <w:tcW w:w="440" w:type="dxa"/>
            <w:vAlign w:val="bottom"/>
            <w:tcBorders>
              <w:bottom w:val="single" w:sz="8" w:color="128474"/>
            </w:tcBorders>
            <w:shd w:val="clear" w:color="auto" w:fill="F3F8F7"/>
          </w:tcPr>
          <w:p>
            <w:pPr>
              <w:spacing w:after="0"/>
              <w:rPr>
                <w:sz w:val="9"/>
                <w:szCs w:val="9"/>
                <w:color w:val="auto"/>
              </w:rPr>
            </w:pPr>
          </w:p>
        </w:tc>
        <w:tc>
          <w:tcPr>
            <w:tcW w:w="1120" w:type="dxa"/>
            <w:vAlign w:val="bottom"/>
            <w:tcBorders>
              <w:bottom w:val="single" w:sz="8" w:color="128474"/>
            </w:tcBorders>
            <w:shd w:val="clear" w:color="auto" w:fill="F3F8F7"/>
          </w:tcPr>
          <w:p>
            <w:pPr>
              <w:spacing w:after="0"/>
              <w:rPr>
                <w:sz w:val="9"/>
                <w:szCs w:val="9"/>
                <w:color w:val="auto"/>
              </w:rPr>
            </w:pPr>
          </w:p>
        </w:tc>
        <w:tc>
          <w:tcPr>
            <w:tcW w:w="400" w:type="dxa"/>
            <w:vAlign w:val="bottom"/>
            <w:tcBorders>
              <w:bottom w:val="single" w:sz="8" w:color="128474"/>
            </w:tcBorders>
            <w:shd w:val="clear" w:color="auto" w:fill="F3F8F7"/>
          </w:tcPr>
          <w:p>
            <w:pPr>
              <w:spacing w:after="0"/>
              <w:rPr>
                <w:sz w:val="9"/>
                <w:szCs w:val="9"/>
                <w:color w:val="auto"/>
              </w:rPr>
            </w:pPr>
          </w:p>
        </w:tc>
        <w:tc>
          <w:tcPr>
            <w:tcW w:w="320" w:type="dxa"/>
            <w:vAlign w:val="bottom"/>
            <w:tcBorders>
              <w:bottom w:val="single" w:sz="8" w:color="128474"/>
            </w:tcBorders>
            <w:shd w:val="clear" w:color="auto" w:fill="F3F8F7"/>
          </w:tcPr>
          <w:p>
            <w:pPr>
              <w:spacing w:after="0"/>
              <w:rPr>
                <w:sz w:val="9"/>
                <w:szCs w:val="9"/>
                <w:color w:val="auto"/>
              </w:rPr>
            </w:pPr>
          </w:p>
        </w:tc>
        <w:tc>
          <w:tcPr>
            <w:tcW w:w="800" w:type="dxa"/>
            <w:vAlign w:val="bottom"/>
            <w:tcBorders>
              <w:bottom w:val="single" w:sz="8" w:color="128474"/>
            </w:tcBorders>
            <w:shd w:val="clear" w:color="auto" w:fill="F3F8F7"/>
          </w:tcPr>
          <w:p>
            <w:pPr>
              <w:spacing w:after="0"/>
              <w:rPr>
                <w:sz w:val="9"/>
                <w:szCs w:val="9"/>
                <w:color w:val="auto"/>
              </w:rPr>
            </w:pPr>
          </w:p>
        </w:tc>
        <w:tc>
          <w:tcPr>
            <w:tcW w:w="320" w:type="dxa"/>
            <w:vAlign w:val="bottom"/>
            <w:tcBorders>
              <w:bottom w:val="single" w:sz="8" w:color="128474"/>
            </w:tcBorders>
            <w:shd w:val="clear" w:color="auto" w:fill="F3F8F7"/>
          </w:tcPr>
          <w:p>
            <w:pPr>
              <w:spacing w:after="0"/>
              <w:rPr>
                <w:sz w:val="9"/>
                <w:szCs w:val="9"/>
                <w:color w:val="auto"/>
              </w:rPr>
            </w:pPr>
          </w:p>
        </w:tc>
        <w:tc>
          <w:tcPr>
            <w:tcW w:w="1060" w:type="dxa"/>
            <w:vAlign w:val="bottom"/>
            <w:tcBorders>
              <w:bottom w:val="single" w:sz="8" w:color="128474"/>
            </w:tcBorders>
            <w:shd w:val="clear" w:color="auto" w:fill="F3F8F7"/>
          </w:tcPr>
          <w:p>
            <w:pPr>
              <w:spacing w:after="0"/>
              <w:rPr>
                <w:sz w:val="9"/>
                <w:szCs w:val="9"/>
                <w:color w:val="auto"/>
              </w:rPr>
            </w:pPr>
          </w:p>
        </w:tc>
        <w:tc>
          <w:tcPr>
            <w:tcW w:w="320" w:type="dxa"/>
            <w:vAlign w:val="bottom"/>
            <w:tcBorders>
              <w:bottom w:val="single" w:sz="8" w:color="128474"/>
            </w:tcBorders>
            <w:shd w:val="clear" w:color="auto" w:fill="F3F8F7"/>
          </w:tcPr>
          <w:p>
            <w:pPr>
              <w:spacing w:after="0"/>
              <w:rPr>
                <w:sz w:val="9"/>
                <w:szCs w:val="9"/>
                <w:color w:val="auto"/>
              </w:rPr>
            </w:pPr>
          </w:p>
        </w:tc>
        <w:tc>
          <w:tcPr>
            <w:tcW w:w="1000" w:type="dxa"/>
            <w:vAlign w:val="bottom"/>
            <w:tcBorders>
              <w:bottom w:val="single" w:sz="8" w:color="128474"/>
            </w:tcBorders>
            <w:shd w:val="clear" w:color="auto" w:fill="F3F8F7"/>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5"/>
                <w:szCs w:val="15"/>
                <w:color w:val="auto"/>
              </w:rPr>
              <w:t>Diluted</w:t>
            </w:r>
          </w:p>
        </w:tc>
        <w:tc>
          <w:tcPr>
            <w:tcW w:w="4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1.58</w:t>
            </w:r>
          </w:p>
        </w:tc>
        <w:tc>
          <w:tcPr>
            <w:tcW w:w="4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(3.67)</w:t>
            </w:r>
          </w:p>
        </w:tc>
        <w:tc>
          <w:tcPr>
            <w:tcW w:w="3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3.87</w:t>
            </w:r>
          </w:p>
        </w:tc>
        <w:tc>
          <w:tcPr>
            <w:tcW w:w="3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3980" w:type="dxa"/>
            <w:vAlign w:val="bottom"/>
          </w:tcPr>
          <w:p>
            <w:pPr>
              <w:ind w:left="80"/>
              <w:spacing w:after="0"/>
              <w:rPr>
                <w:sz w:val="20"/>
                <w:szCs w:val="20"/>
                <w:color w:val="auto"/>
              </w:rPr>
            </w:pPr>
            <w:r>
              <w:rPr>
                <w:rFonts w:ascii="Arial" w:cs="Arial" w:eastAsia="Arial" w:hAnsi="Arial"/>
                <w:sz w:val="15"/>
                <w:szCs w:val="15"/>
                <w:b w:val="1"/>
                <w:bCs w:val="1"/>
                <w:color w:val="128474"/>
              </w:rPr>
              <w:t>Weighted average number of ordinary shares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80"/>
              <w:spacing w:after="0"/>
              <w:rPr>
                <w:sz w:val="20"/>
                <w:szCs w:val="20"/>
                <w:color w:val="auto"/>
              </w:rPr>
            </w:pPr>
            <w:r>
              <w:rPr>
                <w:rFonts w:ascii="Arial" w:cs="Arial" w:eastAsia="Arial" w:hAnsi="Arial"/>
                <w:sz w:val="15"/>
                <w:szCs w:val="15"/>
                <w:b w:val="1"/>
                <w:bCs w:val="1"/>
                <w:color w:val="128474"/>
              </w:rPr>
              <w:t>outstanding:</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3980" w:type="dxa"/>
            <w:vAlign w:val="bottom"/>
          </w:tcPr>
          <w:p>
            <w:pPr>
              <w:ind w:left="400"/>
              <w:spacing w:after="0"/>
              <w:rPr>
                <w:sz w:val="20"/>
                <w:szCs w:val="20"/>
                <w:color w:val="auto"/>
              </w:rPr>
            </w:pPr>
            <w:r>
              <w:rPr>
                <w:rFonts w:ascii="Arial" w:cs="Arial" w:eastAsia="Arial" w:hAnsi="Arial"/>
                <w:sz w:val="15"/>
                <w:szCs w:val="15"/>
                <w:color w:val="auto"/>
              </w:rPr>
              <w:t>Basic</w:t>
            </w:r>
          </w:p>
        </w:tc>
        <w:tc>
          <w:tcPr>
            <w:tcW w:w="44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76,932,640</w:t>
            </w:r>
          </w:p>
        </w:tc>
        <w:tc>
          <w:tcPr>
            <w:tcW w:w="400" w:type="dxa"/>
            <w:vAlign w:val="bottom"/>
          </w:tcPr>
          <w:p>
            <w:pPr>
              <w:spacing w:after="0"/>
              <w:rPr>
                <w:sz w:val="24"/>
                <w:szCs w:val="24"/>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77,373,534</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76,785,939</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79,057,239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980" w:type="dxa"/>
            <w:vAlign w:val="bottom"/>
            <w:tcBorders>
              <w:bottom w:val="single" w:sz="8" w:color="auto"/>
            </w:tcBorders>
            <w:shd w:val="clear" w:color="auto" w:fill="F3F8F7"/>
          </w:tcPr>
          <w:p>
            <w:pPr>
              <w:ind w:left="400"/>
              <w:spacing w:after="0"/>
              <w:rPr>
                <w:sz w:val="20"/>
                <w:szCs w:val="20"/>
                <w:color w:val="auto"/>
              </w:rPr>
            </w:pPr>
            <w:r>
              <w:rPr>
                <w:rFonts w:ascii="Arial" w:cs="Arial" w:eastAsia="Arial" w:hAnsi="Arial"/>
                <w:sz w:val="15"/>
                <w:szCs w:val="15"/>
                <w:color w:val="auto"/>
              </w:rPr>
              <w:t>Diluted</w:t>
            </w:r>
          </w:p>
        </w:tc>
        <w:tc>
          <w:tcPr>
            <w:tcW w:w="440" w:type="dxa"/>
            <w:vAlign w:val="bottom"/>
            <w:tcBorders>
              <w:bottom w:val="single" w:sz="8" w:color="auto"/>
            </w:tcBorders>
            <w:shd w:val="clear" w:color="auto" w:fill="F3F8F7"/>
          </w:tcPr>
          <w:p>
            <w:pPr>
              <w:spacing w:after="0"/>
              <w:rPr>
                <w:sz w:val="24"/>
                <w:szCs w:val="24"/>
                <w:color w:val="auto"/>
              </w:rPr>
            </w:pPr>
          </w:p>
        </w:tc>
        <w:tc>
          <w:tcPr>
            <w:tcW w:w="1120" w:type="dxa"/>
            <w:vAlign w:val="bottom"/>
            <w:tcBorders>
              <w:bottom w:val="single" w:sz="8" w:color="auto"/>
            </w:tcBorders>
            <w:shd w:val="clear" w:color="auto" w:fill="F3F8F7"/>
          </w:tcPr>
          <w:p>
            <w:pPr>
              <w:jc w:val="right"/>
              <w:ind w:right="44"/>
              <w:spacing w:after="0"/>
              <w:rPr>
                <w:sz w:val="20"/>
                <w:szCs w:val="20"/>
                <w:color w:val="auto"/>
              </w:rPr>
            </w:pPr>
            <w:r>
              <w:rPr>
                <w:rFonts w:ascii="Arial" w:cs="Arial" w:eastAsia="Arial" w:hAnsi="Arial"/>
                <w:sz w:val="15"/>
                <w:szCs w:val="15"/>
                <w:color w:val="auto"/>
              </w:rPr>
              <w:t>77,404,061</w:t>
            </w:r>
          </w:p>
        </w:tc>
        <w:tc>
          <w:tcPr>
            <w:tcW w:w="400" w:type="dxa"/>
            <w:vAlign w:val="bottom"/>
            <w:tcBorders>
              <w:bottom w:val="single" w:sz="8" w:color="auto"/>
            </w:tcBorders>
            <w:shd w:val="clear" w:color="auto" w:fill="F3F8F7"/>
          </w:tcPr>
          <w:p>
            <w:pPr>
              <w:spacing w:after="0"/>
              <w:rPr>
                <w:sz w:val="24"/>
                <w:szCs w:val="24"/>
                <w:color w:val="auto"/>
              </w:rPr>
            </w:pPr>
          </w:p>
        </w:tc>
        <w:tc>
          <w:tcPr>
            <w:tcW w:w="1120" w:type="dxa"/>
            <w:vAlign w:val="bottom"/>
            <w:tcBorders>
              <w:bottom w:val="single" w:sz="8" w:color="auto"/>
            </w:tcBorders>
            <w:gridSpan w:val="2"/>
            <w:shd w:val="clear" w:color="auto" w:fill="F3F8F7"/>
          </w:tcPr>
          <w:p>
            <w:pPr>
              <w:jc w:val="right"/>
              <w:ind w:right="24"/>
              <w:spacing w:after="0"/>
              <w:rPr>
                <w:sz w:val="20"/>
                <w:szCs w:val="20"/>
                <w:color w:val="auto"/>
              </w:rPr>
            </w:pPr>
            <w:r>
              <w:rPr>
                <w:rFonts w:ascii="Arial" w:cs="Arial" w:eastAsia="Arial" w:hAnsi="Arial"/>
                <w:sz w:val="15"/>
                <w:szCs w:val="15"/>
                <w:color w:val="auto"/>
              </w:rPr>
              <w:t>77,373,534</w:t>
            </w:r>
          </w:p>
        </w:tc>
        <w:tc>
          <w:tcPr>
            <w:tcW w:w="320" w:type="dxa"/>
            <w:vAlign w:val="bottom"/>
            <w:tcBorders>
              <w:bottom w:val="single" w:sz="8" w:color="auto"/>
            </w:tcBorders>
            <w:shd w:val="clear" w:color="auto" w:fill="F3F8F7"/>
          </w:tcPr>
          <w:p>
            <w:pPr>
              <w:spacing w:after="0"/>
              <w:rPr>
                <w:sz w:val="24"/>
                <w:szCs w:val="24"/>
                <w:color w:val="auto"/>
              </w:rPr>
            </w:pPr>
          </w:p>
        </w:tc>
        <w:tc>
          <w:tcPr>
            <w:tcW w:w="1060" w:type="dxa"/>
            <w:vAlign w:val="bottom"/>
            <w:tcBorders>
              <w:bottom w:val="single" w:sz="8" w:color="auto"/>
            </w:tcBorders>
            <w:shd w:val="clear" w:color="auto" w:fill="F3F8F7"/>
          </w:tcPr>
          <w:p>
            <w:pPr>
              <w:jc w:val="right"/>
              <w:ind w:right="44"/>
              <w:spacing w:after="0"/>
              <w:rPr>
                <w:sz w:val="20"/>
                <w:szCs w:val="20"/>
                <w:color w:val="auto"/>
              </w:rPr>
            </w:pPr>
            <w:r>
              <w:rPr>
                <w:rFonts w:ascii="Arial" w:cs="Arial" w:eastAsia="Arial" w:hAnsi="Arial"/>
                <w:sz w:val="15"/>
                <w:szCs w:val="15"/>
                <w:color w:val="auto"/>
              </w:rPr>
              <w:t>77,345,757</w:t>
            </w:r>
          </w:p>
        </w:tc>
        <w:tc>
          <w:tcPr>
            <w:tcW w:w="320" w:type="dxa"/>
            <w:vAlign w:val="bottom"/>
            <w:tcBorders>
              <w:bottom w:val="single" w:sz="8" w:color="auto"/>
            </w:tcBorders>
            <w:shd w:val="clear" w:color="auto" w:fill="F3F8F7"/>
          </w:tcPr>
          <w:p>
            <w:pPr>
              <w:spacing w:after="0"/>
              <w:rPr>
                <w:sz w:val="24"/>
                <w:szCs w:val="24"/>
                <w:color w:val="auto"/>
              </w:rPr>
            </w:pPr>
          </w:p>
        </w:tc>
        <w:tc>
          <w:tcPr>
            <w:tcW w:w="1000" w:type="dxa"/>
            <w:vAlign w:val="bottom"/>
            <w:tcBorders>
              <w:bottom w:val="single" w:sz="8" w:color="auto"/>
            </w:tcBorders>
            <w:shd w:val="clear" w:color="auto" w:fill="F3F8F7"/>
          </w:tcPr>
          <w:p>
            <w:pPr>
              <w:jc w:val="right"/>
              <w:spacing w:after="0"/>
              <w:rPr>
                <w:sz w:val="20"/>
                <w:szCs w:val="20"/>
                <w:color w:val="auto"/>
              </w:rPr>
            </w:pPr>
            <w:r>
              <w:rPr>
                <w:rFonts w:ascii="Arial" w:cs="Arial" w:eastAsia="Arial" w:hAnsi="Arial"/>
                <w:sz w:val="15"/>
                <w:szCs w:val="15"/>
                <w:color w:val="auto"/>
              </w:rPr>
              <w:t>79,518,086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F3F8F7"/>
              <w:bottom w:val="single" w:sz="8" w:color="auto"/>
            </w:tcBorders>
          </w:tcPr>
          <w:p>
            <w:pPr>
              <w:spacing w:after="0" w:line="20" w:lineRule="exact"/>
              <w:rPr>
                <w:sz w:val="1"/>
                <w:szCs w:val="1"/>
                <w:color w:val="auto"/>
              </w:rPr>
            </w:pPr>
          </w:p>
        </w:tc>
        <w:tc>
          <w:tcPr>
            <w:tcW w:w="440" w:type="dxa"/>
            <w:vAlign w:val="bottom"/>
            <w:tcBorders>
              <w:top w:val="single" w:sz="8" w:color="F3F8F7"/>
              <w:bottom w:val="single" w:sz="8" w:color="auto"/>
            </w:tcBorders>
          </w:tcPr>
          <w:p>
            <w:pPr>
              <w:spacing w:after="0" w:line="20" w:lineRule="exact"/>
              <w:rPr>
                <w:sz w:val="1"/>
                <w:szCs w:val="1"/>
                <w:color w:val="auto"/>
              </w:rPr>
            </w:pPr>
          </w:p>
        </w:tc>
        <w:tc>
          <w:tcPr>
            <w:tcW w:w="1120" w:type="dxa"/>
            <w:vAlign w:val="bottom"/>
            <w:tcBorders>
              <w:top w:val="single" w:sz="8" w:color="F3F8F7"/>
              <w:bottom w:val="single" w:sz="8" w:color="auto"/>
            </w:tcBorders>
          </w:tcPr>
          <w:p>
            <w:pPr>
              <w:spacing w:after="0" w:line="20" w:lineRule="exact"/>
              <w:rPr>
                <w:sz w:val="1"/>
                <w:szCs w:val="1"/>
                <w:color w:val="auto"/>
              </w:rPr>
            </w:pPr>
          </w:p>
        </w:tc>
        <w:tc>
          <w:tcPr>
            <w:tcW w:w="400" w:type="dxa"/>
            <w:vAlign w:val="bottom"/>
            <w:tcBorders>
              <w:top w:val="single" w:sz="8" w:color="F3F8F7"/>
              <w:bottom w:val="single" w:sz="8" w:color="auto"/>
            </w:tcBorders>
          </w:tcPr>
          <w:p>
            <w:pPr>
              <w:spacing w:after="0" w:line="20" w:lineRule="exact"/>
              <w:rPr>
                <w:sz w:val="1"/>
                <w:szCs w:val="1"/>
                <w:color w:val="auto"/>
              </w:rPr>
            </w:pPr>
          </w:p>
        </w:tc>
        <w:tc>
          <w:tcPr>
            <w:tcW w:w="320" w:type="dxa"/>
            <w:vAlign w:val="bottom"/>
            <w:tcBorders>
              <w:top w:val="single" w:sz="8" w:color="F3F8F7"/>
              <w:bottom w:val="single" w:sz="8" w:color="auto"/>
            </w:tcBorders>
          </w:tcPr>
          <w:p>
            <w:pPr>
              <w:spacing w:after="0" w:line="20" w:lineRule="exact"/>
              <w:rPr>
                <w:sz w:val="1"/>
                <w:szCs w:val="1"/>
                <w:color w:val="auto"/>
              </w:rPr>
            </w:pPr>
          </w:p>
        </w:tc>
        <w:tc>
          <w:tcPr>
            <w:tcW w:w="800" w:type="dxa"/>
            <w:vAlign w:val="bottom"/>
            <w:tcBorders>
              <w:top w:val="single" w:sz="8" w:color="F3F8F7"/>
              <w:bottom w:val="single" w:sz="8" w:color="auto"/>
            </w:tcBorders>
          </w:tcPr>
          <w:p>
            <w:pPr>
              <w:spacing w:after="0" w:line="20" w:lineRule="exact"/>
              <w:rPr>
                <w:sz w:val="1"/>
                <w:szCs w:val="1"/>
                <w:color w:val="auto"/>
              </w:rPr>
            </w:pPr>
          </w:p>
        </w:tc>
        <w:tc>
          <w:tcPr>
            <w:tcW w:w="320" w:type="dxa"/>
            <w:vAlign w:val="bottom"/>
            <w:tcBorders>
              <w:top w:val="single" w:sz="8" w:color="F3F8F7"/>
              <w:bottom w:val="single" w:sz="8" w:color="auto"/>
            </w:tcBorders>
          </w:tcPr>
          <w:p>
            <w:pPr>
              <w:spacing w:after="0" w:line="20" w:lineRule="exact"/>
              <w:rPr>
                <w:sz w:val="1"/>
                <w:szCs w:val="1"/>
                <w:color w:val="auto"/>
              </w:rPr>
            </w:pPr>
          </w:p>
        </w:tc>
        <w:tc>
          <w:tcPr>
            <w:tcW w:w="1060" w:type="dxa"/>
            <w:vAlign w:val="bottom"/>
            <w:tcBorders>
              <w:top w:val="single" w:sz="8" w:color="F3F8F7"/>
              <w:bottom w:val="single" w:sz="8" w:color="auto"/>
            </w:tcBorders>
          </w:tcPr>
          <w:p>
            <w:pPr>
              <w:spacing w:after="0" w:line="20" w:lineRule="exact"/>
              <w:rPr>
                <w:sz w:val="1"/>
                <w:szCs w:val="1"/>
                <w:color w:val="auto"/>
              </w:rPr>
            </w:pPr>
          </w:p>
        </w:tc>
        <w:tc>
          <w:tcPr>
            <w:tcW w:w="320" w:type="dxa"/>
            <w:vAlign w:val="bottom"/>
            <w:tcBorders>
              <w:top w:val="single" w:sz="8" w:color="F3F8F7"/>
              <w:bottom w:val="single" w:sz="8" w:color="auto"/>
            </w:tcBorders>
          </w:tcPr>
          <w:p>
            <w:pPr>
              <w:spacing w:after="0" w:line="20" w:lineRule="exact"/>
              <w:rPr>
                <w:sz w:val="1"/>
                <w:szCs w:val="1"/>
                <w:color w:val="auto"/>
              </w:rPr>
            </w:pPr>
          </w:p>
        </w:tc>
        <w:tc>
          <w:tcPr>
            <w:tcW w:w="1000" w:type="dxa"/>
            <w:vAlign w:val="bottom"/>
            <w:tcBorders>
              <w:top w:val="single" w:sz="8" w:color="F3F8F7"/>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128474"/>
        </w:rPr>
        <w:t>ICON plc</w:t>
      </w:r>
    </w:p>
    <w:p>
      <w:pPr>
        <w:spacing w:after="0" w:line="94"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004750"/>
        </w:rPr>
        <w:t>CONDENSED CONSOLIDATED BALANCE SHEETS</w:t>
      </w:r>
    </w:p>
    <w:p>
      <w:pPr>
        <w:spacing w:after="0" w:line="6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6A696D"/>
        </w:rPr>
        <w:t>AS AT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b w:val="1"/>
                <w:bCs w:val="1"/>
                <w:color w:val="FFFFFF"/>
              </w:rPr>
              <w:t>September 30,</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FFFFFF"/>
              </w:rPr>
              <w:t>December 31,</w:t>
            </w:r>
          </w:p>
        </w:tc>
      </w:tr>
      <w:tr>
        <w:trPr>
          <w:trHeight w:val="210"/>
        </w:trPr>
        <w:tc>
          <w:tcPr>
            <w:tcW w:w="5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b w:val="1"/>
                <w:bCs w:val="1"/>
                <w:color w:val="FFFFFF"/>
              </w:rPr>
              <w:t>2026</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FFFFFF"/>
              </w:rPr>
              <w:t>2025</w:t>
            </w:r>
          </w:p>
        </w:tc>
      </w:tr>
      <w:tr>
        <w:trPr>
          <w:trHeight w:val="229"/>
        </w:trPr>
        <w:tc>
          <w:tcPr>
            <w:tcW w:w="5100" w:type="dxa"/>
            <w:vAlign w:val="bottom"/>
          </w:tcPr>
          <w:p>
            <w:pPr>
              <w:spacing w:after="0"/>
              <w:rPr>
                <w:sz w:val="20"/>
                <w:szCs w:val="20"/>
                <w:color w:val="auto"/>
              </w:rPr>
            </w:pPr>
            <w:r>
              <w:rPr>
                <w:rFonts w:ascii="Arial" w:cs="Arial" w:eastAsia="Arial" w:hAnsi="Arial"/>
                <w:sz w:val="15"/>
                <w:szCs w:val="15"/>
                <w:b w:val="1"/>
                <w:bCs w:val="1"/>
                <w:color w:val="128474"/>
              </w:rPr>
              <w:t>ASSETS</w:t>
            </w:r>
          </w:p>
        </w:tc>
        <w:tc>
          <w:tcPr>
            <w:tcW w:w="1320" w:type="dxa"/>
            <w:vAlign w:val="bottom"/>
          </w:tcPr>
          <w:p>
            <w:pPr>
              <w:spacing w:after="0"/>
              <w:rPr>
                <w:sz w:val="19"/>
                <w:szCs w:val="19"/>
                <w:color w:val="auto"/>
              </w:rPr>
            </w:pPr>
          </w:p>
        </w:tc>
        <w:tc>
          <w:tcPr>
            <w:tcW w:w="2800" w:type="dxa"/>
            <w:vAlign w:val="bottom"/>
            <w:gridSpan w:val="3"/>
          </w:tcPr>
          <w:p>
            <w:pPr>
              <w:jc w:val="right"/>
              <w:ind w:right="864"/>
              <w:spacing w:after="0"/>
              <w:rPr>
                <w:sz w:val="20"/>
                <w:szCs w:val="20"/>
                <w:color w:val="auto"/>
              </w:rPr>
            </w:pPr>
            <w:r>
              <w:rPr>
                <w:rFonts w:ascii="Arial" w:cs="Arial" w:eastAsia="Arial" w:hAnsi="Arial"/>
                <w:sz w:val="15"/>
                <w:szCs w:val="15"/>
                <w:b w:val="1"/>
                <w:bCs w:val="1"/>
                <w:color w:val="auto"/>
                <w:highlight w:val="white"/>
              </w:rPr>
              <w:t>(in thousands)</w:t>
            </w:r>
          </w:p>
        </w:tc>
      </w:tr>
      <w:tr>
        <w:trPr>
          <w:trHeight w:val="216"/>
        </w:trPr>
        <w:tc>
          <w:tcPr>
            <w:tcW w:w="5100" w:type="dxa"/>
            <w:vAlign w:val="bottom"/>
          </w:tcPr>
          <w:p>
            <w:pPr>
              <w:spacing w:after="0"/>
              <w:rPr>
                <w:sz w:val="20"/>
                <w:szCs w:val="20"/>
                <w:color w:val="auto"/>
              </w:rPr>
            </w:pPr>
            <w:r>
              <w:rPr>
                <w:rFonts w:ascii="Arial" w:cs="Arial" w:eastAsia="Arial" w:hAnsi="Arial"/>
                <w:sz w:val="15"/>
                <w:szCs w:val="15"/>
                <w:b w:val="1"/>
                <w:bCs w:val="1"/>
                <w:color w:val="128474"/>
              </w:rPr>
              <w:t>Current assets:</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5"/>
        </w:trPr>
        <w:tc>
          <w:tcPr>
            <w:tcW w:w="5100" w:type="dxa"/>
            <w:vAlign w:val="bottom"/>
          </w:tcPr>
          <w:p>
            <w:pPr>
              <w:ind w:left="320"/>
              <w:spacing w:after="0"/>
              <w:rPr>
                <w:sz w:val="20"/>
                <w:szCs w:val="20"/>
                <w:color w:val="auto"/>
              </w:rPr>
            </w:pPr>
            <w:r>
              <w:rPr>
                <w:rFonts w:ascii="Arial" w:cs="Arial" w:eastAsia="Arial" w:hAnsi="Arial"/>
                <w:sz w:val="15"/>
                <w:szCs w:val="15"/>
                <w:color w:val="auto"/>
              </w:rPr>
              <w:t>Cash and cash equivalents</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808,984</w:t>
            </w:r>
          </w:p>
        </w:tc>
        <w:tc>
          <w:tcPr>
            <w:tcW w:w="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647,295</w:t>
            </w:r>
          </w:p>
        </w:tc>
      </w:tr>
      <w:tr>
        <w:trPr>
          <w:trHeight w:val="229"/>
        </w:trPr>
        <w:tc>
          <w:tcPr>
            <w:tcW w:w="5100" w:type="dxa"/>
            <w:vAlign w:val="bottom"/>
          </w:tcPr>
          <w:p>
            <w:pPr>
              <w:ind w:left="320"/>
              <w:spacing w:after="0"/>
              <w:rPr>
                <w:sz w:val="20"/>
                <w:szCs w:val="20"/>
                <w:color w:val="auto"/>
              </w:rPr>
            </w:pPr>
            <w:r>
              <w:rPr>
                <w:rFonts w:ascii="Arial" w:cs="Arial" w:eastAsia="Arial" w:hAnsi="Arial"/>
                <w:sz w:val="15"/>
                <w:szCs w:val="15"/>
                <w:color w:val="auto"/>
              </w:rPr>
              <w:t>Accounts receivable, net of allowance for credit losses</w:t>
            </w:r>
          </w:p>
        </w:tc>
        <w:tc>
          <w:tcPr>
            <w:tcW w:w="132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1,510,045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1,474,898</w:t>
            </w:r>
          </w:p>
        </w:tc>
      </w:tr>
      <w:tr>
        <w:trPr>
          <w:trHeight w:val="229"/>
        </w:trPr>
        <w:tc>
          <w:tcPr>
            <w:tcW w:w="5100" w:type="dxa"/>
            <w:vAlign w:val="bottom"/>
          </w:tcPr>
          <w:p>
            <w:pPr>
              <w:ind w:left="320"/>
              <w:spacing w:after="0"/>
              <w:rPr>
                <w:sz w:val="20"/>
                <w:szCs w:val="20"/>
                <w:color w:val="auto"/>
              </w:rPr>
            </w:pPr>
            <w:r>
              <w:rPr>
                <w:rFonts w:ascii="Arial" w:cs="Arial" w:eastAsia="Arial" w:hAnsi="Arial"/>
                <w:sz w:val="15"/>
                <w:szCs w:val="15"/>
                <w:color w:val="auto"/>
              </w:rPr>
              <w:t>Unbilled revenue</w:t>
            </w:r>
          </w:p>
        </w:tc>
        <w:tc>
          <w:tcPr>
            <w:tcW w:w="132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1,023,170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1,096,592</w:t>
            </w:r>
          </w:p>
        </w:tc>
      </w:tr>
      <w:tr>
        <w:trPr>
          <w:trHeight w:val="229"/>
        </w:trPr>
        <w:tc>
          <w:tcPr>
            <w:tcW w:w="510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32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100,669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116,750</w:t>
            </w:r>
          </w:p>
        </w:tc>
      </w:tr>
      <w:tr>
        <w:trPr>
          <w:trHeight w:val="229"/>
        </w:trPr>
        <w:tc>
          <w:tcPr>
            <w:tcW w:w="5100" w:type="dxa"/>
            <w:vAlign w:val="bottom"/>
          </w:tcPr>
          <w:p>
            <w:pPr>
              <w:ind w:left="320"/>
              <w:spacing w:after="0"/>
              <w:rPr>
                <w:sz w:val="20"/>
                <w:szCs w:val="20"/>
                <w:color w:val="auto"/>
              </w:rPr>
            </w:pPr>
            <w:r>
              <w:rPr>
                <w:rFonts w:ascii="Arial" w:cs="Arial" w:eastAsia="Arial" w:hAnsi="Arial"/>
                <w:sz w:val="15"/>
                <w:szCs w:val="15"/>
                <w:color w:val="auto"/>
              </w:rPr>
              <w:t>Prepayments and other current assets</w:t>
            </w:r>
          </w:p>
        </w:tc>
        <w:tc>
          <w:tcPr>
            <w:tcW w:w="1320" w:type="dxa"/>
            <w:vAlign w:val="bottom"/>
          </w:tcPr>
          <w:p>
            <w:pPr>
              <w:spacing w:after="0"/>
              <w:rPr>
                <w:sz w:val="19"/>
                <w:szCs w:val="19"/>
                <w:color w:val="auto"/>
              </w:rPr>
            </w:pPr>
          </w:p>
        </w:tc>
        <w:tc>
          <w:tcPr>
            <w:tcW w:w="1280" w:type="dxa"/>
            <w:vAlign w:val="bottom"/>
          </w:tcPr>
          <w:p>
            <w:pPr>
              <w:jc w:val="right"/>
              <w:ind w:right="64"/>
              <w:spacing w:after="0"/>
              <w:rPr>
                <w:sz w:val="20"/>
                <w:szCs w:val="20"/>
                <w:color w:val="auto"/>
              </w:rPr>
            </w:pPr>
            <w:r>
              <w:rPr>
                <w:rFonts w:ascii="Arial" w:cs="Arial" w:eastAsia="Arial" w:hAnsi="Arial"/>
                <w:sz w:val="15"/>
                <w:szCs w:val="15"/>
                <w:color w:val="auto"/>
              </w:rPr>
              <w:t>116,521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105,316</w:t>
            </w:r>
          </w:p>
        </w:tc>
      </w:tr>
      <w:tr>
        <w:trPr>
          <w:trHeight w:val="229"/>
        </w:trPr>
        <w:tc>
          <w:tcPr>
            <w:tcW w:w="5100" w:type="dxa"/>
            <w:vAlign w:val="bottom"/>
          </w:tcPr>
          <w:p>
            <w:pPr>
              <w:ind w:left="320"/>
              <w:spacing w:after="0"/>
              <w:rPr>
                <w:sz w:val="20"/>
                <w:szCs w:val="20"/>
                <w:color w:val="auto"/>
              </w:rPr>
            </w:pPr>
            <w:r>
              <w:rPr>
                <w:rFonts w:ascii="Arial" w:cs="Arial" w:eastAsia="Arial" w:hAnsi="Arial"/>
                <w:sz w:val="15"/>
                <w:szCs w:val="15"/>
                <w:color w:val="auto"/>
              </w:rPr>
              <w:t>Income taxes receivable</w:t>
            </w:r>
          </w:p>
        </w:tc>
        <w:tc>
          <w:tcPr>
            <w:tcW w:w="132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81,990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60,824</w:t>
            </w:r>
          </w:p>
        </w:tc>
      </w:tr>
      <w:tr>
        <w:trPr>
          <w:trHeight w:val="237"/>
        </w:trPr>
        <w:tc>
          <w:tcPr>
            <w:tcW w:w="5100" w:type="dxa"/>
            <w:vAlign w:val="bottom"/>
          </w:tcPr>
          <w:p>
            <w:pPr>
              <w:spacing w:after="0"/>
              <w:rPr>
                <w:sz w:val="20"/>
                <w:szCs w:val="20"/>
                <w:color w:val="auto"/>
              </w:rPr>
            </w:pPr>
            <w:r>
              <w:rPr>
                <w:rFonts w:ascii="Arial" w:cs="Arial" w:eastAsia="Arial" w:hAnsi="Arial"/>
                <w:sz w:val="15"/>
                <w:szCs w:val="15"/>
                <w:b w:val="1"/>
                <w:bCs w:val="1"/>
                <w:color w:val="004750"/>
              </w:rPr>
              <w:t>Total current assets</w:t>
            </w:r>
          </w:p>
        </w:tc>
        <w:tc>
          <w:tcPr>
            <w:tcW w:w="132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1280" w:type="dxa"/>
            <w:vAlign w:val="bottom"/>
          </w:tcPr>
          <w:p>
            <w:pPr>
              <w:jc w:val="right"/>
              <w:ind w:right="44"/>
              <w:spacing w:after="0"/>
              <w:rPr>
                <w:sz w:val="20"/>
                <w:szCs w:val="20"/>
                <w:color w:val="auto"/>
              </w:rPr>
            </w:pPr>
            <w:r>
              <w:rPr>
                <w:rFonts w:ascii="Arial" w:cs="Arial" w:eastAsia="Arial" w:hAnsi="Arial"/>
                <w:sz w:val="15"/>
                <w:szCs w:val="15"/>
                <w:b w:val="1"/>
                <w:bCs w:val="1"/>
                <w:color w:val="004750"/>
              </w:rPr>
              <w:t>3,641,379</w:t>
            </w:r>
          </w:p>
        </w:tc>
        <w:tc>
          <w:tcPr>
            <w:tcW w:w="360" w:type="dxa"/>
            <w:vAlign w:val="bottom"/>
          </w:tcPr>
          <w:p>
            <w:pPr>
              <w:jc w:val="right"/>
              <w:ind w:right="84"/>
              <w:spacing w:after="0"/>
              <w:rPr>
                <w:sz w:val="20"/>
                <w:szCs w:val="20"/>
                <w:color w:val="auto"/>
              </w:rPr>
            </w:pPr>
            <w:r>
              <w:rPr>
                <w:rFonts w:ascii="Arial" w:cs="Arial" w:eastAsia="Arial" w:hAnsi="Arial"/>
                <w:sz w:val="15"/>
                <w:szCs w:val="15"/>
                <w:b w:val="1"/>
                <w:bCs w:val="1"/>
                <w:color w:val="004750"/>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4750"/>
              </w:rPr>
              <w:t>3,501,675</w:t>
            </w:r>
          </w:p>
        </w:tc>
      </w:tr>
    </w:tbl>
    <w:p>
      <w:pPr>
        <w:sectPr>
          <w:pgSz w:w="11900" w:h="16838" w:orient="portrait"/>
          <w:cols w:equalWidth="0" w:num="1">
            <w:col w:w="9820"/>
          </w:cols>
          <w:pgMar w:left="1160" w:top="89" w:right="919" w:bottom="0" w:gutter="0" w:footer="0" w:header="0"/>
        </w:sectPr>
      </w:pPr>
    </w:p>
    <w:bookmarkStart w:id="7" w:name="page8"/>
    <w:bookmarkEnd w:id="7"/>
    <w:p>
      <w:pPr>
        <w:spacing w:after="0" w:line="4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128474"/>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-79375</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Property, plant and equipment, net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Goodwill</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Intangible assets, net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Operating right-of-use assets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Other receivables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Deferred tax asset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Investments in equity</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4750"/>
        </w:rPr>
        <w:t>Total Assets</w:t>
      </w:r>
    </w:p>
    <w:p>
      <w:pPr>
        <w:spacing w:after="0" w:line="300" w:lineRule="exact"/>
        <w:rPr>
          <w:sz w:val="20"/>
          <w:szCs w:val="20"/>
          <w:color w:val="auto"/>
        </w:rPr>
      </w:pPr>
    </w:p>
    <w:p>
      <w:pPr>
        <w:ind w:left="60" w:right="2200"/>
        <w:spacing w:after="0" w:line="311" w:lineRule="auto"/>
        <w:rPr>
          <w:sz w:val="20"/>
          <w:szCs w:val="20"/>
          <w:color w:val="auto"/>
        </w:rPr>
      </w:pPr>
      <w:r>
        <w:rPr>
          <w:rFonts w:ascii="Arial" w:cs="Arial" w:eastAsia="Arial" w:hAnsi="Arial"/>
          <w:sz w:val="15"/>
          <w:szCs w:val="15"/>
          <w:b w:val="1"/>
          <w:bCs w:val="1"/>
          <w:color w:val="128474"/>
          <w:highlight w:val="white"/>
        </w:rPr>
        <w:t>LIABILITIES AND SHAREHOLDERS’ EQUITY Current liabilities: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b w:val="1"/>
                <w:bCs w:val="1"/>
                <w:color w:val="FFFFFF"/>
              </w:rPr>
              <w:t>(Unaudited)</w:t>
            </w:r>
          </w:p>
        </w:tc>
        <w:tc>
          <w:tcPr>
            <w:tcW w:w="460" w:type="dxa"/>
            <w:vAlign w:val="bottom"/>
          </w:tcPr>
          <w:p>
            <w:pPr>
              <w:spacing w:after="0"/>
              <w:rPr>
                <w:sz w:val="14"/>
                <w:szCs w:val="14"/>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b w:val="1"/>
                <w:bCs w:val="1"/>
                <w:color w:val="FFFFFF"/>
              </w:rPr>
              <w:t>(Audited)</w:t>
            </w:r>
          </w:p>
        </w:tc>
      </w:tr>
      <w:tr>
        <w:trPr>
          <w:trHeight w:val="200"/>
        </w:trPr>
        <w:tc>
          <w:tcPr>
            <w:tcW w:w="3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375,265</w:t>
            </w:r>
          </w:p>
        </w:tc>
        <w:tc>
          <w:tcPr>
            <w:tcW w:w="46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395,724</w:t>
            </w:r>
          </w:p>
        </w:tc>
      </w:tr>
      <w:tr>
        <w:trPr>
          <w:trHeight w:val="212"/>
        </w:trPr>
        <w:tc>
          <w:tcPr>
            <w:tcW w:w="3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8,721,911</w:t>
            </w:r>
          </w:p>
        </w:tc>
        <w:tc>
          <w:tcPr>
            <w:tcW w:w="4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8,731,689</w:t>
            </w:r>
          </w:p>
        </w:tc>
      </w:tr>
      <w:tr>
        <w:trPr>
          <w:trHeight w:val="229"/>
        </w:trPr>
        <w:tc>
          <w:tcPr>
            <w:tcW w:w="380" w:type="dxa"/>
            <w:vAlign w:val="bottom"/>
          </w:tcPr>
          <w:p>
            <w:pPr>
              <w:spacing w:after="0"/>
              <w:rPr>
                <w:sz w:val="19"/>
                <w:szCs w:val="19"/>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3,100,266</w:t>
            </w:r>
          </w:p>
        </w:tc>
        <w:tc>
          <w:tcPr>
            <w:tcW w:w="460" w:type="dxa"/>
            <w:vAlign w:val="bottom"/>
          </w:tcPr>
          <w:p>
            <w:pPr>
              <w:spacing w:after="0"/>
              <w:rPr>
                <w:sz w:val="19"/>
                <w:szCs w:val="19"/>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3,247,118</w:t>
            </w:r>
          </w:p>
        </w:tc>
      </w:tr>
      <w:tr>
        <w:trPr>
          <w:trHeight w:val="229"/>
        </w:trPr>
        <w:tc>
          <w:tcPr>
            <w:tcW w:w="380" w:type="dxa"/>
            <w:vAlign w:val="bottom"/>
          </w:tcPr>
          <w:p>
            <w:pPr>
              <w:spacing w:after="0"/>
              <w:rPr>
                <w:sz w:val="19"/>
                <w:szCs w:val="19"/>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103,064</w:t>
            </w:r>
          </w:p>
        </w:tc>
        <w:tc>
          <w:tcPr>
            <w:tcW w:w="460" w:type="dxa"/>
            <w:vAlign w:val="bottom"/>
          </w:tcPr>
          <w:p>
            <w:pPr>
              <w:spacing w:after="0"/>
              <w:rPr>
                <w:sz w:val="19"/>
                <w:szCs w:val="19"/>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128,948</w:t>
            </w:r>
          </w:p>
        </w:tc>
      </w:tr>
      <w:tr>
        <w:trPr>
          <w:trHeight w:val="230"/>
        </w:trPr>
        <w:tc>
          <w:tcPr>
            <w:tcW w:w="380" w:type="dxa"/>
            <w:vAlign w:val="bottom"/>
          </w:tcPr>
          <w:p>
            <w:pPr>
              <w:spacing w:after="0"/>
              <w:rPr>
                <w:sz w:val="19"/>
                <w:szCs w:val="19"/>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73,658</w:t>
            </w:r>
          </w:p>
        </w:tc>
        <w:tc>
          <w:tcPr>
            <w:tcW w:w="460" w:type="dxa"/>
            <w:vAlign w:val="bottom"/>
          </w:tcPr>
          <w:p>
            <w:pPr>
              <w:spacing w:after="0"/>
              <w:rPr>
                <w:sz w:val="19"/>
                <w:szCs w:val="19"/>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75,707</w:t>
            </w:r>
          </w:p>
        </w:tc>
      </w:tr>
      <w:tr>
        <w:trPr>
          <w:trHeight w:val="229"/>
        </w:trPr>
        <w:tc>
          <w:tcPr>
            <w:tcW w:w="380" w:type="dxa"/>
            <w:vAlign w:val="bottom"/>
          </w:tcPr>
          <w:p>
            <w:pPr>
              <w:spacing w:after="0"/>
              <w:rPr>
                <w:sz w:val="19"/>
                <w:szCs w:val="19"/>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105,538</w:t>
            </w:r>
          </w:p>
        </w:tc>
        <w:tc>
          <w:tcPr>
            <w:tcW w:w="460" w:type="dxa"/>
            <w:vAlign w:val="bottom"/>
          </w:tcPr>
          <w:p>
            <w:pPr>
              <w:spacing w:after="0"/>
              <w:rPr>
                <w:sz w:val="19"/>
                <w:szCs w:val="19"/>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106,871</w:t>
            </w:r>
          </w:p>
        </w:tc>
      </w:tr>
      <w:tr>
        <w:trPr>
          <w:trHeight w:val="229"/>
        </w:trPr>
        <w:tc>
          <w:tcPr>
            <w:tcW w:w="380" w:type="dxa"/>
            <w:vAlign w:val="bottom"/>
          </w:tcPr>
          <w:p>
            <w:pPr>
              <w:spacing w:after="0"/>
              <w:rPr>
                <w:sz w:val="19"/>
                <w:szCs w:val="19"/>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121,251</w:t>
            </w:r>
          </w:p>
        </w:tc>
        <w:tc>
          <w:tcPr>
            <w:tcW w:w="460" w:type="dxa"/>
            <w:vAlign w:val="bottom"/>
          </w:tcPr>
          <w:p>
            <w:pPr>
              <w:spacing w:after="0"/>
              <w:rPr>
                <w:sz w:val="19"/>
                <w:szCs w:val="19"/>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82,050</w:t>
            </w:r>
          </w:p>
        </w:tc>
      </w:tr>
      <w:tr>
        <w:trPr>
          <w:trHeight w:val="238"/>
        </w:trPr>
        <w:tc>
          <w:tcPr>
            <w:tcW w:w="380" w:type="dxa"/>
            <w:vAlign w:val="bottom"/>
          </w:tcPr>
          <w:p>
            <w:pPr>
              <w:jc w:val="right"/>
              <w:ind w:right="164"/>
              <w:spacing w:after="0"/>
              <w:rPr>
                <w:sz w:val="20"/>
                <w:szCs w:val="20"/>
                <w:color w:val="auto"/>
              </w:rPr>
            </w:pPr>
            <w:r>
              <w:rPr>
                <w:rFonts w:ascii="Arial" w:cs="Arial" w:eastAsia="Arial" w:hAnsi="Arial"/>
                <w:sz w:val="15"/>
                <w:szCs w:val="15"/>
                <w:b w:val="1"/>
                <w:bCs w:val="1"/>
                <w:color w:val="004750"/>
              </w:rPr>
              <w:t>$</w:t>
            </w:r>
          </w:p>
        </w:tc>
        <w:tc>
          <w:tcPr>
            <w:tcW w:w="1180" w:type="dxa"/>
            <w:vAlign w:val="bottom"/>
          </w:tcPr>
          <w:p>
            <w:pPr>
              <w:jc w:val="right"/>
              <w:ind w:right="44"/>
              <w:spacing w:after="0"/>
              <w:rPr>
                <w:sz w:val="20"/>
                <w:szCs w:val="20"/>
                <w:color w:val="auto"/>
              </w:rPr>
            </w:pPr>
            <w:r>
              <w:rPr>
                <w:rFonts w:ascii="Arial" w:cs="Arial" w:eastAsia="Arial" w:hAnsi="Arial"/>
                <w:sz w:val="15"/>
                <w:szCs w:val="15"/>
                <w:b w:val="1"/>
                <w:bCs w:val="1"/>
                <w:color w:val="004750"/>
              </w:rPr>
              <w:t>16,242,332</w:t>
            </w:r>
          </w:p>
        </w:tc>
        <w:tc>
          <w:tcPr>
            <w:tcW w:w="460" w:type="dxa"/>
            <w:vAlign w:val="bottom"/>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004750"/>
              </w:rPr>
              <w:t>16,269,782</w:t>
            </w:r>
          </w:p>
        </w:tc>
      </w:tr>
    </w:tbl>
    <w:p>
      <w:pPr>
        <w:spacing w:after="0" w:line="696" w:lineRule="exact"/>
        <w:rPr>
          <w:sz w:val="20"/>
          <w:szCs w:val="20"/>
          <w:color w:val="auto"/>
        </w:rPr>
      </w:pPr>
    </w:p>
    <w:p>
      <w:pPr>
        <w:sectPr>
          <w:pgSz w:w="11900" w:h="16885" w:orient="portrait"/>
          <w:cols w:equalWidth="0" w:num="2">
            <w:col w:w="5480" w:space="720"/>
            <w:col w:w="3220"/>
          </w:cols>
          <w:pgMar w:left="1220" w:top="94" w:right="1259" w:bottom="0" w:gutter="0" w:footer="0" w:header="0"/>
        </w:sect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Accounts payable</w:t>
            </w:r>
          </w:p>
        </w:tc>
        <w:tc>
          <w:tcPr>
            <w:tcW w:w="48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86,003</w:t>
            </w:r>
          </w:p>
        </w:tc>
        <w:tc>
          <w:tcPr>
            <w:tcW w:w="44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192,117</w:t>
            </w:r>
          </w:p>
        </w:tc>
      </w:tr>
      <w:tr>
        <w:trPr>
          <w:trHeight w:val="230"/>
        </w:trPr>
        <w:tc>
          <w:tcPr>
            <w:tcW w:w="3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Unearned revenue</w:t>
            </w:r>
          </w:p>
        </w:tc>
        <w:tc>
          <w:tcPr>
            <w:tcW w:w="480" w:type="dxa"/>
            <w:vAlign w:val="bottom"/>
          </w:tcPr>
          <w:p>
            <w:pPr>
              <w:spacing w:after="0"/>
              <w:rPr>
                <w:sz w:val="19"/>
                <w:szCs w:val="19"/>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1,727,355</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1,550,471</w:t>
            </w:r>
          </w:p>
        </w:tc>
      </w:tr>
      <w:tr>
        <w:trPr>
          <w:trHeight w:val="229"/>
        </w:trPr>
        <w:tc>
          <w:tcPr>
            <w:tcW w:w="3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Other liabilities</w:t>
            </w:r>
          </w:p>
        </w:tc>
        <w:tc>
          <w:tcPr>
            <w:tcW w:w="480" w:type="dxa"/>
            <w:vAlign w:val="bottom"/>
          </w:tcPr>
          <w:p>
            <w:pPr>
              <w:spacing w:after="0"/>
              <w:rPr>
                <w:sz w:val="19"/>
                <w:szCs w:val="19"/>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936,745</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904,826</w:t>
            </w:r>
          </w:p>
        </w:tc>
      </w:tr>
      <w:tr>
        <w:trPr>
          <w:trHeight w:val="60"/>
        </w:trPr>
        <w:tc>
          <w:tcPr>
            <w:tcW w:w="380" w:type="dxa"/>
            <w:vAlign w:val="bottom"/>
          </w:tcPr>
          <w:p>
            <w:pPr>
              <w:spacing w:after="0"/>
              <w:rPr>
                <w:sz w:val="5"/>
                <w:szCs w:val="5"/>
                <w:color w:val="auto"/>
              </w:rPr>
            </w:pPr>
          </w:p>
        </w:tc>
        <w:tc>
          <w:tcPr>
            <w:tcW w:w="4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09"/>
        </w:trPr>
        <w:tc>
          <w:tcPr>
            <w:tcW w:w="380" w:type="dxa"/>
            <w:vAlign w:val="bottom"/>
            <w:tcBorders>
              <w:bottom w:val="single" w:sz="8" w:color="F3F8F7"/>
            </w:tcBorders>
            <w:shd w:val="clear" w:color="auto" w:fill="F3F8F7"/>
          </w:tcPr>
          <w:p>
            <w:pPr>
              <w:spacing w:after="0"/>
              <w:rPr>
                <w:sz w:val="18"/>
                <w:szCs w:val="18"/>
                <w:color w:val="auto"/>
              </w:rPr>
            </w:pPr>
          </w:p>
        </w:tc>
        <w:tc>
          <w:tcPr>
            <w:tcW w:w="5740" w:type="dxa"/>
            <w:vAlign w:val="bottom"/>
            <w:tcBorders>
              <w:bottom w:val="single" w:sz="8" w:color="F3F8F7"/>
            </w:tcBorders>
            <w:gridSpan w:val="2"/>
            <w:shd w:val="clear" w:color="auto" w:fill="F3F8F7"/>
          </w:tcPr>
          <w:p>
            <w:pPr>
              <w:spacing w:after="0"/>
              <w:rPr>
                <w:sz w:val="20"/>
                <w:szCs w:val="20"/>
                <w:color w:val="auto"/>
              </w:rPr>
            </w:pPr>
            <w:r>
              <w:rPr>
                <w:rFonts w:ascii="Arial" w:cs="Arial" w:eastAsia="Arial" w:hAnsi="Arial"/>
                <w:sz w:val="15"/>
                <w:szCs w:val="15"/>
                <w:color w:val="auto"/>
              </w:rPr>
              <w:t>Income taxes payable</w:t>
            </w:r>
          </w:p>
        </w:tc>
        <w:tc>
          <w:tcPr>
            <w:tcW w:w="480" w:type="dxa"/>
            <w:vAlign w:val="bottom"/>
            <w:tcBorders>
              <w:bottom w:val="single" w:sz="8" w:color="F3F8F7"/>
            </w:tcBorders>
            <w:shd w:val="clear" w:color="auto" w:fill="F3F8F7"/>
          </w:tcPr>
          <w:p>
            <w:pPr>
              <w:spacing w:after="0"/>
              <w:rPr>
                <w:sz w:val="18"/>
                <w:szCs w:val="18"/>
                <w:color w:val="auto"/>
              </w:rPr>
            </w:pPr>
          </w:p>
        </w:tc>
        <w:tc>
          <w:tcPr>
            <w:tcW w:w="1180" w:type="dxa"/>
            <w:vAlign w:val="bottom"/>
            <w:tcBorders>
              <w:bottom w:val="single" w:sz="8" w:color="F3F8F7"/>
            </w:tcBorders>
            <w:shd w:val="clear" w:color="auto" w:fill="F3F8F7"/>
          </w:tcPr>
          <w:p>
            <w:pPr>
              <w:jc w:val="right"/>
              <w:ind w:right="64"/>
              <w:spacing w:after="0"/>
              <w:rPr>
                <w:sz w:val="20"/>
                <w:szCs w:val="20"/>
                <w:color w:val="auto"/>
              </w:rPr>
            </w:pPr>
            <w:r>
              <w:rPr>
                <w:rFonts w:ascii="Arial" w:cs="Arial" w:eastAsia="Arial" w:hAnsi="Arial"/>
                <w:sz w:val="15"/>
                <w:szCs w:val="15"/>
                <w:color w:val="auto"/>
              </w:rPr>
              <w:t>18,553</w:t>
            </w:r>
          </w:p>
        </w:tc>
        <w:tc>
          <w:tcPr>
            <w:tcW w:w="440" w:type="dxa"/>
            <w:vAlign w:val="bottom"/>
            <w:tcBorders>
              <w:bottom w:val="single" w:sz="8" w:color="F3F8F7"/>
            </w:tcBorders>
            <w:shd w:val="clear" w:color="auto" w:fill="F3F8F7"/>
          </w:tcPr>
          <w:p>
            <w:pPr>
              <w:spacing w:after="0"/>
              <w:rPr>
                <w:sz w:val="18"/>
                <w:szCs w:val="18"/>
                <w:color w:val="auto"/>
              </w:rPr>
            </w:pPr>
          </w:p>
        </w:tc>
        <w:tc>
          <w:tcPr>
            <w:tcW w:w="1100" w:type="dxa"/>
            <w:vAlign w:val="bottom"/>
            <w:tcBorders>
              <w:bottom w:val="single" w:sz="8" w:color="F3F8F7"/>
            </w:tcBorders>
            <w:shd w:val="clear" w:color="auto" w:fill="F3F8F7"/>
          </w:tcPr>
          <w:p>
            <w:pPr>
              <w:jc w:val="right"/>
              <w:spacing w:after="0"/>
              <w:rPr>
                <w:sz w:val="20"/>
                <w:szCs w:val="20"/>
                <w:color w:val="auto"/>
              </w:rPr>
            </w:pPr>
            <w:r>
              <w:rPr>
                <w:rFonts w:ascii="Arial" w:cs="Arial" w:eastAsia="Arial" w:hAnsi="Arial"/>
                <w:sz w:val="15"/>
                <w:szCs w:val="15"/>
                <w:color w:val="auto"/>
              </w:rPr>
              <w:t>18,999</w:t>
            </w:r>
          </w:p>
        </w:tc>
      </w:tr>
      <w:tr>
        <w:trPr>
          <w:trHeight w:val="200"/>
        </w:trPr>
        <w:tc>
          <w:tcPr>
            <w:tcW w:w="38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Current bank credit lines, loan facilities and notes</w:t>
            </w:r>
          </w:p>
        </w:tc>
        <w:tc>
          <w:tcPr>
            <w:tcW w:w="48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529,762</w:t>
            </w:r>
          </w:p>
        </w:tc>
      </w:tr>
      <w:tr>
        <w:trPr>
          <w:trHeight w:val="29"/>
        </w:trPr>
        <w:tc>
          <w:tcPr>
            <w:tcW w:w="3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120" w:type="dxa"/>
            <w:vAlign w:val="bottom"/>
            <w:gridSpan w:val="3"/>
            <w:shd w:val="clear" w:color="auto" w:fill="F3F8F7"/>
          </w:tcPr>
          <w:p>
            <w:pPr>
              <w:ind w:left="60"/>
              <w:spacing w:after="0"/>
              <w:rPr>
                <w:sz w:val="20"/>
                <w:szCs w:val="20"/>
                <w:color w:val="auto"/>
              </w:rPr>
            </w:pPr>
            <w:r>
              <w:rPr>
                <w:rFonts w:ascii="Arial" w:cs="Arial" w:eastAsia="Arial" w:hAnsi="Arial"/>
                <w:sz w:val="15"/>
                <w:szCs w:val="15"/>
                <w:b w:val="1"/>
                <w:bCs w:val="1"/>
                <w:color w:val="004750"/>
              </w:rPr>
              <w:t>Total current liabilities</w:t>
            </w:r>
          </w:p>
        </w:tc>
        <w:tc>
          <w:tcPr>
            <w:tcW w:w="480" w:type="dxa"/>
            <w:vAlign w:val="bottom"/>
            <w:shd w:val="clear" w:color="auto" w:fill="F3F8F7"/>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80" w:type="dxa"/>
            <w:vAlign w:val="bottom"/>
            <w:shd w:val="clear" w:color="auto" w:fill="F3F8F7"/>
          </w:tcPr>
          <w:p>
            <w:pPr>
              <w:jc w:val="right"/>
              <w:ind w:right="64"/>
              <w:spacing w:after="0"/>
              <w:rPr>
                <w:sz w:val="20"/>
                <w:szCs w:val="20"/>
                <w:color w:val="auto"/>
              </w:rPr>
            </w:pPr>
            <w:r>
              <w:rPr>
                <w:rFonts w:ascii="Arial" w:cs="Arial" w:eastAsia="Arial" w:hAnsi="Arial"/>
                <w:sz w:val="15"/>
                <w:szCs w:val="15"/>
                <w:b w:val="1"/>
                <w:bCs w:val="1"/>
                <w:color w:val="004750"/>
              </w:rPr>
              <w:t>2,768,656</w:t>
            </w:r>
          </w:p>
        </w:tc>
        <w:tc>
          <w:tcPr>
            <w:tcW w:w="440" w:type="dxa"/>
            <w:vAlign w:val="bottom"/>
            <w:shd w:val="clear" w:color="auto" w:fill="F3F8F7"/>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00" w:type="dxa"/>
            <w:vAlign w:val="bottom"/>
            <w:shd w:val="clear" w:color="auto" w:fill="F3F8F7"/>
          </w:tcPr>
          <w:p>
            <w:pPr>
              <w:jc w:val="right"/>
              <w:spacing w:after="0"/>
              <w:rPr>
                <w:sz w:val="20"/>
                <w:szCs w:val="20"/>
                <w:color w:val="auto"/>
              </w:rPr>
            </w:pPr>
            <w:r>
              <w:rPr>
                <w:rFonts w:ascii="Arial" w:cs="Arial" w:eastAsia="Arial" w:hAnsi="Arial"/>
                <w:sz w:val="15"/>
                <w:szCs w:val="15"/>
                <w:b w:val="1"/>
                <w:bCs w:val="1"/>
                <w:color w:val="004750"/>
              </w:rPr>
              <w:t>3,196,175</w:t>
            </w:r>
          </w:p>
        </w:tc>
      </w:tr>
      <w:tr>
        <w:trPr>
          <w:trHeight w:val="229"/>
        </w:trPr>
        <w:tc>
          <w:tcPr>
            <w:tcW w:w="3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120" w:type="dxa"/>
            <w:vAlign w:val="bottom"/>
            <w:gridSpan w:val="3"/>
            <w:shd w:val="clear" w:color="auto" w:fill="F3F8F7"/>
          </w:tcPr>
          <w:p>
            <w:pPr>
              <w:ind w:left="60"/>
              <w:spacing w:after="0"/>
              <w:rPr>
                <w:sz w:val="20"/>
                <w:szCs w:val="20"/>
                <w:color w:val="auto"/>
              </w:rPr>
            </w:pPr>
            <w:r>
              <w:rPr>
                <w:rFonts w:ascii="Arial" w:cs="Arial" w:eastAsia="Arial" w:hAnsi="Arial"/>
                <w:sz w:val="15"/>
                <w:szCs w:val="15"/>
                <w:b w:val="1"/>
                <w:bCs w:val="1"/>
                <w:color w:val="128474"/>
                <w:highlight w:val="white"/>
              </w:rPr>
              <w:t>Non-current liabilities:</w:t>
            </w:r>
          </w:p>
        </w:tc>
        <w:tc>
          <w:tcPr>
            <w:tcW w:w="480" w:type="dxa"/>
            <w:vAlign w:val="bottom"/>
            <w:shd w:val="clear" w:color="auto" w:fill="F3F8F7"/>
          </w:tcPr>
          <w:p>
            <w:pPr>
              <w:spacing w:after="0"/>
              <w:rPr>
                <w:sz w:val="19"/>
                <w:szCs w:val="19"/>
                <w:color w:val="auto"/>
              </w:rPr>
            </w:pPr>
          </w:p>
        </w:tc>
        <w:tc>
          <w:tcPr>
            <w:tcW w:w="1180" w:type="dxa"/>
            <w:vAlign w:val="bottom"/>
            <w:shd w:val="clear" w:color="auto" w:fill="F3F8F7"/>
          </w:tcPr>
          <w:p>
            <w:pPr>
              <w:spacing w:after="0"/>
              <w:rPr>
                <w:sz w:val="19"/>
                <w:szCs w:val="19"/>
                <w:color w:val="auto"/>
              </w:rPr>
            </w:pPr>
          </w:p>
        </w:tc>
        <w:tc>
          <w:tcPr>
            <w:tcW w:w="440" w:type="dxa"/>
            <w:vAlign w:val="bottom"/>
            <w:shd w:val="clear" w:color="auto" w:fill="F3F8F7"/>
          </w:tcPr>
          <w:p>
            <w:pPr>
              <w:spacing w:after="0"/>
              <w:rPr>
                <w:sz w:val="19"/>
                <w:szCs w:val="19"/>
                <w:color w:val="auto"/>
              </w:rPr>
            </w:pPr>
          </w:p>
        </w:tc>
        <w:tc>
          <w:tcPr>
            <w:tcW w:w="1100" w:type="dxa"/>
            <w:vAlign w:val="bottom"/>
            <w:shd w:val="clear" w:color="auto" w:fill="F3F8F7"/>
          </w:tcPr>
          <w:p>
            <w:pPr>
              <w:spacing w:after="0"/>
              <w:rPr>
                <w:sz w:val="19"/>
                <w:szCs w:val="19"/>
                <w:color w:val="auto"/>
              </w:rPr>
            </w:pPr>
          </w:p>
        </w:tc>
      </w:tr>
      <w:tr>
        <w:trPr>
          <w:trHeight w:val="200"/>
        </w:trPr>
        <w:tc>
          <w:tcPr>
            <w:tcW w:w="38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Non-current bank credit lines, loan facilities and notes, net</w:t>
            </w:r>
          </w:p>
        </w:tc>
        <w:tc>
          <w:tcPr>
            <w:tcW w:w="48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3,379,107</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2,872,616</w:t>
            </w:r>
          </w:p>
        </w:tc>
      </w:tr>
      <w:tr>
        <w:trPr>
          <w:trHeight w:val="29"/>
        </w:trPr>
        <w:tc>
          <w:tcPr>
            <w:tcW w:w="380" w:type="dxa"/>
            <w:vAlign w:val="bottom"/>
            <w:tcBorders>
              <w:bottom w:val="single" w:sz="8" w:color="128474"/>
            </w:tcBorders>
          </w:tcPr>
          <w:p>
            <w:pPr>
              <w:spacing w:after="0"/>
              <w:rPr>
                <w:sz w:val="2"/>
                <w:szCs w:val="2"/>
                <w:color w:val="auto"/>
              </w:rPr>
            </w:pPr>
          </w:p>
        </w:tc>
        <w:tc>
          <w:tcPr>
            <w:tcW w:w="4780" w:type="dxa"/>
            <w:vAlign w:val="bottom"/>
            <w:tcBorders>
              <w:bottom w:val="single" w:sz="8" w:color="128474"/>
            </w:tcBorders>
          </w:tcPr>
          <w:p>
            <w:pPr>
              <w:spacing w:after="0"/>
              <w:rPr>
                <w:sz w:val="2"/>
                <w:szCs w:val="2"/>
                <w:color w:val="auto"/>
              </w:rPr>
            </w:pPr>
          </w:p>
        </w:tc>
        <w:tc>
          <w:tcPr>
            <w:tcW w:w="960" w:type="dxa"/>
            <w:vAlign w:val="bottom"/>
            <w:tcBorders>
              <w:bottom w:val="single" w:sz="8" w:color="128474"/>
            </w:tcBorders>
          </w:tcPr>
          <w:p>
            <w:pPr>
              <w:spacing w:after="0"/>
              <w:rPr>
                <w:sz w:val="2"/>
                <w:szCs w:val="2"/>
                <w:color w:val="auto"/>
              </w:rPr>
            </w:pPr>
          </w:p>
        </w:tc>
        <w:tc>
          <w:tcPr>
            <w:tcW w:w="480" w:type="dxa"/>
            <w:vAlign w:val="bottom"/>
            <w:tcBorders>
              <w:bottom w:val="single" w:sz="8" w:color="128474"/>
            </w:tcBorders>
          </w:tcPr>
          <w:p>
            <w:pPr>
              <w:spacing w:after="0"/>
              <w:rPr>
                <w:sz w:val="2"/>
                <w:szCs w:val="2"/>
                <w:color w:val="auto"/>
              </w:rPr>
            </w:pPr>
          </w:p>
        </w:tc>
        <w:tc>
          <w:tcPr>
            <w:tcW w:w="1180" w:type="dxa"/>
            <w:vAlign w:val="bottom"/>
            <w:tcBorders>
              <w:bottom w:val="single" w:sz="8" w:color="128474"/>
            </w:tcBorders>
          </w:tcPr>
          <w:p>
            <w:pPr>
              <w:spacing w:after="0"/>
              <w:rPr>
                <w:sz w:val="2"/>
                <w:szCs w:val="2"/>
                <w:color w:val="auto"/>
              </w:rPr>
            </w:pPr>
          </w:p>
        </w:tc>
        <w:tc>
          <w:tcPr>
            <w:tcW w:w="440" w:type="dxa"/>
            <w:vAlign w:val="bottom"/>
            <w:tcBorders>
              <w:bottom w:val="single" w:sz="8" w:color="128474"/>
            </w:tcBorders>
          </w:tcPr>
          <w:p>
            <w:pPr>
              <w:spacing w:after="0"/>
              <w:rPr>
                <w:sz w:val="2"/>
                <w:szCs w:val="2"/>
                <w:color w:val="auto"/>
              </w:rPr>
            </w:pPr>
          </w:p>
        </w:tc>
        <w:tc>
          <w:tcPr>
            <w:tcW w:w="1100" w:type="dxa"/>
            <w:vAlign w:val="bottom"/>
            <w:tcBorders>
              <w:bottom w:val="single" w:sz="8" w:color="128474"/>
            </w:tcBorders>
          </w:tcPr>
          <w:p>
            <w:pPr>
              <w:spacing w:after="0"/>
              <w:rPr>
                <w:sz w:val="2"/>
                <w:szCs w:val="2"/>
                <w:color w:val="auto"/>
              </w:rPr>
            </w:pPr>
          </w:p>
        </w:tc>
      </w:tr>
      <w:tr>
        <w:trPr>
          <w:trHeight w:val="208"/>
        </w:trPr>
        <w:tc>
          <w:tcPr>
            <w:tcW w:w="380" w:type="dxa"/>
            <w:vAlign w:val="bottom"/>
            <w:tcBorders>
              <w:bottom w:val="single" w:sz="8" w:color="auto"/>
            </w:tcBorders>
            <w:shd w:val="clear" w:color="auto" w:fill="D0E6E3"/>
          </w:tcPr>
          <w:p>
            <w:pPr>
              <w:spacing w:after="0"/>
              <w:rPr>
                <w:sz w:val="17"/>
                <w:szCs w:val="17"/>
                <w:color w:val="auto"/>
              </w:rPr>
            </w:pPr>
          </w:p>
        </w:tc>
        <w:tc>
          <w:tcPr>
            <w:tcW w:w="5740" w:type="dxa"/>
            <w:vAlign w:val="bottom"/>
            <w:tcBorders>
              <w:bottom w:val="single" w:sz="8" w:color="auto"/>
            </w:tcBorders>
            <w:gridSpan w:val="2"/>
            <w:shd w:val="clear" w:color="auto" w:fill="D0E6E3"/>
          </w:tcPr>
          <w:p>
            <w:pPr>
              <w:spacing w:after="0"/>
              <w:rPr>
                <w:sz w:val="20"/>
                <w:szCs w:val="20"/>
                <w:color w:val="auto"/>
              </w:rPr>
            </w:pPr>
            <w:r>
              <w:rPr>
                <w:rFonts w:ascii="Arial" w:cs="Arial" w:eastAsia="Arial" w:hAnsi="Arial"/>
                <w:sz w:val="15"/>
                <w:szCs w:val="15"/>
                <w:color w:val="auto"/>
              </w:rPr>
              <w:t>Lease liabilities</w:t>
            </w:r>
          </w:p>
        </w:tc>
        <w:tc>
          <w:tcPr>
            <w:tcW w:w="480" w:type="dxa"/>
            <w:vAlign w:val="bottom"/>
            <w:tcBorders>
              <w:bottom w:val="single" w:sz="8" w:color="auto"/>
            </w:tcBorders>
            <w:shd w:val="clear" w:color="auto" w:fill="D0E6E3"/>
          </w:tcPr>
          <w:p>
            <w:pPr>
              <w:spacing w:after="0"/>
              <w:rPr>
                <w:sz w:val="17"/>
                <w:szCs w:val="17"/>
                <w:color w:val="auto"/>
              </w:rPr>
            </w:pPr>
          </w:p>
        </w:tc>
        <w:tc>
          <w:tcPr>
            <w:tcW w:w="1180" w:type="dxa"/>
            <w:vAlign w:val="bottom"/>
            <w:tcBorders>
              <w:bottom w:val="single" w:sz="8" w:color="auto"/>
            </w:tcBorders>
            <w:shd w:val="clear" w:color="auto" w:fill="D0E6E3"/>
          </w:tcPr>
          <w:p>
            <w:pPr>
              <w:jc w:val="right"/>
              <w:ind w:right="64"/>
              <w:spacing w:after="0"/>
              <w:rPr>
                <w:sz w:val="20"/>
                <w:szCs w:val="20"/>
                <w:color w:val="auto"/>
              </w:rPr>
            </w:pPr>
            <w:r>
              <w:rPr>
                <w:rFonts w:ascii="Arial" w:cs="Arial" w:eastAsia="Arial" w:hAnsi="Arial"/>
                <w:sz w:val="15"/>
                <w:szCs w:val="15"/>
                <w:color w:val="auto"/>
              </w:rPr>
              <w:t>97,144</w:t>
            </w:r>
          </w:p>
        </w:tc>
        <w:tc>
          <w:tcPr>
            <w:tcW w:w="440" w:type="dxa"/>
            <w:vAlign w:val="bottom"/>
            <w:tcBorders>
              <w:bottom w:val="single" w:sz="8" w:color="auto"/>
            </w:tcBorders>
            <w:shd w:val="clear" w:color="auto" w:fill="D0E6E3"/>
          </w:tcPr>
          <w:p>
            <w:pPr>
              <w:spacing w:after="0"/>
              <w:rPr>
                <w:sz w:val="17"/>
                <w:szCs w:val="17"/>
                <w:color w:val="auto"/>
              </w:rPr>
            </w:pPr>
          </w:p>
        </w:tc>
        <w:tc>
          <w:tcPr>
            <w:tcW w:w="1100" w:type="dxa"/>
            <w:vAlign w:val="bottom"/>
            <w:tcBorders>
              <w:bottom w:val="single" w:sz="8" w:color="auto"/>
            </w:tcBorders>
            <w:shd w:val="clear" w:color="auto" w:fill="D0E6E3"/>
          </w:tcPr>
          <w:p>
            <w:pPr>
              <w:jc w:val="right"/>
              <w:ind w:right="4"/>
              <w:spacing w:after="0"/>
              <w:rPr>
                <w:sz w:val="20"/>
                <w:szCs w:val="20"/>
                <w:color w:val="auto"/>
              </w:rPr>
            </w:pPr>
            <w:r>
              <w:rPr>
                <w:rFonts w:ascii="Arial" w:cs="Arial" w:eastAsia="Arial" w:hAnsi="Arial"/>
                <w:sz w:val="15"/>
                <w:szCs w:val="15"/>
                <w:color w:val="auto"/>
              </w:rPr>
              <w:t>117,122</w:t>
            </w:r>
          </w:p>
        </w:tc>
      </w:tr>
      <w:tr>
        <w:trPr>
          <w:trHeight w:val="172"/>
        </w:trPr>
        <w:tc>
          <w:tcPr>
            <w:tcW w:w="380" w:type="dxa"/>
            <w:vAlign w:val="bottom"/>
            <w:tcBorders>
              <w:top w:val="single" w:sz="8" w:color="D0E6E3"/>
            </w:tcBorders>
          </w:tcPr>
          <w:p>
            <w:pPr>
              <w:spacing w:after="0"/>
              <w:rPr>
                <w:sz w:val="14"/>
                <w:szCs w:val="14"/>
                <w:color w:val="auto"/>
              </w:rPr>
            </w:pPr>
          </w:p>
        </w:tc>
        <w:tc>
          <w:tcPr>
            <w:tcW w:w="5740" w:type="dxa"/>
            <w:vAlign w:val="bottom"/>
            <w:tcBorders>
              <w:top w:val="single" w:sz="8" w:color="D0E6E3"/>
            </w:tcBorders>
            <w:gridSpan w:val="2"/>
          </w:tcPr>
          <w:p>
            <w:pPr>
              <w:spacing w:after="0"/>
              <w:rPr>
                <w:sz w:val="20"/>
                <w:szCs w:val="20"/>
                <w:color w:val="auto"/>
              </w:rPr>
            </w:pPr>
            <w:r>
              <w:rPr>
                <w:rFonts w:ascii="Arial" w:cs="Arial" w:eastAsia="Arial" w:hAnsi="Arial"/>
                <w:sz w:val="15"/>
                <w:szCs w:val="15"/>
                <w:color w:val="auto"/>
              </w:rPr>
              <w:t>Non-current other liabilities</w:t>
            </w:r>
          </w:p>
        </w:tc>
        <w:tc>
          <w:tcPr>
            <w:tcW w:w="480" w:type="dxa"/>
            <w:vAlign w:val="bottom"/>
            <w:tcBorders>
              <w:top w:val="single" w:sz="8" w:color="D0E6E3"/>
            </w:tcBorders>
          </w:tcPr>
          <w:p>
            <w:pPr>
              <w:spacing w:after="0"/>
              <w:rPr>
                <w:sz w:val="14"/>
                <w:szCs w:val="14"/>
                <w:color w:val="auto"/>
              </w:rPr>
            </w:pPr>
          </w:p>
        </w:tc>
        <w:tc>
          <w:tcPr>
            <w:tcW w:w="1180" w:type="dxa"/>
            <w:vAlign w:val="bottom"/>
            <w:tcBorders>
              <w:top w:val="single" w:sz="8" w:color="D0E6E3"/>
            </w:tcBorders>
          </w:tcPr>
          <w:p>
            <w:pPr>
              <w:jc w:val="right"/>
              <w:ind w:right="64"/>
              <w:spacing w:after="0"/>
              <w:rPr>
                <w:sz w:val="20"/>
                <w:szCs w:val="20"/>
                <w:color w:val="auto"/>
              </w:rPr>
            </w:pPr>
            <w:r>
              <w:rPr>
                <w:rFonts w:ascii="Arial" w:cs="Arial" w:eastAsia="Arial" w:hAnsi="Arial"/>
                <w:sz w:val="15"/>
                <w:szCs w:val="15"/>
                <w:color w:val="auto"/>
              </w:rPr>
              <w:t>79,362</w:t>
            </w:r>
          </w:p>
        </w:tc>
        <w:tc>
          <w:tcPr>
            <w:tcW w:w="440" w:type="dxa"/>
            <w:vAlign w:val="bottom"/>
            <w:tcBorders>
              <w:top w:val="single" w:sz="8" w:color="D0E6E3"/>
            </w:tcBorders>
          </w:tcPr>
          <w:p>
            <w:pPr>
              <w:spacing w:after="0"/>
              <w:rPr>
                <w:sz w:val="14"/>
                <w:szCs w:val="14"/>
                <w:color w:val="auto"/>
              </w:rPr>
            </w:pPr>
          </w:p>
        </w:tc>
        <w:tc>
          <w:tcPr>
            <w:tcW w:w="1100" w:type="dxa"/>
            <w:vAlign w:val="bottom"/>
            <w:tcBorders>
              <w:top w:val="single" w:sz="8" w:color="D0E6E3"/>
            </w:tcBorders>
          </w:tcPr>
          <w:p>
            <w:pPr>
              <w:jc w:val="right"/>
              <w:spacing w:after="0"/>
              <w:rPr>
                <w:sz w:val="20"/>
                <w:szCs w:val="20"/>
                <w:color w:val="auto"/>
              </w:rPr>
            </w:pPr>
            <w:r>
              <w:rPr>
                <w:rFonts w:ascii="Arial" w:cs="Arial" w:eastAsia="Arial" w:hAnsi="Arial"/>
                <w:sz w:val="15"/>
                <w:szCs w:val="15"/>
                <w:color w:val="auto"/>
              </w:rPr>
              <w:t>72,807</w:t>
            </w:r>
          </w:p>
        </w:tc>
      </w:tr>
      <w:tr>
        <w:trPr>
          <w:trHeight w:val="214"/>
        </w:trPr>
        <w:tc>
          <w:tcPr>
            <w:tcW w:w="38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Non-current income taxes payable</w:t>
            </w:r>
          </w:p>
        </w:tc>
        <w:tc>
          <w:tcPr>
            <w:tcW w:w="4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109,800</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103,251</w:t>
            </w:r>
          </w:p>
        </w:tc>
      </w:tr>
      <w:tr>
        <w:trPr>
          <w:trHeight w:val="229"/>
        </w:trPr>
        <w:tc>
          <w:tcPr>
            <w:tcW w:w="3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Deferred tax liability</w:t>
            </w:r>
          </w:p>
        </w:tc>
        <w:tc>
          <w:tcPr>
            <w:tcW w:w="480" w:type="dxa"/>
            <w:vAlign w:val="bottom"/>
          </w:tcPr>
          <w:p>
            <w:pPr>
              <w:spacing w:after="0"/>
              <w:rPr>
                <w:sz w:val="19"/>
                <w:szCs w:val="19"/>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680,944</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714,427</w:t>
            </w:r>
          </w:p>
        </w:tc>
      </w:tr>
      <w:tr>
        <w:trPr>
          <w:trHeight w:val="229"/>
        </w:trPr>
        <w:tc>
          <w:tcPr>
            <w:tcW w:w="3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Commitments and contingencies</w:t>
            </w:r>
          </w:p>
        </w:tc>
        <w:tc>
          <w:tcPr>
            <w:tcW w:w="480" w:type="dxa"/>
            <w:vAlign w:val="bottom"/>
          </w:tcPr>
          <w:p>
            <w:pPr>
              <w:spacing w:after="0"/>
              <w:rPr>
                <w:sz w:val="19"/>
                <w:szCs w:val="19"/>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0"/>
        </w:trPr>
        <w:tc>
          <w:tcPr>
            <w:tcW w:w="380" w:type="dxa"/>
            <w:vAlign w:val="bottom"/>
          </w:tcPr>
          <w:p>
            <w:pPr>
              <w:spacing w:after="0"/>
              <w:rPr>
                <w:sz w:val="5"/>
                <w:szCs w:val="5"/>
                <w:color w:val="auto"/>
              </w:rPr>
            </w:pPr>
          </w:p>
        </w:tc>
        <w:tc>
          <w:tcPr>
            <w:tcW w:w="4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29"/>
        </w:trPr>
        <w:tc>
          <w:tcPr>
            <w:tcW w:w="6120" w:type="dxa"/>
            <w:vAlign w:val="bottom"/>
            <w:gridSpan w:val="3"/>
            <w:shd w:val="clear" w:color="auto" w:fill="F3F8F7"/>
          </w:tcPr>
          <w:p>
            <w:pPr>
              <w:ind w:left="60"/>
              <w:spacing w:after="0"/>
              <w:rPr>
                <w:sz w:val="20"/>
                <w:szCs w:val="20"/>
                <w:color w:val="auto"/>
              </w:rPr>
            </w:pPr>
            <w:r>
              <w:rPr>
                <w:rFonts w:ascii="Arial" w:cs="Arial" w:eastAsia="Arial" w:hAnsi="Arial"/>
                <w:sz w:val="15"/>
                <w:szCs w:val="15"/>
                <w:b w:val="1"/>
                <w:bCs w:val="1"/>
                <w:color w:val="004750"/>
              </w:rPr>
              <w:t>Total Liabilities</w:t>
            </w:r>
          </w:p>
        </w:tc>
        <w:tc>
          <w:tcPr>
            <w:tcW w:w="480" w:type="dxa"/>
            <w:vAlign w:val="bottom"/>
            <w:shd w:val="clear" w:color="auto" w:fill="F3F8F7"/>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80" w:type="dxa"/>
            <w:vAlign w:val="bottom"/>
            <w:shd w:val="clear" w:color="auto" w:fill="F3F8F7"/>
          </w:tcPr>
          <w:p>
            <w:pPr>
              <w:jc w:val="right"/>
              <w:ind w:right="64"/>
              <w:spacing w:after="0"/>
              <w:rPr>
                <w:sz w:val="20"/>
                <w:szCs w:val="20"/>
                <w:color w:val="auto"/>
              </w:rPr>
            </w:pPr>
            <w:r>
              <w:rPr>
                <w:rFonts w:ascii="Arial" w:cs="Arial" w:eastAsia="Arial" w:hAnsi="Arial"/>
                <w:sz w:val="15"/>
                <w:szCs w:val="15"/>
                <w:b w:val="1"/>
                <w:bCs w:val="1"/>
                <w:color w:val="004750"/>
              </w:rPr>
              <w:t>7,115,013</w:t>
            </w:r>
          </w:p>
        </w:tc>
        <w:tc>
          <w:tcPr>
            <w:tcW w:w="440" w:type="dxa"/>
            <w:vAlign w:val="bottom"/>
            <w:shd w:val="clear" w:color="auto" w:fill="F3F8F7"/>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00" w:type="dxa"/>
            <w:vAlign w:val="bottom"/>
            <w:shd w:val="clear" w:color="auto" w:fill="F3F8F7"/>
          </w:tcPr>
          <w:p>
            <w:pPr>
              <w:jc w:val="right"/>
              <w:spacing w:after="0"/>
              <w:rPr>
                <w:sz w:val="20"/>
                <w:szCs w:val="20"/>
                <w:color w:val="auto"/>
              </w:rPr>
            </w:pPr>
            <w:r>
              <w:rPr>
                <w:rFonts w:ascii="Arial" w:cs="Arial" w:eastAsia="Arial" w:hAnsi="Arial"/>
                <w:sz w:val="15"/>
                <w:szCs w:val="15"/>
                <w:b w:val="1"/>
                <w:bCs w:val="1"/>
                <w:color w:val="004750"/>
              </w:rPr>
              <w:t>7,076,398</w:t>
            </w:r>
          </w:p>
        </w:tc>
      </w:tr>
      <w:tr>
        <w:trPr>
          <w:trHeight w:val="230"/>
        </w:trPr>
        <w:tc>
          <w:tcPr>
            <w:tcW w:w="3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120" w:type="dxa"/>
            <w:vAlign w:val="bottom"/>
            <w:gridSpan w:val="3"/>
            <w:shd w:val="clear" w:color="auto" w:fill="F3F8F7"/>
          </w:tcPr>
          <w:p>
            <w:pPr>
              <w:ind w:left="60"/>
              <w:spacing w:after="0"/>
              <w:rPr>
                <w:sz w:val="20"/>
                <w:szCs w:val="20"/>
                <w:color w:val="auto"/>
              </w:rPr>
            </w:pPr>
            <w:r>
              <w:rPr>
                <w:rFonts w:ascii="Arial" w:cs="Arial" w:eastAsia="Arial" w:hAnsi="Arial"/>
                <w:sz w:val="15"/>
                <w:szCs w:val="15"/>
                <w:b w:val="1"/>
                <w:bCs w:val="1"/>
                <w:color w:val="128474"/>
                <w:highlight w:val="white"/>
              </w:rPr>
              <w:t>Shareholders' Equity:</w:t>
            </w:r>
          </w:p>
        </w:tc>
        <w:tc>
          <w:tcPr>
            <w:tcW w:w="480" w:type="dxa"/>
            <w:vAlign w:val="bottom"/>
            <w:shd w:val="clear" w:color="auto" w:fill="F3F8F7"/>
          </w:tcPr>
          <w:p>
            <w:pPr>
              <w:spacing w:after="0"/>
              <w:rPr>
                <w:sz w:val="19"/>
                <w:szCs w:val="19"/>
                <w:color w:val="auto"/>
              </w:rPr>
            </w:pPr>
          </w:p>
        </w:tc>
        <w:tc>
          <w:tcPr>
            <w:tcW w:w="1180" w:type="dxa"/>
            <w:vAlign w:val="bottom"/>
            <w:shd w:val="clear" w:color="auto" w:fill="F3F8F7"/>
          </w:tcPr>
          <w:p>
            <w:pPr>
              <w:spacing w:after="0"/>
              <w:rPr>
                <w:sz w:val="19"/>
                <w:szCs w:val="19"/>
                <w:color w:val="auto"/>
              </w:rPr>
            </w:pPr>
          </w:p>
        </w:tc>
        <w:tc>
          <w:tcPr>
            <w:tcW w:w="440" w:type="dxa"/>
            <w:vAlign w:val="bottom"/>
            <w:shd w:val="clear" w:color="auto" w:fill="F3F8F7"/>
          </w:tcPr>
          <w:p>
            <w:pPr>
              <w:spacing w:after="0"/>
              <w:rPr>
                <w:sz w:val="19"/>
                <w:szCs w:val="19"/>
                <w:color w:val="auto"/>
              </w:rPr>
            </w:pPr>
          </w:p>
        </w:tc>
        <w:tc>
          <w:tcPr>
            <w:tcW w:w="1100" w:type="dxa"/>
            <w:vAlign w:val="bottom"/>
            <w:shd w:val="clear" w:color="auto" w:fill="F3F8F7"/>
          </w:tcPr>
          <w:p>
            <w:pPr>
              <w:spacing w:after="0"/>
              <w:rPr>
                <w:sz w:val="19"/>
                <w:szCs w:val="19"/>
                <w:color w:val="auto"/>
              </w:rPr>
            </w:pPr>
          </w:p>
        </w:tc>
      </w:tr>
      <w:tr>
        <w:trPr>
          <w:trHeight w:val="200"/>
        </w:trPr>
        <w:tc>
          <w:tcPr>
            <w:tcW w:w="38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Ordinary shares, par value 6 euro cents per share; 100,000,000 shares authorized,</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9"/>
        </w:trPr>
        <w:tc>
          <w:tcPr>
            <w:tcW w:w="380" w:type="dxa"/>
            <w:vAlign w:val="bottom"/>
            <w:tcBorders>
              <w:bottom w:val="single" w:sz="8" w:color="128474"/>
            </w:tcBorders>
          </w:tcPr>
          <w:p>
            <w:pPr>
              <w:spacing w:after="0"/>
              <w:rPr>
                <w:sz w:val="2"/>
                <w:szCs w:val="2"/>
                <w:color w:val="auto"/>
              </w:rPr>
            </w:pPr>
          </w:p>
        </w:tc>
        <w:tc>
          <w:tcPr>
            <w:tcW w:w="4780" w:type="dxa"/>
            <w:vAlign w:val="bottom"/>
            <w:tcBorders>
              <w:bottom w:val="single" w:sz="8" w:color="D0E6E3"/>
            </w:tcBorders>
          </w:tcPr>
          <w:p>
            <w:pPr>
              <w:spacing w:after="0"/>
              <w:rPr>
                <w:sz w:val="2"/>
                <w:szCs w:val="2"/>
                <w:color w:val="auto"/>
              </w:rPr>
            </w:pPr>
          </w:p>
        </w:tc>
        <w:tc>
          <w:tcPr>
            <w:tcW w:w="960" w:type="dxa"/>
            <w:vAlign w:val="bottom"/>
            <w:tcBorders>
              <w:bottom w:val="single" w:sz="8" w:color="128474"/>
            </w:tcBorders>
          </w:tcPr>
          <w:p>
            <w:pPr>
              <w:spacing w:after="0"/>
              <w:rPr>
                <w:sz w:val="2"/>
                <w:szCs w:val="2"/>
                <w:color w:val="auto"/>
              </w:rPr>
            </w:pPr>
          </w:p>
        </w:tc>
        <w:tc>
          <w:tcPr>
            <w:tcW w:w="480" w:type="dxa"/>
            <w:vAlign w:val="bottom"/>
            <w:tcBorders>
              <w:bottom w:val="single" w:sz="8" w:color="128474"/>
            </w:tcBorders>
          </w:tcPr>
          <w:p>
            <w:pPr>
              <w:spacing w:after="0"/>
              <w:rPr>
                <w:sz w:val="2"/>
                <w:szCs w:val="2"/>
                <w:color w:val="auto"/>
              </w:rPr>
            </w:pPr>
          </w:p>
        </w:tc>
        <w:tc>
          <w:tcPr>
            <w:tcW w:w="1180" w:type="dxa"/>
            <w:vAlign w:val="bottom"/>
            <w:tcBorders>
              <w:bottom w:val="single" w:sz="8" w:color="128474"/>
            </w:tcBorders>
          </w:tcPr>
          <w:p>
            <w:pPr>
              <w:spacing w:after="0"/>
              <w:rPr>
                <w:sz w:val="2"/>
                <w:szCs w:val="2"/>
                <w:color w:val="auto"/>
              </w:rPr>
            </w:pPr>
          </w:p>
        </w:tc>
        <w:tc>
          <w:tcPr>
            <w:tcW w:w="440" w:type="dxa"/>
            <w:vAlign w:val="bottom"/>
            <w:tcBorders>
              <w:bottom w:val="single" w:sz="8" w:color="128474"/>
            </w:tcBorders>
          </w:tcPr>
          <w:p>
            <w:pPr>
              <w:spacing w:after="0"/>
              <w:rPr>
                <w:sz w:val="2"/>
                <w:szCs w:val="2"/>
                <w:color w:val="auto"/>
              </w:rPr>
            </w:pPr>
          </w:p>
        </w:tc>
        <w:tc>
          <w:tcPr>
            <w:tcW w:w="1100" w:type="dxa"/>
            <w:vAlign w:val="bottom"/>
            <w:tcBorders>
              <w:bottom w:val="single" w:sz="8" w:color="128474"/>
            </w:tcBorders>
          </w:tcPr>
          <w:p>
            <w:pPr>
              <w:spacing w:after="0"/>
              <w:rPr>
                <w:sz w:val="2"/>
                <w:szCs w:val="2"/>
                <w:color w:val="auto"/>
              </w:rPr>
            </w:pPr>
          </w:p>
        </w:tc>
      </w:tr>
      <w:tr>
        <w:trPr>
          <w:trHeight w:val="189"/>
        </w:trPr>
        <w:tc>
          <w:tcPr>
            <w:tcW w:w="380" w:type="dxa"/>
            <w:vAlign w:val="bottom"/>
            <w:tcBorders>
              <w:bottom w:val="single" w:sz="8" w:color="D0E6E3"/>
            </w:tcBorders>
            <w:shd w:val="clear" w:color="auto" w:fill="D0E6E3"/>
          </w:tcPr>
          <w:p>
            <w:pPr>
              <w:spacing w:after="0"/>
              <w:rPr>
                <w:sz w:val="16"/>
                <w:szCs w:val="16"/>
                <w:color w:val="auto"/>
              </w:rPr>
            </w:pPr>
          </w:p>
        </w:tc>
        <w:tc>
          <w:tcPr>
            <w:tcW w:w="4780" w:type="dxa"/>
            <w:vAlign w:val="bottom"/>
            <w:tcBorders>
              <w:bottom w:val="single" w:sz="8" w:color="D0E6E3"/>
            </w:tcBorders>
            <w:shd w:val="clear" w:color="auto" w:fill="D0E6E3"/>
          </w:tcPr>
          <w:p>
            <w:pPr>
              <w:spacing w:after="0"/>
              <w:rPr>
                <w:sz w:val="20"/>
                <w:szCs w:val="20"/>
                <w:color w:val="auto"/>
              </w:rPr>
            </w:pPr>
            <w:r>
              <w:rPr>
                <w:rFonts w:ascii="Arial" w:cs="Arial" w:eastAsia="Arial" w:hAnsi="Arial"/>
                <w:sz w:val="15"/>
                <w:szCs w:val="15"/>
                <w:color w:val="auto"/>
                <w:highlight w:val="white"/>
              </w:rPr>
              <w:t>74,916,724 shares issued and outstanding at September 30, 2026 and</w:t>
            </w:r>
          </w:p>
        </w:tc>
        <w:tc>
          <w:tcPr>
            <w:tcW w:w="960" w:type="dxa"/>
            <w:vAlign w:val="bottom"/>
            <w:tcBorders>
              <w:bottom w:val="single" w:sz="8" w:color="D0E6E3"/>
            </w:tcBorders>
            <w:shd w:val="clear" w:color="auto" w:fill="D0E6E3"/>
          </w:tcPr>
          <w:p>
            <w:pPr>
              <w:spacing w:after="0"/>
              <w:rPr>
                <w:sz w:val="16"/>
                <w:szCs w:val="16"/>
                <w:color w:val="auto"/>
              </w:rPr>
            </w:pPr>
          </w:p>
        </w:tc>
        <w:tc>
          <w:tcPr>
            <w:tcW w:w="480" w:type="dxa"/>
            <w:vAlign w:val="bottom"/>
            <w:tcBorders>
              <w:bottom w:val="single" w:sz="8" w:color="D0E6E3"/>
            </w:tcBorders>
            <w:shd w:val="clear" w:color="auto" w:fill="D0E6E3"/>
          </w:tcPr>
          <w:p>
            <w:pPr>
              <w:spacing w:after="0"/>
              <w:rPr>
                <w:sz w:val="16"/>
                <w:szCs w:val="16"/>
                <w:color w:val="auto"/>
              </w:rPr>
            </w:pPr>
          </w:p>
        </w:tc>
        <w:tc>
          <w:tcPr>
            <w:tcW w:w="1180" w:type="dxa"/>
            <w:vAlign w:val="bottom"/>
            <w:tcBorders>
              <w:bottom w:val="single" w:sz="8" w:color="D0E6E3"/>
            </w:tcBorders>
            <w:shd w:val="clear" w:color="auto" w:fill="D0E6E3"/>
          </w:tcPr>
          <w:p>
            <w:pPr>
              <w:spacing w:after="0"/>
              <w:rPr>
                <w:sz w:val="16"/>
                <w:szCs w:val="16"/>
                <w:color w:val="auto"/>
              </w:rPr>
            </w:pPr>
          </w:p>
        </w:tc>
        <w:tc>
          <w:tcPr>
            <w:tcW w:w="440" w:type="dxa"/>
            <w:vAlign w:val="bottom"/>
            <w:tcBorders>
              <w:bottom w:val="single" w:sz="8" w:color="D0E6E3"/>
            </w:tcBorders>
            <w:shd w:val="clear" w:color="auto" w:fill="D0E6E3"/>
          </w:tcPr>
          <w:p>
            <w:pPr>
              <w:spacing w:after="0"/>
              <w:rPr>
                <w:sz w:val="16"/>
                <w:szCs w:val="16"/>
                <w:color w:val="auto"/>
              </w:rPr>
            </w:pPr>
          </w:p>
        </w:tc>
        <w:tc>
          <w:tcPr>
            <w:tcW w:w="1100" w:type="dxa"/>
            <w:vAlign w:val="bottom"/>
            <w:tcBorders>
              <w:bottom w:val="single" w:sz="8" w:color="D0E6E3"/>
            </w:tcBorders>
            <w:shd w:val="clear" w:color="auto" w:fill="D0E6E3"/>
          </w:tcPr>
          <w:p>
            <w:pPr>
              <w:spacing w:after="0"/>
              <w:rPr>
                <w:sz w:val="16"/>
                <w:szCs w:val="16"/>
                <w:color w:val="auto"/>
              </w:rPr>
            </w:pPr>
          </w:p>
        </w:tc>
      </w:tr>
      <w:tr>
        <w:trPr>
          <w:trHeight w:val="150"/>
        </w:trPr>
        <w:tc>
          <w:tcPr>
            <w:tcW w:w="380" w:type="dxa"/>
            <w:vAlign w:val="bottom"/>
          </w:tcPr>
          <w:p>
            <w:pPr>
              <w:spacing w:after="0"/>
              <w:rPr>
                <w:sz w:val="13"/>
                <w:szCs w:val="13"/>
                <w:color w:val="auto"/>
              </w:rPr>
            </w:pPr>
          </w:p>
        </w:tc>
        <w:tc>
          <w:tcPr>
            <w:tcW w:w="5740" w:type="dxa"/>
            <w:vAlign w:val="bottom"/>
            <w:gridSpan w:val="2"/>
          </w:tcPr>
          <w:p>
            <w:pPr>
              <w:spacing w:after="0" w:line="150" w:lineRule="exact"/>
              <w:rPr>
                <w:sz w:val="20"/>
                <w:szCs w:val="20"/>
                <w:color w:val="auto"/>
              </w:rPr>
            </w:pPr>
            <w:r>
              <w:rPr>
                <w:rFonts w:ascii="Arial" w:cs="Arial" w:eastAsia="Arial" w:hAnsi="Arial"/>
                <w:sz w:val="15"/>
                <w:szCs w:val="15"/>
                <w:color w:val="auto"/>
                <w:highlight w:val="white"/>
              </w:rPr>
              <w:t>76,567,325 shares issued and outstanding at December 31, 2025</w:t>
            </w:r>
          </w:p>
        </w:tc>
        <w:tc>
          <w:tcPr>
            <w:tcW w:w="480" w:type="dxa"/>
            <w:vAlign w:val="bottom"/>
          </w:tcPr>
          <w:p>
            <w:pPr>
              <w:spacing w:after="0"/>
              <w:rPr>
                <w:sz w:val="13"/>
                <w:szCs w:val="13"/>
                <w:color w:val="auto"/>
              </w:rPr>
            </w:pPr>
          </w:p>
        </w:tc>
        <w:tc>
          <w:tcPr>
            <w:tcW w:w="1180" w:type="dxa"/>
            <w:vAlign w:val="bottom"/>
          </w:tcPr>
          <w:p>
            <w:pPr>
              <w:jc w:val="right"/>
              <w:ind w:right="64"/>
              <w:spacing w:after="0" w:line="150" w:lineRule="exact"/>
              <w:rPr>
                <w:sz w:val="20"/>
                <w:szCs w:val="20"/>
                <w:color w:val="auto"/>
              </w:rPr>
            </w:pPr>
            <w:r>
              <w:rPr>
                <w:rFonts w:ascii="Arial" w:cs="Arial" w:eastAsia="Arial" w:hAnsi="Arial"/>
                <w:sz w:val="15"/>
                <w:szCs w:val="15"/>
                <w:color w:val="auto"/>
              </w:rPr>
              <w:t>6,189</w:t>
            </w:r>
          </w:p>
        </w:tc>
        <w:tc>
          <w:tcPr>
            <w:tcW w:w="44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6,305</w:t>
            </w:r>
          </w:p>
        </w:tc>
      </w:tr>
      <w:tr>
        <w:trPr>
          <w:trHeight w:val="258"/>
        </w:trPr>
        <w:tc>
          <w:tcPr>
            <w:tcW w:w="380" w:type="dxa"/>
            <w:vAlign w:val="bottom"/>
          </w:tcPr>
          <w:p>
            <w:pPr>
              <w:spacing w:after="0"/>
              <w:rPr>
                <w:sz w:val="22"/>
                <w:szCs w:val="22"/>
                <w:color w:val="auto"/>
              </w:rPr>
            </w:pPr>
          </w:p>
        </w:tc>
        <w:tc>
          <w:tcPr>
            <w:tcW w:w="5740" w:type="dxa"/>
            <w:vAlign w:val="bottom"/>
            <w:gridSpan w:val="2"/>
          </w:tcPr>
          <w:p>
            <w:pPr>
              <w:spacing w:after="0" w:line="173" w:lineRule="exact"/>
              <w:rPr>
                <w:sz w:val="20"/>
                <w:szCs w:val="20"/>
                <w:color w:val="auto"/>
              </w:rPr>
            </w:pPr>
            <w:r>
              <w:rPr>
                <w:rFonts w:ascii="Arial" w:cs="Arial" w:eastAsia="Arial" w:hAnsi="Arial"/>
                <w:sz w:val="15"/>
                <w:szCs w:val="15"/>
                <w:color w:val="auto"/>
              </w:rPr>
              <w:t>Additional paid</w:t>
            </w:r>
            <w:r>
              <w:rPr>
                <w:rFonts w:ascii="MS PGothic" w:cs="MS PGothic" w:eastAsia="MS PGothic" w:hAnsi="MS PGothic"/>
                <w:sz w:val="15"/>
                <w:szCs w:val="15"/>
                <w:color w:val="auto"/>
              </w:rPr>
              <w:t>‑</w:t>
            </w:r>
            <w:r>
              <w:rPr>
                <w:rFonts w:ascii="Arial" w:cs="Arial" w:eastAsia="Arial" w:hAnsi="Arial"/>
                <w:sz w:val="15"/>
                <w:szCs w:val="15"/>
                <w:color w:val="auto"/>
              </w:rPr>
              <w:t>in capital</w:t>
            </w:r>
          </w:p>
        </w:tc>
        <w:tc>
          <w:tcPr>
            <w:tcW w:w="480" w:type="dxa"/>
            <w:vAlign w:val="bottom"/>
          </w:tcPr>
          <w:p>
            <w:pPr>
              <w:spacing w:after="0"/>
              <w:rPr>
                <w:sz w:val="22"/>
                <w:szCs w:val="22"/>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7,208,291</w:t>
            </w: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7,131,956</w:t>
            </w:r>
          </w:p>
        </w:tc>
      </w:tr>
      <w:tr>
        <w:trPr>
          <w:trHeight w:val="221"/>
        </w:trPr>
        <w:tc>
          <w:tcPr>
            <w:tcW w:w="3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Other undenominated capital</w:t>
            </w:r>
          </w:p>
        </w:tc>
        <w:tc>
          <w:tcPr>
            <w:tcW w:w="480" w:type="dxa"/>
            <w:vAlign w:val="bottom"/>
          </w:tcPr>
          <w:p>
            <w:pPr>
              <w:spacing w:after="0"/>
              <w:rPr>
                <w:sz w:val="19"/>
                <w:szCs w:val="19"/>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1,771</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1,606</w:t>
            </w:r>
          </w:p>
        </w:tc>
      </w:tr>
      <w:tr>
        <w:trPr>
          <w:trHeight w:val="60"/>
        </w:trPr>
        <w:tc>
          <w:tcPr>
            <w:tcW w:w="380" w:type="dxa"/>
            <w:vAlign w:val="bottom"/>
          </w:tcPr>
          <w:p>
            <w:pPr>
              <w:spacing w:after="0"/>
              <w:rPr>
                <w:sz w:val="5"/>
                <w:szCs w:val="5"/>
                <w:color w:val="auto"/>
              </w:rPr>
            </w:pPr>
          </w:p>
        </w:tc>
        <w:tc>
          <w:tcPr>
            <w:tcW w:w="4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0"/>
        </w:trPr>
        <w:tc>
          <w:tcPr>
            <w:tcW w:w="380" w:type="dxa"/>
            <w:vAlign w:val="bottom"/>
            <w:tcBorders>
              <w:bottom w:val="single" w:sz="8" w:color="F3F8F7"/>
            </w:tcBorders>
            <w:shd w:val="clear" w:color="auto" w:fill="F3F8F7"/>
          </w:tcPr>
          <w:p>
            <w:pPr>
              <w:spacing w:after="0"/>
              <w:rPr>
                <w:sz w:val="18"/>
                <w:szCs w:val="18"/>
                <w:color w:val="auto"/>
              </w:rPr>
            </w:pPr>
          </w:p>
        </w:tc>
        <w:tc>
          <w:tcPr>
            <w:tcW w:w="5740" w:type="dxa"/>
            <w:vAlign w:val="bottom"/>
            <w:tcBorders>
              <w:bottom w:val="single" w:sz="8" w:color="F3F8F7"/>
            </w:tcBorders>
            <w:gridSpan w:val="2"/>
            <w:shd w:val="clear" w:color="auto" w:fill="F3F8F7"/>
          </w:tcPr>
          <w:p>
            <w:pPr>
              <w:spacing w:after="0"/>
              <w:rPr>
                <w:sz w:val="20"/>
                <w:szCs w:val="20"/>
                <w:color w:val="auto"/>
              </w:rPr>
            </w:pPr>
            <w:r>
              <w:rPr>
                <w:rFonts w:ascii="Arial" w:cs="Arial" w:eastAsia="Arial" w:hAnsi="Arial"/>
                <w:sz w:val="15"/>
                <w:szCs w:val="15"/>
                <w:color w:val="auto"/>
              </w:rPr>
              <w:t>Accumulated other comprehensive loss</w:t>
            </w:r>
          </w:p>
        </w:tc>
        <w:tc>
          <w:tcPr>
            <w:tcW w:w="480" w:type="dxa"/>
            <w:vAlign w:val="bottom"/>
            <w:tcBorders>
              <w:bottom w:val="single" w:sz="8" w:color="F3F8F7"/>
            </w:tcBorders>
            <w:shd w:val="clear" w:color="auto" w:fill="F3F8F7"/>
          </w:tcPr>
          <w:p>
            <w:pPr>
              <w:spacing w:after="0"/>
              <w:rPr>
                <w:sz w:val="18"/>
                <w:szCs w:val="18"/>
                <w:color w:val="auto"/>
              </w:rPr>
            </w:pPr>
          </w:p>
        </w:tc>
        <w:tc>
          <w:tcPr>
            <w:tcW w:w="1180" w:type="dxa"/>
            <w:vAlign w:val="bottom"/>
            <w:tcBorders>
              <w:bottom w:val="single" w:sz="8" w:color="F3F8F7"/>
            </w:tcBorders>
            <w:shd w:val="clear" w:color="auto" w:fill="F3F8F7"/>
          </w:tcPr>
          <w:p>
            <w:pPr>
              <w:jc w:val="right"/>
              <w:ind w:right="24"/>
              <w:spacing w:after="0"/>
              <w:rPr>
                <w:sz w:val="20"/>
                <w:szCs w:val="20"/>
                <w:color w:val="auto"/>
              </w:rPr>
            </w:pPr>
            <w:r>
              <w:rPr>
                <w:rFonts w:ascii="Arial" w:cs="Arial" w:eastAsia="Arial" w:hAnsi="Arial"/>
                <w:sz w:val="15"/>
                <w:szCs w:val="15"/>
                <w:color w:val="auto"/>
              </w:rPr>
              <w:t>(110,352)</w:t>
            </w:r>
          </w:p>
        </w:tc>
        <w:tc>
          <w:tcPr>
            <w:tcW w:w="440" w:type="dxa"/>
            <w:vAlign w:val="bottom"/>
            <w:tcBorders>
              <w:bottom w:val="single" w:sz="8" w:color="F3F8F7"/>
            </w:tcBorders>
            <w:shd w:val="clear" w:color="auto" w:fill="F3F8F7"/>
          </w:tcPr>
          <w:p>
            <w:pPr>
              <w:spacing w:after="0"/>
              <w:rPr>
                <w:sz w:val="18"/>
                <w:szCs w:val="18"/>
                <w:color w:val="auto"/>
              </w:rPr>
            </w:pPr>
          </w:p>
        </w:tc>
        <w:tc>
          <w:tcPr>
            <w:tcW w:w="1100" w:type="dxa"/>
            <w:vAlign w:val="bottom"/>
            <w:tcBorders>
              <w:bottom w:val="single" w:sz="8" w:color="F3F8F7"/>
            </w:tcBorders>
            <w:shd w:val="clear" w:color="auto" w:fill="F3F8F7"/>
          </w:tcPr>
          <w:p>
            <w:pPr>
              <w:jc w:val="right"/>
              <w:spacing w:after="0"/>
              <w:rPr>
                <w:sz w:val="20"/>
                <w:szCs w:val="20"/>
                <w:color w:val="auto"/>
              </w:rPr>
            </w:pPr>
            <w:r>
              <w:rPr>
                <w:rFonts w:ascii="Arial" w:cs="Arial" w:eastAsia="Arial" w:hAnsi="Arial"/>
                <w:sz w:val="15"/>
                <w:szCs w:val="15"/>
                <w:color w:val="auto"/>
              </w:rPr>
              <w:t>(68,534)</w:t>
            </w:r>
          </w:p>
        </w:tc>
      </w:tr>
      <w:tr>
        <w:trPr>
          <w:trHeight w:val="200"/>
        </w:trPr>
        <w:tc>
          <w:tcPr>
            <w:tcW w:w="38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Retained earnings</w:t>
            </w:r>
          </w:p>
        </w:tc>
        <w:tc>
          <w:tcPr>
            <w:tcW w:w="48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2,021,420</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2,122,051</w:t>
            </w:r>
          </w:p>
        </w:tc>
      </w:tr>
      <w:tr>
        <w:trPr>
          <w:trHeight w:val="29"/>
        </w:trPr>
        <w:tc>
          <w:tcPr>
            <w:tcW w:w="3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120" w:type="dxa"/>
            <w:vAlign w:val="bottom"/>
            <w:gridSpan w:val="3"/>
            <w:shd w:val="clear" w:color="auto" w:fill="F3F8F7"/>
          </w:tcPr>
          <w:p>
            <w:pPr>
              <w:ind w:left="60"/>
              <w:spacing w:after="0"/>
              <w:rPr>
                <w:sz w:val="20"/>
                <w:szCs w:val="20"/>
                <w:color w:val="auto"/>
              </w:rPr>
            </w:pPr>
            <w:r>
              <w:rPr>
                <w:rFonts w:ascii="Arial" w:cs="Arial" w:eastAsia="Arial" w:hAnsi="Arial"/>
                <w:sz w:val="15"/>
                <w:szCs w:val="15"/>
                <w:b w:val="1"/>
                <w:bCs w:val="1"/>
                <w:color w:val="004750"/>
              </w:rPr>
              <w:t>Total Shareholders' Equity</w:t>
            </w:r>
          </w:p>
        </w:tc>
        <w:tc>
          <w:tcPr>
            <w:tcW w:w="480" w:type="dxa"/>
            <w:vAlign w:val="bottom"/>
            <w:shd w:val="clear" w:color="auto" w:fill="F3F8F7"/>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80" w:type="dxa"/>
            <w:vAlign w:val="bottom"/>
            <w:shd w:val="clear" w:color="auto" w:fill="F3F8F7"/>
          </w:tcPr>
          <w:p>
            <w:pPr>
              <w:jc w:val="right"/>
              <w:ind w:right="64"/>
              <w:spacing w:after="0"/>
              <w:rPr>
                <w:sz w:val="20"/>
                <w:szCs w:val="20"/>
                <w:color w:val="auto"/>
              </w:rPr>
            </w:pPr>
            <w:r>
              <w:rPr>
                <w:rFonts w:ascii="Arial" w:cs="Arial" w:eastAsia="Arial" w:hAnsi="Arial"/>
                <w:sz w:val="15"/>
                <w:szCs w:val="15"/>
                <w:b w:val="1"/>
                <w:bCs w:val="1"/>
                <w:color w:val="004750"/>
              </w:rPr>
              <w:t>9,127,319</w:t>
            </w:r>
          </w:p>
        </w:tc>
        <w:tc>
          <w:tcPr>
            <w:tcW w:w="440" w:type="dxa"/>
            <w:vAlign w:val="bottom"/>
            <w:shd w:val="clear" w:color="auto" w:fill="F3F8F7"/>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00" w:type="dxa"/>
            <w:vAlign w:val="bottom"/>
            <w:shd w:val="clear" w:color="auto" w:fill="F3F8F7"/>
          </w:tcPr>
          <w:p>
            <w:pPr>
              <w:jc w:val="right"/>
              <w:spacing w:after="0"/>
              <w:rPr>
                <w:sz w:val="20"/>
                <w:szCs w:val="20"/>
                <w:color w:val="auto"/>
              </w:rPr>
            </w:pPr>
            <w:r>
              <w:rPr>
                <w:rFonts w:ascii="Arial" w:cs="Arial" w:eastAsia="Arial" w:hAnsi="Arial"/>
                <w:sz w:val="15"/>
                <w:szCs w:val="15"/>
                <w:b w:val="1"/>
                <w:bCs w:val="1"/>
                <w:color w:val="004750"/>
              </w:rPr>
              <w:t>9,193,384</w:t>
            </w:r>
          </w:p>
        </w:tc>
      </w:tr>
      <w:tr>
        <w:trPr>
          <w:trHeight w:val="220"/>
        </w:trPr>
        <w:tc>
          <w:tcPr>
            <w:tcW w:w="6120" w:type="dxa"/>
            <w:vAlign w:val="bottom"/>
            <w:gridSpan w:val="3"/>
          </w:tcPr>
          <w:p>
            <w:pPr>
              <w:ind w:left="60"/>
              <w:spacing w:after="0"/>
              <w:rPr>
                <w:sz w:val="20"/>
                <w:szCs w:val="20"/>
                <w:color w:val="auto"/>
              </w:rPr>
            </w:pPr>
            <w:r>
              <w:rPr>
                <w:rFonts w:ascii="Arial" w:cs="Arial" w:eastAsia="Arial" w:hAnsi="Arial"/>
                <w:sz w:val="15"/>
                <w:szCs w:val="15"/>
                <w:b w:val="1"/>
                <w:bCs w:val="1"/>
                <w:color w:val="004750"/>
              </w:rPr>
              <w:t>Total Liabilities and Shareholders' Equity</w:t>
            </w:r>
          </w:p>
        </w:tc>
        <w:tc>
          <w:tcPr>
            <w:tcW w:w="480" w:type="dxa"/>
            <w:vAlign w:val="bottom"/>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80" w:type="dxa"/>
            <w:vAlign w:val="bottom"/>
          </w:tcPr>
          <w:p>
            <w:pPr>
              <w:jc w:val="right"/>
              <w:ind w:right="64"/>
              <w:spacing w:after="0"/>
              <w:rPr>
                <w:sz w:val="20"/>
                <w:szCs w:val="20"/>
                <w:color w:val="auto"/>
              </w:rPr>
            </w:pPr>
            <w:r>
              <w:rPr>
                <w:rFonts w:ascii="Arial" w:cs="Arial" w:eastAsia="Arial" w:hAnsi="Arial"/>
                <w:sz w:val="15"/>
                <w:szCs w:val="15"/>
                <w:b w:val="1"/>
                <w:bCs w:val="1"/>
                <w:color w:val="004750"/>
              </w:rPr>
              <w:t>16,242,332</w:t>
            </w:r>
          </w:p>
        </w:tc>
        <w:tc>
          <w:tcPr>
            <w:tcW w:w="440" w:type="dxa"/>
            <w:vAlign w:val="bottom"/>
          </w:tcPr>
          <w:p>
            <w:pPr>
              <w:jc w:val="right"/>
              <w:ind w:right="184"/>
              <w:spacing w:after="0"/>
              <w:rPr>
                <w:sz w:val="20"/>
                <w:szCs w:val="20"/>
                <w:color w:val="auto"/>
              </w:rPr>
            </w:pPr>
            <w:r>
              <w:rPr>
                <w:rFonts w:ascii="Arial" w:cs="Arial" w:eastAsia="Arial" w:hAnsi="Arial"/>
                <w:sz w:val="15"/>
                <w:szCs w:val="15"/>
                <w:b w:val="1"/>
                <w:bCs w:val="1"/>
                <w:color w:val="004750"/>
              </w:rPr>
              <w:t>$</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004750"/>
              </w:rPr>
              <w:t>16,269,782</w:t>
            </w:r>
          </w:p>
        </w:tc>
      </w:tr>
      <w:tr>
        <w:trPr>
          <w:trHeight w:val="239"/>
        </w:trPr>
        <w:tc>
          <w:tcPr>
            <w:tcW w:w="380" w:type="dxa"/>
            <w:vAlign w:val="bottom"/>
            <w:tcBorders>
              <w:bottom w:val="single" w:sz="8" w:color="128474"/>
            </w:tcBorders>
            <w:shd w:val="clear" w:color="auto" w:fill="F3F8F7"/>
          </w:tcPr>
          <w:p>
            <w:pPr>
              <w:spacing w:after="0"/>
              <w:rPr>
                <w:sz w:val="20"/>
                <w:szCs w:val="20"/>
                <w:color w:val="auto"/>
              </w:rPr>
            </w:pPr>
          </w:p>
        </w:tc>
        <w:tc>
          <w:tcPr>
            <w:tcW w:w="4780" w:type="dxa"/>
            <w:vAlign w:val="bottom"/>
            <w:tcBorders>
              <w:bottom w:val="single" w:sz="8" w:color="128474"/>
            </w:tcBorders>
            <w:shd w:val="clear" w:color="auto" w:fill="F3F8F7"/>
          </w:tcPr>
          <w:p>
            <w:pPr>
              <w:spacing w:after="0"/>
              <w:rPr>
                <w:sz w:val="20"/>
                <w:szCs w:val="20"/>
                <w:color w:val="auto"/>
              </w:rPr>
            </w:pPr>
          </w:p>
        </w:tc>
        <w:tc>
          <w:tcPr>
            <w:tcW w:w="960" w:type="dxa"/>
            <w:vAlign w:val="bottom"/>
            <w:tcBorders>
              <w:bottom w:val="single" w:sz="8" w:color="128474"/>
            </w:tcBorders>
            <w:shd w:val="clear" w:color="auto" w:fill="F3F8F7"/>
          </w:tcPr>
          <w:p>
            <w:pPr>
              <w:spacing w:after="0"/>
              <w:rPr>
                <w:sz w:val="20"/>
                <w:szCs w:val="20"/>
                <w:color w:val="auto"/>
              </w:rPr>
            </w:pPr>
          </w:p>
        </w:tc>
        <w:tc>
          <w:tcPr>
            <w:tcW w:w="480" w:type="dxa"/>
            <w:vAlign w:val="bottom"/>
            <w:tcBorders>
              <w:bottom w:val="single" w:sz="8" w:color="128474"/>
            </w:tcBorders>
            <w:shd w:val="clear" w:color="auto" w:fill="F3F8F7"/>
          </w:tcPr>
          <w:p>
            <w:pPr>
              <w:spacing w:after="0"/>
              <w:rPr>
                <w:sz w:val="20"/>
                <w:szCs w:val="20"/>
                <w:color w:val="auto"/>
              </w:rPr>
            </w:pPr>
          </w:p>
        </w:tc>
        <w:tc>
          <w:tcPr>
            <w:tcW w:w="1180" w:type="dxa"/>
            <w:vAlign w:val="bottom"/>
            <w:tcBorders>
              <w:bottom w:val="single" w:sz="8" w:color="128474"/>
            </w:tcBorders>
            <w:shd w:val="clear" w:color="auto" w:fill="F3F8F7"/>
          </w:tcPr>
          <w:p>
            <w:pPr>
              <w:spacing w:after="0"/>
              <w:rPr>
                <w:sz w:val="20"/>
                <w:szCs w:val="20"/>
                <w:color w:val="auto"/>
              </w:rPr>
            </w:pPr>
          </w:p>
        </w:tc>
        <w:tc>
          <w:tcPr>
            <w:tcW w:w="440" w:type="dxa"/>
            <w:vAlign w:val="bottom"/>
            <w:tcBorders>
              <w:bottom w:val="single" w:sz="8" w:color="128474"/>
            </w:tcBorders>
            <w:shd w:val="clear" w:color="auto" w:fill="F3F8F7"/>
          </w:tcPr>
          <w:p>
            <w:pPr>
              <w:spacing w:after="0"/>
              <w:rPr>
                <w:sz w:val="20"/>
                <w:szCs w:val="20"/>
                <w:color w:val="auto"/>
              </w:rPr>
            </w:pPr>
          </w:p>
        </w:tc>
        <w:tc>
          <w:tcPr>
            <w:tcW w:w="1100" w:type="dxa"/>
            <w:vAlign w:val="bottom"/>
            <w:tcBorders>
              <w:bottom w:val="single" w:sz="8" w:color="128474"/>
            </w:tcBorders>
            <w:shd w:val="clear" w:color="auto" w:fill="F3F8F7"/>
          </w:tcPr>
          <w:p>
            <w:pPr>
              <w:spacing w:after="0"/>
              <w:rPr>
                <w:sz w:val="20"/>
                <w:szCs w:val="20"/>
                <w:color w:val="auto"/>
              </w:rPr>
            </w:pPr>
          </w:p>
        </w:tc>
      </w:tr>
      <w:tr>
        <w:trPr>
          <w:trHeight w:val="209"/>
        </w:trPr>
        <w:tc>
          <w:tcPr>
            <w:tcW w:w="380" w:type="dxa"/>
            <w:vAlign w:val="bottom"/>
            <w:tcBorders>
              <w:bottom w:val="single" w:sz="8" w:color="auto"/>
            </w:tcBorders>
            <w:shd w:val="clear" w:color="auto" w:fill="D0E6E3"/>
          </w:tcPr>
          <w:p>
            <w:pPr>
              <w:spacing w:after="0"/>
              <w:rPr>
                <w:sz w:val="18"/>
                <w:szCs w:val="18"/>
                <w:color w:val="auto"/>
              </w:rPr>
            </w:pPr>
          </w:p>
        </w:tc>
        <w:tc>
          <w:tcPr>
            <w:tcW w:w="4780" w:type="dxa"/>
            <w:vAlign w:val="bottom"/>
            <w:tcBorders>
              <w:bottom w:val="single" w:sz="8" w:color="auto"/>
            </w:tcBorders>
            <w:shd w:val="clear" w:color="auto" w:fill="D0E6E3"/>
          </w:tcPr>
          <w:p>
            <w:pPr>
              <w:spacing w:after="0"/>
              <w:rPr>
                <w:sz w:val="18"/>
                <w:szCs w:val="18"/>
                <w:color w:val="auto"/>
              </w:rPr>
            </w:pPr>
          </w:p>
        </w:tc>
        <w:tc>
          <w:tcPr>
            <w:tcW w:w="960" w:type="dxa"/>
            <w:vAlign w:val="bottom"/>
            <w:tcBorders>
              <w:bottom w:val="single" w:sz="8" w:color="auto"/>
            </w:tcBorders>
            <w:shd w:val="clear" w:color="auto" w:fill="D0E6E3"/>
          </w:tcPr>
          <w:p>
            <w:pPr>
              <w:spacing w:after="0"/>
              <w:rPr>
                <w:sz w:val="18"/>
                <w:szCs w:val="18"/>
                <w:color w:val="auto"/>
              </w:rPr>
            </w:pPr>
          </w:p>
        </w:tc>
        <w:tc>
          <w:tcPr>
            <w:tcW w:w="480" w:type="dxa"/>
            <w:vAlign w:val="bottom"/>
            <w:tcBorders>
              <w:bottom w:val="single" w:sz="8" w:color="auto"/>
            </w:tcBorders>
            <w:shd w:val="clear" w:color="auto" w:fill="D0E6E3"/>
          </w:tcPr>
          <w:p>
            <w:pPr>
              <w:spacing w:after="0"/>
              <w:rPr>
                <w:sz w:val="18"/>
                <w:szCs w:val="18"/>
                <w:color w:val="auto"/>
              </w:rPr>
            </w:pPr>
          </w:p>
        </w:tc>
        <w:tc>
          <w:tcPr>
            <w:tcW w:w="1180" w:type="dxa"/>
            <w:vAlign w:val="bottom"/>
            <w:tcBorders>
              <w:bottom w:val="single" w:sz="8" w:color="auto"/>
            </w:tcBorders>
            <w:shd w:val="clear" w:color="auto" w:fill="D0E6E3"/>
          </w:tcPr>
          <w:p>
            <w:pPr>
              <w:spacing w:after="0"/>
              <w:rPr>
                <w:sz w:val="18"/>
                <w:szCs w:val="18"/>
                <w:color w:val="auto"/>
              </w:rPr>
            </w:pPr>
          </w:p>
        </w:tc>
        <w:tc>
          <w:tcPr>
            <w:tcW w:w="440" w:type="dxa"/>
            <w:vAlign w:val="bottom"/>
            <w:tcBorders>
              <w:bottom w:val="single" w:sz="8" w:color="auto"/>
            </w:tcBorders>
            <w:shd w:val="clear" w:color="auto" w:fill="D0E6E3"/>
          </w:tcPr>
          <w:p>
            <w:pPr>
              <w:spacing w:after="0"/>
              <w:rPr>
                <w:sz w:val="18"/>
                <w:szCs w:val="18"/>
                <w:color w:val="auto"/>
              </w:rPr>
            </w:pPr>
          </w:p>
        </w:tc>
        <w:tc>
          <w:tcPr>
            <w:tcW w:w="1100" w:type="dxa"/>
            <w:vAlign w:val="bottom"/>
            <w:tcBorders>
              <w:bottom w:val="single" w:sz="8" w:color="auto"/>
            </w:tcBorders>
            <w:shd w:val="clear" w:color="auto" w:fill="D0E6E3"/>
          </w:tcPr>
          <w:p>
            <w:pPr>
              <w:spacing w:after="0"/>
              <w:rPr>
                <w:sz w:val="18"/>
                <w:szCs w:val="18"/>
                <w:color w:val="auto"/>
              </w:rPr>
            </w:pP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128474"/>
        </w:rPr>
        <w:t>ICON plc</w:t>
      </w:r>
    </w:p>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04750"/>
        </w:rPr>
        <w:t>CONDENSED CONSOLIDATED STATEMENTS OF CASH FLOWS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6A696D"/>
        </w:rPr>
        <w:t>FOR THE NINE MONTHS ENDED SEPTEMBER 30, 2026 AND SEPTEMBER 30, 2025</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6A696D"/>
        </w:rPr>
        <w:t>(UNAUDITED)</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FFFFFF"/>
              </w:rPr>
              <w:t>September 30,</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FFFFFF"/>
              </w:rPr>
              <w:t>September 30,</w:t>
            </w:r>
          </w:p>
        </w:tc>
      </w:tr>
      <w:tr>
        <w:trPr>
          <w:trHeight w:val="210"/>
        </w:trPr>
        <w:tc>
          <w:tcPr>
            <w:tcW w:w="6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b w:val="1"/>
                <w:bCs w:val="1"/>
                <w:color w:val="FFFFFF"/>
              </w:rPr>
              <w:t>2026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FFFFFF"/>
              </w:rPr>
              <w:t>2025</w:t>
            </w:r>
          </w:p>
        </w:tc>
      </w:tr>
      <w:tr>
        <w:trPr>
          <w:trHeight w:val="216"/>
        </w:trPr>
        <w:tc>
          <w:tcPr>
            <w:tcW w:w="6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00" w:type="dxa"/>
            <w:vAlign w:val="bottom"/>
            <w:gridSpan w:val="3"/>
          </w:tcPr>
          <w:p>
            <w:pPr>
              <w:jc w:val="right"/>
              <w:ind w:right="824"/>
              <w:spacing w:after="0"/>
              <w:rPr>
                <w:sz w:val="20"/>
                <w:szCs w:val="20"/>
                <w:color w:val="auto"/>
              </w:rPr>
            </w:pPr>
            <w:r>
              <w:rPr>
                <w:rFonts w:ascii="Arial" w:cs="Arial" w:eastAsia="Arial" w:hAnsi="Arial"/>
                <w:sz w:val="15"/>
                <w:szCs w:val="15"/>
                <w:b w:val="1"/>
                <w:bCs w:val="1"/>
                <w:color w:val="FFFFFF"/>
              </w:rPr>
              <w:t>(in thousands)</w:t>
            </w:r>
          </w:p>
        </w:tc>
      </w:tr>
      <w:tr>
        <w:trPr>
          <w:trHeight w:val="229"/>
        </w:trPr>
        <w:tc>
          <w:tcPr>
            <w:tcW w:w="6180" w:type="dxa"/>
            <w:vAlign w:val="bottom"/>
          </w:tcPr>
          <w:p>
            <w:pPr>
              <w:spacing w:after="0"/>
              <w:rPr>
                <w:sz w:val="20"/>
                <w:szCs w:val="20"/>
                <w:color w:val="auto"/>
              </w:rPr>
            </w:pPr>
            <w:r>
              <w:rPr>
                <w:rFonts w:ascii="Arial" w:cs="Arial" w:eastAsia="Arial" w:hAnsi="Arial"/>
                <w:sz w:val="15"/>
                <w:szCs w:val="15"/>
                <w:b w:val="1"/>
                <w:bCs w:val="1"/>
                <w:color w:val="128474"/>
              </w:rPr>
              <w:t>Cash flows provided by operating activities:</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5"/>
        </w:trPr>
        <w:tc>
          <w:tcPr>
            <w:tcW w:w="61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299,463</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80,145</w:t>
            </w:r>
          </w:p>
        </w:tc>
      </w:tr>
      <w:tr>
        <w:trPr>
          <w:trHeight w:val="454"/>
        </w:trPr>
        <w:tc>
          <w:tcPr>
            <w:tcW w:w="6180" w:type="dxa"/>
            <w:vAlign w:val="bottom"/>
          </w:tcPr>
          <w:p>
            <w:pPr>
              <w:ind w:left="20"/>
              <w:spacing w:after="0"/>
              <w:rPr>
                <w:sz w:val="20"/>
                <w:szCs w:val="20"/>
                <w:color w:val="auto"/>
              </w:rPr>
            </w:pPr>
            <w:r>
              <w:rPr>
                <w:rFonts w:ascii="Arial" w:cs="Arial" w:eastAsia="Arial" w:hAnsi="Arial"/>
                <w:sz w:val="15"/>
                <w:szCs w:val="15"/>
                <w:b w:val="1"/>
                <w:bCs w:val="1"/>
                <w:color w:val="128474"/>
              </w:rPr>
              <w:t>Adjustments to reconcile net income to net cash provided by operating activities: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5"/>
        </w:trPr>
        <w:tc>
          <w:tcPr>
            <w:tcW w:w="6180" w:type="dxa"/>
            <w:vAlign w:val="bottom"/>
          </w:tcPr>
          <w:p>
            <w:pPr>
              <w:ind w:left="120"/>
              <w:spacing w:after="0"/>
              <w:rPr>
                <w:sz w:val="20"/>
                <w:szCs w:val="20"/>
                <w:color w:val="auto"/>
              </w:rPr>
            </w:pPr>
            <w:r>
              <w:rPr>
                <w:rFonts w:ascii="Arial" w:cs="Arial" w:eastAsia="Arial" w:hAnsi="Arial"/>
                <w:sz w:val="15"/>
                <w:szCs w:val="15"/>
                <w:color w:val="auto"/>
              </w:rPr>
              <w:t>Depreciation and amortization of intangible assets</w:t>
            </w:r>
          </w:p>
        </w:tc>
        <w:tc>
          <w:tcPr>
            <w:tcW w:w="460" w:type="dxa"/>
            <w:vAlign w:val="bottom"/>
          </w:tcPr>
          <w:p>
            <w:pPr>
              <w:spacing w:after="0"/>
              <w:rPr>
                <w:sz w:val="20"/>
                <w:szCs w:val="20"/>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275,520</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292,706</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Goodwill impairment</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364,248</w:t>
            </w:r>
          </w:p>
        </w:tc>
      </w:tr>
      <w:tr>
        <w:trPr>
          <w:trHeight w:val="230"/>
        </w:trPr>
        <w:tc>
          <w:tcPr>
            <w:tcW w:w="6180" w:type="dxa"/>
            <w:vAlign w:val="bottom"/>
          </w:tcPr>
          <w:p>
            <w:pPr>
              <w:ind w:left="120"/>
              <w:spacing w:after="0"/>
              <w:rPr>
                <w:sz w:val="20"/>
                <w:szCs w:val="20"/>
                <w:color w:val="auto"/>
              </w:rPr>
            </w:pPr>
            <w:r>
              <w:rPr>
                <w:rFonts w:ascii="Arial" w:cs="Arial" w:eastAsia="Arial" w:hAnsi="Arial"/>
                <w:sz w:val="15"/>
                <w:szCs w:val="15"/>
                <w:color w:val="auto"/>
              </w:rPr>
              <w:t>Impairment of non-financial assets</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101,027</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Impairment of operating right-of-use assets and related property, plant and equipment</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5,573</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Reduction in carrying value of operating right-of-use assets</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34,596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29,473</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Share of net gains from equity method investments</w:t>
            </w:r>
          </w:p>
        </w:tc>
        <w:tc>
          <w:tcPr>
            <w:tcW w:w="460" w:type="dxa"/>
            <w:vAlign w:val="bottom"/>
          </w:tcPr>
          <w:p>
            <w:pPr>
              <w:spacing w:after="0"/>
              <w:rPr>
                <w:sz w:val="19"/>
                <w:szCs w:val="19"/>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(16,298)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Loss on disposal of subsidiary undertaking</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32,947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Amortization of financing costs</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8,108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4,470</w:t>
            </w:r>
          </w:p>
        </w:tc>
      </w:tr>
      <w:tr>
        <w:trPr>
          <w:trHeight w:val="229"/>
        </w:trPr>
        <w:tc>
          <w:tcPr>
            <w:tcW w:w="6180" w:type="dxa"/>
            <w:vAlign w:val="bottom"/>
          </w:tcPr>
          <w:p>
            <w:pPr>
              <w:ind w:left="120"/>
              <w:spacing w:after="0"/>
              <w:rPr>
                <w:sz w:val="20"/>
                <w:szCs w:val="20"/>
                <w:color w:val="auto"/>
              </w:rPr>
            </w:pPr>
            <w:r>
              <w:rPr>
                <w:rFonts w:ascii="Arial" w:cs="Arial" w:eastAsia="Arial" w:hAnsi="Arial"/>
                <w:sz w:val="15"/>
                <w:szCs w:val="15"/>
                <w:color w:val="auto"/>
              </w:rPr>
              <w:t>Loss on extinguishment of debt</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12,233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0"/>
        </w:trPr>
        <w:tc>
          <w:tcPr>
            <w:tcW w:w="6180" w:type="dxa"/>
            <w:vAlign w:val="bottom"/>
          </w:tcPr>
          <w:p>
            <w:pPr>
              <w:ind w:left="120"/>
              <w:spacing w:after="0"/>
              <w:rPr>
                <w:sz w:val="20"/>
                <w:szCs w:val="20"/>
                <w:color w:val="auto"/>
              </w:rPr>
            </w:pPr>
            <w:r>
              <w:rPr>
                <w:rFonts w:ascii="Arial" w:cs="Arial" w:eastAsia="Arial" w:hAnsi="Arial"/>
                <w:sz w:val="15"/>
                <w:szCs w:val="15"/>
                <w:color w:val="auto"/>
              </w:rPr>
              <w:t>Share-based compensation expense</w:t>
            </w:r>
          </w:p>
        </w:tc>
        <w:tc>
          <w:tcPr>
            <w:tcW w:w="4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63,319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72,529</w:t>
            </w:r>
          </w:p>
        </w:tc>
      </w:tr>
      <w:tr>
        <w:trPr>
          <w:trHeight w:val="216"/>
        </w:trPr>
        <w:tc>
          <w:tcPr>
            <w:tcW w:w="6180" w:type="dxa"/>
            <w:vAlign w:val="bottom"/>
          </w:tcPr>
          <w:p>
            <w:pPr>
              <w:ind w:left="120"/>
              <w:spacing w:after="0"/>
              <w:rPr>
                <w:sz w:val="20"/>
                <w:szCs w:val="20"/>
                <w:color w:val="auto"/>
              </w:rPr>
            </w:pPr>
            <w:r>
              <w:rPr>
                <w:rFonts w:ascii="Arial" w:cs="Arial" w:eastAsia="Arial" w:hAnsi="Arial"/>
                <w:sz w:val="15"/>
                <w:szCs w:val="15"/>
                <w:color w:val="auto"/>
              </w:rPr>
              <w:t>Deferred tax benefit</w:t>
            </w:r>
          </w:p>
        </w:tc>
        <w:tc>
          <w:tcPr>
            <w:tcW w:w="46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(32,986)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(114,257)</w:t>
            </w:r>
          </w:p>
        </w:tc>
      </w:tr>
    </w:tbl>
    <w:p>
      <w:pPr>
        <w:sectPr>
          <w:pgSz w:w="11900" w:h="16885" w:orient="portrait"/>
          <w:cols w:equalWidth="0" w:num="1">
            <w:col w:w="9420"/>
          </w:cols>
          <w:pgMar w:left="1220" w:top="94" w:right="1259" w:bottom="0" w:gutter="0" w:footer="0" w:header="0"/>
          <w:type w:val="continuous"/>
        </w:sectPr>
      </w:pPr>
    </w:p>
    <w:bookmarkStart w:id="8" w:name="page9"/>
    <w:bookmarkEnd w:id="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6560" w:type="dxa"/>
            <w:vAlign w:val="bottom"/>
            <w:shd w:val="clear" w:color="auto" w:fill="128474"/>
          </w:tcPr>
          <w:p>
            <w:pPr>
              <w:ind w:left="300"/>
              <w:spacing w:after="0"/>
              <w:rPr>
                <w:sz w:val="20"/>
                <w:szCs w:val="20"/>
                <w:color w:val="auto"/>
              </w:rPr>
            </w:pPr>
            <w:r>
              <w:rPr>
                <w:rFonts w:ascii="Arial" w:cs="Arial" w:eastAsia="Arial" w:hAnsi="Arial"/>
                <w:sz w:val="15"/>
                <w:szCs w:val="15"/>
                <w:color w:val="auto"/>
              </w:rPr>
              <w:t>Unrealized foreign exchange movements</w:t>
            </w:r>
          </w:p>
        </w:tc>
        <w:tc>
          <w:tcPr>
            <w:tcW w:w="2280" w:type="dxa"/>
            <w:vAlign w:val="bottom"/>
            <w:shd w:val="clear" w:color="auto" w:fill="128474"/>
          </w:tcPr>
          <w:p>
            <w:pPr>
              <w:jc w:val="right"/>
              <w:ind w:right="765"/>
              <w:spacing w:after="0"/>
              <w:rPr>
                <w:sz w:val="20"/>
                <w:szCs w:val="20"/>
                <w:color w:val="auto"/>
              </w:rPr>
            </w:pPr>
            <w:r>
              <w:rPr>
                <w:rFonts w:ascii="Arial" w:cs="Arial" w:eastAsia="Arial" w:hAnsi="Arial"/>
                <w:sz w:val="15"/>
                <w:szCs w:val="15"/>
                <w:color w:val="auto"/>
              </w:rPr>
              <w:t>(24,963)</w:t>
            </w:r>
          </w:p>
        </w:tc>
        <w:tc>
          <w:tcPr>
            <w:tcW w:w="700" w:type="dxa"/>
            <w:vAlign w:val="bottom"/>
            <w:shd w:val="clear" w:color="auto" w:fill="128474"/>
          </w:tcPr>
          <w:p>
            <w:pPr>
              <w:jc w:val="right"/>
              <w:spacing w:after="0"/>
              <w:rPr>
                <w:sz w:val="20"/>
                <w:szCs w:val="20"/>
                <w:color w:val="auto"/>
              </w:rPr>
            </w:pPr>
            <w:r>
              <w:rPr>
                <w:rFonts w:ascii="Arial" w:cs="Arial" w:eastAsia="Arial" w:hAnsi="Arial"/>
                <w:sz w:val="15"/>
                <w:szCs w:val="15"/>
                <w:color w:val="auto"/>
              </w:rPr>
              <w:t>24,661</w:t>
            </w:r>
          </w:p>
        </w:tc>
        <w:tc>
          <w:tcPr>
            <w:tcW w:w="80" w:type="dxa"/>
            <w:vAlign w:val="bottom"/>
            <w:shd w:val="clear" w:color="auto" w:fill="128474"/>
          </w:tcPr>
          <w:p>
            <w:pPr>
              <w:spacing w:after="0"/>
              <w:rPr>
                <w:sz w:val="14"/>
                <w:szCs w:val="14"/>
                <w:color w:val="auto"/>
              </w:rPr>
            </w:pPr>
          </w:p>
        </w:tc>
      </w:tr>
      <w:tr>
        <w:trPr>
          <w:trHeight w:val="68"/>
        </w:trPr>
        <w:tc>
          <w:tcPr>
            <w:tcW w:w="6560" w:type="dxa"/>
            <w:vAlign w:val="bottom"/>
            <w:shd w:val="clear" w:color="auto" w:fill="128474"/>
          </w:tcPr>
          <w:p>
            <w:pPr>
              <w:spacing w:after="0"/>
              <w:rPr>
                <w:sz w:val="5"/>
                <w:szCs w:val="5"/>
                <w:color w:val="auto"/>
              </w:rPr>
            </w:pPr>
          </w:p>
        </w:tc>
        <w:tc>
          <w:tcPr>
            <w:tcW w:w="2280" w:type="dxa"/>
            <w:vAlign w:val="bottom"/>
            <w:shd w:val="clear" w:color="auto" w:fill="128474"/>
          </w:tcPr>
          <w:p>
            <w:pPr>
              <w:jc w:val="right"/>
              <w:spacing w:after="0" w:line="68" w:lineRule="exact"/>
              <w:rPr>
                <w:sz w:val="20"/>
                <w:szCs w:val="20"/>
                <w:color w:val="auto"/>
              </w:rPr>
            </w:pPr>
            <w:r>
              <w:rPr>
                <w:rFonts w:ascii="Arial" w:cs="Arial" w:eastAsia="Arial" w:hAnsi="Arial"/>
                <w:sz w:val="7"/>
                <w:szCs w:val="7"/>
                <w:b w:val="1"/>
                <w:bCs w:val="1"/>
                <w:color w:val="FFFFFF"/>
              </w:rPr>
              <w:t>Nine Months Ended</w:t>
            </w:r>
          </w:p>
        </w:tc>
        <w:tc>
          <w:tcPr>
            <w:tcW w:w="700" w:type="dxa"/>
            <w:vAlign w:val="bottom"/>
            <w:shd w:val="clear" w:color="auto" w:fill="128474"/>
          </w:tcPr>
          <w:p>
            <w:pPr>
              <w:spacing w:after="0"/>
              <w:rPr>
                <w:sz w:val="5"/>
                <w:szCs w:val="5"/>
                <w:color w:val="auto"/>
              </w:rPr>
            </w:pPr>
          </w:p>
        </w:tc>
        <w:tc>
          <w:tcPr>
            <w:tcW w:w="80" w:type="dxa"/>
            <w:vAlign w:val="bottom"/>
            <w:shd w:val="clear" w:color="auto" w:fill="128474"/>
          </w:tcPr>
          <w:p>
            <w:pPr>
              <w:spacing w:after="0"/>
              <w:rPr>
                <w:sz w:val="5"/>
                <w:szCs w:val="5"/>
                <w:color w:val="auto"/>
              </w:rPr>
            </w:pPr>
          </w:p>
        </w:tc>
      </w:tr>
      <w:tr>
        <w:trPr>
          <w:trHeight w:val="210"/>
        </w:trPr>
        <w:tc>
          <w:tcPr>
            <w:tcW w:w="6560" w:type="dxa"/>
            <w:vAlign w:val="bottom"/>
            <w:shd w:val="clear" w:color="auto" w:fill="128474"/>
          </w:tcPr>
          <w:p>
            <w:pPr>
              <w:ind w:left="300"/>
              <w:spacing w:after="0"/>
              <w:rPr>
                <w:sz w:val="20"/>
                <w:szCs w:val="20"/>
                <w:color w:val="auto"/>
              </w:rPr>
            </w:pPr>
            <w:r>
              <w:rPr>
                <w:rFonts w:ascii="Arial" w:cs="Arial" w:eastAsia="Arial" w:hAnsi="Arial"/>
                <w:sz w:val="15"/>
                <w:szCs w:val="15"/>
                <w:color w:val="auto"/>
              </w:rPr>
              <w:t>Other non-cash items</w:t>
            </w:r>
          </w:p>
        </w:tc>
        <w:tc>
          <w:tcPr>
            <w:tcW w:w="2280" w:type="dxa"/>
            <w:vAlign w:val="bottom"/>
            <w:shd w:val="clear" w:color="auto" w:fill="128474"/>
          </w:tcPr>
          <w:p>
            <w:pPr>
              <w:jc w:val="right"/>
              <w:ind w:right="805"/>
              <w:spacing w:after="0"/>
              <w:rPr>
                <w:sz w:val="20"/>
                <w:szCs w:val="20"/>
                <w:color w:val="auto"/>
              </w:rPr>
            </w:pPr>
            <w:r>
              <w:rPr>
                <w:rFonts w:ascii="Arial" w:cs="Arial" w:eastAsia="Arial" w:hAnsi="Arial"/>
                <w:sz w:val="15"/>
                <w:szCs w:val="15"/>
                <w:color w:val="auto"/>
              </w:rPr>
              <w:t>4,195</w:t>
            </w:r>
          </w:p>
        </w:tc>
        <w:tc>
          <w:tcPr>
            <w:tcW w:w="700" w:type="dxa"/>
            <w:vAlign w:val="bottom"/>
            <w:shd w:val="clear" w:color="auto" w:fill="128474"/>
          </w:tcPr>
          <w:p>
            <w:pPr>
              <w:jc w:val="right"/>
              <w:spacing w:after="0"/>
              <w:rPr>
                <w:sz w:val="20"/>
                <w:szCs w:val="20"/>
                <w:color w:val="auto"/>
              </w:rPr>
            </w:pPr>
            <w:r>
              <w:rPr>
                <w:rFonts w:ascii="Arial" w:cs="Arial" w:eastAsia="Arial" w:hAnsi="Arial"/>
                <w:sz w:val="15"/>
                <w:szCs w:val="15"/>
                <w:color w:val="auto"/>
              </w:rPr>
              <w:t>20,561</w:t>
            </w:r>
          </w:p>
        </w:tc>
        <w:tc>
          <w:tcPr>
            <w:tcW w:w="80" w:type="dxa"/>
            <w:vAlign w:val="bottom"/>
            <w:shd w:val="clear" w:color="auto" w:fill="128474"/>
          </w:tcPr>
          <w:p>
            <w:pPr>
              <w:spacing w:after="0"/>
              <w:rPr>
                <w:sz w:val="18"/>
                <w:szCs w:val="18"/>
                <w:color w:val="auto"/>
              </w:rPr>
            </w:pPr>
          </w:p>
        </w:tc>
      </w:tr>
      <w:tr>
        <w:trPr>
          <w:trHeight w:val="237"/>
        </w:trPr>
        <w:tc>
          <w:tcPr>
            <w:tcW w:w="6560" w:type="dxa"/>
            <w:vAlign w:val="bottom"/>
            <w:shd w:val="clear" w:color="auto" w:fill="128474"/>
          </w:tcPr>
          <w:p>
            <w:pPr>
              <w:ind w:left="200"/>
              <w:spacing w:after="0"/>
              <w:rPr>
                <w:sz w:val="20"/>
                <w:szCs w:val="20"/>
                <w:color w:val="auto"/>
              </w:rPr>
            </w:pPr>
            <w:r>
              <w:rPr>
                <w:rFonts w:ascii="Arial" w:cs="Arial" w:eastAsia="Arial" w:hAnsi="Arial"/>
                <w:sz w:val="15"/>
                <w:szCs w:val="15"/>
                <w:b w:val="1"/>
                <w:bCs w:val="1"/>
                <w:color w:val="128474"/>
              </w:rPr>
              <w:t>Changes in operating assets and liabilities:</w:t>
            </w:r>
          </w:p>
        </w:tc>
        <w:tc>
          <w:tcPr>
            <w:tcW w:w="2280" w:type="dxa"/>
            <w:vAlign w:val="bottom"/>
            <w:shd w:val="clear" w:color="auto" w:fill="128474"/>
          </w:tcPr>
          <w:p>
            <w:pPr>
              <w:spacing w:after="0"/>
              <w:rPr>
                <w:sz w:val="20"/>
                <w:szCs w:val="20"/>
                <w:color w:val="auto"/>
              </w:rPr>
            </w:pPr>
          </w:p>
        </w:tc>
        <w:tc>
          <w:tcPr>
            <w:tcW w:w="700" w:type="dxa"/>
            <w:vAlign w:val="bottom"/>
            <w:shd w:val="clear" w:color="auto" w:fill="128474"/>
          </w:tcPr>
          <w:p>
            <w:pPr>
              <w:spacing w:after="0"/>
              <w:rPr>
                <w:sz w:val="20"/>
                <w:szCs w:val="20"/>
                <w:color w:val="auto"/>
              </w:rPr>
            </w:pPr>
          </w:p>
        </w:tc>
        <w:tc>
          <w:tcPr>
            <w:tcW w:w="80" w:type="dxa"/>
            <w:vAlign w:val="bottom"/>
            <w:shd w:val="clear" w:color="auto" w:fill="128474"/>
          </w:tcPr>
          <w:p>
            <w:pPr>
              <w:spacing w:after="0"/>
              <w:rPr>
                <w:sz w:val="20"/>
                <w:szCs w:val="20"/>
                <w:color w:val="auto"/>
              </w:rPr>
            </w:pPr>
          </w:p>
        </w:tc>
      </w:tr>
      <w:tr>
        <w:trPr>
          <w:trHeight w:val="214"/>
        </w:trPr>
        <w:tc>
          <w:tcPr>
            <w:tcW w:w="6560" w:type="dxa"/>
            <w:vAlign w:val="bottom"/>
            <w:shd w:val="clear" w:color="auto" w:fill="128474"/>
          </w:tcPr>
          <w:p>
            <w:pPr>
              <w:ind w:left="300"/>
              <w:spacing w:after="0"/>
              <w:rPr>
                <w:sz w:val="20"/>
                <w:szCs w:val="20"/>
                <w:color w:val="auto"/>
              </w:rPr>
            </w:pPr>
            <w:r>
              <w:rPr>
                <w:rFonts w:ascii="Arial" w:cs="Arial" w:eastAsia="Arial" w:hAnsi="Arial"/>
                <w:sz w:val="15"/>
                <w:szCs w:val="15"/>
                <w:color w:val="auto"/>
              </w:rPr>
              <w:t>Accounts receivable</w:t>
            </w:r>
          </w:p>
        </w:tc>
        <w:tc>
          <w:tcPr>
            <w:tcW w:w="2280" w:type="dxa"/>
            <w:vAlign w:val="bottom"/>
            <w:shd w:val="clear" w:color="auto" w:fill="128474"/>
          </w:tcPr>
          <w:p>
            <w:pPr>
              <w:jc w:val="right"/>
              <w:ind w:right="765"/>
              <w:spacing w:after="0"/>
              <w:rPr>
                <w:sz w:val="20"/>
                <w:szCs w:val="20"/>
                <w:color w:val="auto"/>
              </w:rPr>
            </w:pPr>
            <w:r>
              <w:rPr>
                <w:rFonts w:ascii="Arial" w:cs="Arial" w:eastAsia="Arial" w:hAnsi="Arial"/>
                <w:sz w:val="15"/>
                <w:szCs w:val="15"/>
                <w:color w:val="auto"/>
              </w:rPr>
              <w:t>(99,754)</w:t>
            </w:r>
          </w:p>
        </w:tc>
        <w:tc>
          <w:tcPr>
            <w:tcW w:w="700" w:type="dxa"/>
            <w:vAlign w:val="bottom"/>
            <w:shd w:val="clear" w:color="auto" w:fill="128474"/>
          </w:tcPr>
          <w:p>
            <w:pPr>
              <w:jc w:val="right"/>
              <w:spacing w:after="0"/>
              <w:rPr>
                <w:sz w:val="20"/>
                <w:szCs w:val="20"/>
                <w:color w:val="auto"/>
              </w:rPr>
            </w:pPr>
            <w:r>
              <w:rPr>
                <w:rFonts w:ascii="Arial" w:cs="Arial" w:eastAsia="Arial" w:hAnsi="Arial"/>
                <w:sz w:val="15"/>
                <w:szCs w:val="15"/>
                <w:color w:val="auto"/>
              </w:rPr>
              <w:t>(8,212)</w:t>
            </w:r>
          </w:p>
        </w:tc>
        <w:tc>
          <w:tcPr>
            <w:tcW w:w="80" w:type="dxa"/>
            <w:vAlign w:val="bottom"/>
            <w:shd w:val="clear" w:color="auto" w:fill="128474"/>
          </w:tcPr>
          <w:p>
            <w:pPr>
              <w:spacing w:after="0"/>
              <w:rPr>
                <w:sz w:val="18"/>
                <w:szCs w:val="18"/>
                <w:color w:val="auto"/>
              </w:rPr>
            </w:pPr>
          </w:p>
        </w:tc>
      </w:tr>
      <w:tr>
        <w:trPr>
          <w:trHeight w:val="237"/>
        </w:trPr>
        <w:tc>
          <w:tcPr>
            <w:tcW w:w="6560" w:type="dxa"/>
            <w:vAlign w:val="bottom"/>
          </w:tcPr>
          <w:p>
            <w:pPr>
              <w:ind w:left="300"/>
              <w:spacing w:after="0"/>
              <w:rPr>
                <w:sz w:val="20"/>
                <w:szCs w:val="20"/>
                <w:color w:val="auto"/>
              </w:rPr>
            </w:pPr>
            <w:r>
              <w:rPr>
                <w:rFonts w:ascii="Arial" w:cs="Arial" w:eastAsia="Arial" w:hAnsi="Arial"/>
                <w:sz w:val="15"/>
                <w:szCs w:val="15"/>
                <w:color w:val="auto"/>
              </w:rPr>
              <w:t>Unbilled revenue</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64,474</w:t>
            </w:r>
          </w:p>
        </w:tc>
        <w:tc>
          <w:tcPr>
            <w:tcW w:w="700" w:type="dxa"/>
            <w:vAlign w:val="bottom"/>
          </w:tcPr>
          <w:p>
            <w:pPr>
              <w:jc w:val="right"/>
              <w:spacing w:after="0"/>
              <w:rPr>
                <w:sz w:val="20"/>
                <w:szCs w:val="20"/>
                <w:color w:val="auto"/>
              </w:rPr>
            </w:pPr>
            <w:r>
              <w:rPr>
                <w:rFonts w:ascii="Arial" w:cs="Arial" w:eastAsia="Arial" w:hAnsi="Arial"/>
                <w:sz w:val="15"/>
                <w:szCs w:val="15"/>
                <w:color w:val="auto"/>
              </w:rPr>
              <w:t>(157,162)</w:t>
            </w:r>
          </w:p>
        </w:tc>
        <w:tc>
          <w:tcPr>
            <w:tcW w:w="80" w:type="dxa"/>
            <w:vAlign w:val="bottom"/>
          </w:tcPr>
          <w:p>
            <w:pPr>
              <w:spacing w:after="0"/>
              <w:rPr>
                <w:sz w:val="20"/>
                <w:szCs w:val="20"/>
                <w:color w:val="auto"/>
              </w:rPr>
            </w:pPr>
          </w:p>
        </w:tc>
      </w:tr>
      <w:tr>
        <w:trPr>
          <w:trHeight w:val="229"/>
        </w:trPr>
        <w:tc>
          <w:tcPr>
            <w:tcW w:w="6560" w:type="dxa"/>
            <w:vAlign w:val="bottom"/>
          </w:tcPr>
          <w:p>
            <w:pPr>
              <w:ind w:left="300"/>
              <w:spacing w:after="0"/>
              <w:rPr>
                <w:sz w:val="20"/>
                <w:szCs w:val="20"/>
                <w:color w:val="auto"/>
              </w:rPr>
            </w:pPr>
            <w:r>
              <w:rPr>
                <w:rFonts w:ascii="Arial" w:cs="Arial" w:eastAsia="Arial" w:hAnsi="Arial"/>
                <w:sz w:val="15"/>
                <w:szCs w:val="15"/>
                <w:color w:val="auto"/>
              </w:rPr>
              <w:t>Unearned revenue</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235,605</w:t>
            </w:r>
          </w:p>
        </w:tc>
        <w:tc>
          <w:tcPr>
            <w:tcW w:w="700" w:type="dxa"/>
            <w:vAlign w:val="bottom"/>
          </w:tcPr>
          <w:p>
            <w:pPr>
              <w:jc w:val="right"/>
              <w:spacing w:after="0"/>
              <w:rPr>
                <w:sz w:val="20"/>
                <w:szCs w:val="20"/>
                <w:color w:val="auto"/>
              </w:rPr>
            </w:pPr>
            <w:r>
              <w:rPr>
                <w:rFonts w:ascii="Arial" w:cs="Arial" w:eastAsia="Arial" w:hAnsi="Arial"/>
                <w:sz w:val="15"/>
                <w:szCs w:val="15"/>
                <w:color w:val="auto"/>
              </w:rPr>
              <w:t>64,542</w:t>
            </w:r>
          </w:p>
        </w:tc>
        <w:tc>
          <w:tcPr>
            <w:tcW w:w="80" w:type="dxa"/>
            <w:vAlign w:val="bottom"/>
          </w:tcPr>
          <w:p>
            <w:pPr>
              <w:spacing w:after="0"/>
              <w:rPr>
                <w:sz w:val="19"/>
                <w:szCs w:val="19"/>
                <w:color w:val="auto"/>
              </w:rPr>
            </w:pPr>
          </w:p>
        </w:tc>
      </w:tr>
      <w:tr>
        <w:trPr>
          <w:trHeight w:val="230"/>
        </w:trPr>
        <w:tc>
          <w:tcPr>
            <w:tcW w:w="6560" w:type="dxa"/>
            <w:vAlign w:val="bottom"/>
          </w:tcPr>
          <w:p>
            <w:pPr>
              <w:ind w:left="300"/>
              <w:spacing w:after="0"/>
              <w:rPr>
                <w:sz w:val="20"/>
                <w:szCs w:val="20"/>
                <w:color w:val="auto"/>
              </w:rPr>
            </w:pPr>
            <w:r>
              <w:rPr>
                <w:rFonts w:ascii="Arial" w:cs="Arial" w:eastAsia="Arial" w:hAnsi="Arial"/>
                <w:sz w:val="15"/>
                <w:szCs w:val="15"/>
                <w:color w:val="auto"/>
              </w:rPr>
              <w:t>Other net assets</w:t>
            </w:r>
          </w:p>
        </w:tc>
        <w:tc>
          <w:tcPr>
            <w:tcW w:w="2280" w:type="dxa"/>
            <w:vAlign w:val="bottom"/>
          </w:tcPr>
          <w:p>
            <w:pPr>
              <w:jc w:val="right"/>
              <w:ind w:right="765"/>
              <w:spacing w:after="0"/>
              <w:rPr>
                <w:sz w:val="20"/>
                <w:szCs w:val="20"/>
                <w:color w:val="auto"/>
              </w:rPr>
            </w:pPr>
            <w:r>
              <w:rPr>
                <w:rFonts w:ascii="Arial" w:cs="Arial" w:eastAsia="Arial" w:hAnsi="Arial"/>
                <w:sz w:val="15"/>
                <w:szCs w:val="15"/>
                <w:color w:val="auto"/>
              </w:rPr>
              <w:t>(63,045)</w:t>
            </w:r>
          </w:p>
        </w:tc>
        <w:tc>
          <w:tcPr>
            <w:tcW w:w="700" w:type="dxa"/>
            <w:vAlign w:val="bottom"/>
          </w:tcPr>
          <w:p>
            <w:pPr>
              <w:jc w:val="right"/>
              <w:spacing w:after="0"/>
              <w:rPr>
                <w:sz w:val="20"/>
                <w:szCs w:val="20"/>
                <w:color w:val="auto"/>
              </w:rPr>
            </w:pPr>
            <w:r>
              <w:rPr>
                <w:rFonts w:ascii="Arial" w:cs="Arial" w:eastAsia="Arial" w:hAnsi="Arial"/>
                <w:sz w:val="15"/>
                <w:szCs w:val="15"/>
                <w:color w:val="auto"/>
              </w:rPr>
              <w:t>21,739</w:t>
            </w:r>
          </w:p>
        </w:tc>
        <w:tc>
          <w:tcPr>
            <w:tcW w:w="80" w:type="dxa"/>
            <w:vAlign w:val="bottom"/>
          </w:tcPr>
          <w:p>
            <w:pPr>
              <w:spacing w:after="0"/>
              <w:rPr>
                <w:sz w:val="19"/>
                <w:szCs w:val="19"/>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5"/>
                <w:szCs w:val="15"/>
                <w:b w:val="1"/>
                <w:bCs w:val="1"/>
                <w:color w:val="004750"/>
              </w:rPr>
              <w:t>Net cash provided by operating activities</w:t>
            </w:r>
          </w:p>
        </w:tc>
        <w:tc>
          <w:tcPr>
            <w:tcW w:w="2280" w:type="dxa"/>
            <w:vAlign w:val="bottom"/>
          </w:tcPr>
          <w:p>
            <w:pPr>
              <w:jc w:val="right"/>
              <w:ind w:right="805"/>
              <w:spacing w:after="0"/>
              <w:rPr>
                <w:sz w:val="20"/>
                <w:szCs w:val="20"/>
                <w:color w:val="auto"/>
              </w:rPr>
            </w:pPr>
            <w:r>
              <w:rPr>
                <w:rFonts w:ascii="Arial" w:cs="Arial" w:eastAsia="Arial" w:hAnsi="Arial"/>
                <w:sz w:val="15"/>
                <w:szCs w:val="15"/>
                <w:b w:val="1"/>
                <w:bCs w:val="1"/>
                <w:color w:val="004750"/>
              </w:rPr>
              <w:t>793,414</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004750"/>
              </w:rPr>
              <w:t>802,043</w:t>
            </w:r>
          </w:p>
        </w:tc>
        <w:tc>
          <w:tcPr>
            <w:tcW w:w="80" w:type="dxa"/>
            <w:vAlign w:val="bottom"/>
          </w:tcPr>
          <w:p>
            <w:pPr>
              <w:spacing w:after="0"/>
              <w:rPr>
                <w:sz w:val="20"/>
                <w:szCs w:val="20"/>
                <w:color w:val="auto"/>
              </w:rPr>
            </w:pPr>
          </w:p>
        </w:tc>
      </w:tr>
      <w:tr>
        <w:trPr>
          <w:trHeight w:val="214"/>
        </w:trPr>
        <w:tc>
          <w:tcPr>
            <w:tcW w:w="6560" w:type="dxa"/>
            <w:vAlign w:val="bottom"/>
          </w:tcPr>
          <w:p>
            <w:pPr>
              <w:ind w:left="200"/>
              <w:spacing w:after="0"/>
              <w:rPr>
                <w:sz w:val="20"/>
                <w:szCs w:val="20"/>
                <w:color w:val="auto"/>
              </w:rPr>
            </w:pPr>
            <w:r>
              <w:rPr>
                <w:rFonts w:ascii="Arial" w:cs="Arial" w:eastAsia="Arial" w:hAnsi="Arial"/>
                <w:sz w:val="15"/>
                <w:szCs w:val="15"/>
                <w:b w:val="1"/>
                <w:bCs w:val="1"/>
                <w:color w:val="128474"/>
              </w:rPr>
              <w:t>Cash flows used in investing activities:</w:t>
            </w: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560" w:type="dxa"/>
            <w:vAlign w:val="bottom"/>
            <w:shd w:val="clear" w:color="auto" w:fill="F3F8F7"/>
          </w:tcPr>
          <w:p>
            <w:pPr>
              <w:ind w:left="280"/>
              <w:spacing w:after="0"/>
              <w:rPr>
                <w:sz w:val="20"/>
                <w:szCs w:val="20"/>
                <w:color w:val="auto"/>
              </w:rPr>
            </w:pPr>
            <w:r>
              <w:rPr>
                <w:rFonts w:ascii="Arial" w:cs="Arial" w:eastAsia="Arial" w:hAnsi="Arial"/>
                <w:sz w:val="15"/>
                <w:szCs w:val="15"/>
                <w:color w:val="auto"/>
              </w:rPr>
              <w:t>Purchase of property, plant and equipment</w:t>
            </w:r>
          </w:p>
        </w:tc>
        <w:tc>
          <w:tcPr>
            <w:tcW w:w="2280" w:type="dxa"/>
            <w:vAlign w:val="bottom"/>
            <w:shd w:val="clear" w:color="auto" w:fill="F3F8F7"/>
          </w:tcPr>
          <w:p>
            <w:pPr>
              <w:jc w:val="right"/>
              <w:ind w:right="785"/>
              <w:spacing w:after="0"/>
              <w:rPr>
                <w:sz w:val="20"/>
                <w:szCs w:val="20"/>
                <w:color w:val="auto"/>
              </w:rPr>
            </w:pPr>
            <w:r>
              <w:rPr>
                <w:rFonts w:ascii="Arial" w:cs="Arial" w:eastAsia="Arial" w:hAnsi="Arial"/>
                <w:sz w:val="15"/>
                <w:szCs w:val="15"/>
                <w:color w:val="auto"/>
              </w:rPr>
              <w:t>(111,183)</w:t>
            </w:r>
          </w:p>
        </w:tc>
        <w:tc>
          <w:tcPr>
            <w:tcW w:w="7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(114,885)</w:t>
            </w:r>
          </w:p>
        </w:tc>
        <w:tc>
          <w:tcPr>
            <w:tcW w:w="80" w:type="dxa"/>
            <w:vAlign w:val="bottom"/>
          </w:tcPr>
          <w:p>
            <w:pPr>
              <w:spacing w:after="0"/>
              <w:rPr>
                <w:sz w:val="19"/>
                <w:szCs w:val="19"/>
                <w:color w:val="auto"/>
              </w:rPr>
            </w:pPr>
          </w:p>
        </w:tc>
      </w:tr>
      <w:tr>
        <w:trPr>
          <w:trHeight w:val="230"/>
        </w:trPr>
        <w:tc>
          <w:tcPr>
            <w:tcW w:w="6560" w:type="dxa"/>
            <w:vAlign w:val="bottom"/>
          </w:tcPr>
          <w:p>
            <w:pPr>
              <w:ind w:left="280"/>
              <w:spacing w:after="0"/>
              <w:rPr>
                <w:sz w:val="20"/>
                <w:szCs w:val="20"/>
                <w:color w:val="auto"/>
              </w:rPr>
            </w:pPr>
            <w:r>
              <w:rPr>
                <w:rFonts w:ascii="Arial" w:cs="Arial" w:eastAsia="Arial" w:hAnsi="Arial"/>
                <w:sz w:val="15"/>
                <w:szCs w:val="15"/>
                <w:color w:val="auto"/>
              </w:rPr>
              <w:t>Purchase of subsidiary undertakings (net of cash acquired)</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(2,537)</w:t>
            </w:r>
          </w:p>
        </w:tc>
        <w:tc>
          <w:tcPr>
            <w:tcW w:w="80" w:type="dxa"/>
            <w:vAlign w:val="bottom"/>
          </w:tcPr>
          <w:p>
            <w:pPr>
              <w:spacing w:after="0"/>
              <w:rPr>
                <w:sz w:val="19"/>
                <w:szCs w:val="19"/>
                <w:color w:val="auto"/>
              </w:rPr>
            </w:pPr>
          </w:p>
        </w:tc>
      </w:tr>
      <w:tr>
        <w:trPr>
          <w:trHeight w:val="229"/>
        </w:trPr>
        <w:tc>
          <w:tcPr>
            <w:tcW w:w="6560" w:type="dxa"/>
            <w:vAlign w:val="bottom"/>
            <w:shd w:val="clear" w:color="auto" w:fill="F3F8F7"/>
          </w:tcPr>
          <w:p>
            <w:pPr>
              <w:ind w:left="280"/>
              <w:spacing w:after="0"/>
              <w:rPr>
                <w:sz w:val="20"/>
                <w:szCs w:val="20"/>
                <w:color w:val="auto"/>
              </w:rPr>
            </w:pPr>
            <w:r>
              <w:rPr>
                <w:rFonts w:ascii="Arial" w:cs="Arial" w:eastAsia="Arial" w:hAnsi="Arial"/>
                <w:sz w:val="15"/>
                <w:szCs w:val="15"/>
                <w:color w:val="auto"/>
              </w:rPr>
              <w:t>Cash outflow on disposal of subsidiary undertaking (including cash sold)</w:t>
            </w:r>
          </w:p>
        </w:tc>
        <w:tc>
          <w:tcPr>
            <w:tcW w:w="2280" w:type="dxa"/>
            <w:vAlign w:val="bottom"/>
            <w:shd w:val="clear" w:color="auto" w:fill="F3F8F7"/>
          </w:tcPr>
          <w:p>
            <w:pPr>
              <w:jc w:val="right"/>
              <w:ind w:right="765"/>
              <w:spacing w:after="0"/>
              <w:rPr>
                <w:sz w:val="20"/>
                <w:szCs w:val="20"/>
                <w:color w:val="auto"/>
              </w:rPr>
            </w:pPr>
            <w:r>
              <w:rPr>
                <w:rFonts w:ascii="Arial" w:cs="Arial" w:eastAsia="Arial" w:hAnsi="Arial"/>
                <w:sz w:val="15"/>
                <w:szCs w:val="15"/>
                <w:color w:val="auto"/>
              </w:rPr>
              <w:t>(57,142)</w:t>
            </w:r>
          </w:p>
        </w:tc>
        <w:tc>
          <w:tcPr>
            <w:tcW w:w="7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r>
      <w:tr>
        <w:trPr>
          <w:trHeight w:val="229"/>
        </w:trPr>
        <w:tc>
          <w:tcPr>
            <w:tcW w:w="6560" w:type="dxa"/>
            <w:vAlign w:val="bottom"/>
          </w:tcPr>
          <w:p>
            <w:pPr>
              <w:ind w:left="280"/>
              <w:spacing w:after="0"/>
              <w:rPr>
                <w:sz w:val="20"/>
                <w:szCs w:val="20"/>
                <w:color w:val="auto"/>
              </w:rPr>
            </w:pPr>
            <w:r>
              <w:rPr>
                <w:rFonts w:ascii="Arial" w:cs="Arial" w:eastAsia="Arial" w:hAnsi="Arial"/>
                <w:sz w:val="15"/>
                <w:szCs w:val="15"/>
                <w:color w:val="auto"/>
              </w:rPr>
              <w:t>Proceeds from investments in equity</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2,908</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2,114</w:t>
            </w:r>
          </w:p>
        </w:tc>
        <w:tc>
          <w:tcPr>
            <w:tcW w:w="80" w:type="dxa"/>
            <w:vAlign w:val="bottom"/>
          </w:tcPr>
          <w:p>
            <w:pPr>
              <w:spacing w:after="0"/>
              <w:rPr>
                <w:sz w:val="19"/>
                <w:szCs w:val="19"/>
                <w:color w:val="auto"/>
              </w:rPr>
            </w:pPr>
          </w:p>
        </w:tc>
      </w:tr>
      <w:tr>
        <w:trPr>
          <w:trHeight w:val="230"/>
        </w:trPr>
        <w:tc>
          <w:tcPr>
            <w:tcW w:w="6560" w:type="dxa"/>
            <w:vAlign w:val="bottom"/>
            <w:shd w:val="clear" w:color="auto" w:fill="F3F8F7"/>
          </w:tcPr>
          <w:p>
            <w:pPr>
              <w:ind w:left="280"/>
              <w:spacing w:after="0"/>
              <w:rPr>
                <w:sz w:val="20"/>
                <w:szCs w:val="20"/>
                <w:color w:val="auto"/>
              </w:rPr>
            </w:pPr>
            <w:r>
              <w:rPr>
                <w:rFonts w:ascii="Arial" w:cs="Arial" w:eastAsia="Arial" w:hAnsi="Arial"/>
                <w:sz w:val="15"/>
                <w:szCs w:val="15"/>
                <w:color w:val="auto"/>
              </w:rPr>
              <w:t>Purchase of investments in equity</w:t>
            </w:r>
          </w:p>
        </w:tc>
        <w:tc>
          <w:tcPr>
            <w:tcW w:w="2280" w:type="dxa"/>
            <w:vAlign w:val="bottom"/>
            <w:shd w:val="clear" w:color="auto" w:fill="F3F8F7"/>
          </w:tcPr>
          <w:p>
            <w:pPr>
              <w:jc w:val="right"/>
              <w:ind w:right="765"/>
              <w:spacing w:after="0"/>
              <w:rPr>
                <w:sz w:val="20"/>
                <w:szCs w:val="20"/>
                <w:color w:val="auto"/>
              </w:rPr>
            </w:pPr>
            <w:r>
              <w:rPr>
                <w:rFonts w:ascii="Arial" w:cs="Arial" w:eastAsia="Arial" w:hAnsi="Arial"/>
                <w:sz w:val="15"/>
                <w:szCs w:val="15"/>
                <w:color w:val="auto"/>
              </w:rPr>
              <w:t>(32,939)</w:t>
            </w:r>
          </w:p>
        </w:tc>
        <w:tc>
          <w:tcPr>
            <w:tcW w:w="7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(16,286)</w:t>
            </w:r>
          </w:p>
        </w:tc>
        <w:tc>
          <w:tcPr>
            <w:tcW w:w="80" w:type="dxa"/>
            <w:vAlign w:val="bottom"/>
          </w:tcPr>
          <w:p>
            <w:pPr>
              <w:spacing w:after="0"/>
              <w:rPr>
                <w:sz w:val="19"/>
                <w:szCs w:val="19"/>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5"/>
                <w:szCs w:val="15"/>
                <w:b w:val="1"/>
                <w:bCs w:val="1"/>
                <w:color w:val="004750"/>
              </w:rPr>
              <w:t>Net cash used in investing activities</w:t>
            </w:r>
          </w:p>
        </w:tc>
        <w:tc>
          <w:tcPr>
            <w:tcW w:w="2280" w:type="dxa"/>
            <w:vAlign w:val="bottom"/>
          </w:tcPr>
          <w:p>
            <w:pPr>
              <w:jc w:val="right"/>
              <w:ind w:right="765"/>
              <w:spacing w:after="0"/>
              <w:rPr>
                <w:sz w:val="20"/>
                <w:szCs w:val="20"/>
                <w:color w:val="auto"/>
              </w:rPr>
            </w:pPr>
            <w:r>
              <w:rPr>
                <w:rFonts w:ascii="Arial" w:cs="Arial" w:eastAsia="Arial" w:hAnsi="Arial"/>
                <w:sz w:val="15"/>
                <w:szCs w:val="15"/>
                <w:b w:val="1"/>
                <w:bCs w:val="1"/>
                <w:color w:val="004750"/>
              </w:rPr>
              <w:t>(198,356)</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004750"/>
              </w:rPr>
              <w:t>(131,594)</w:t>
            </w:r>
          </w:p>
        </w:tc>
        <w:tc>
          <w:tcPr>
            <w:tcW w:w="80" w:type="dxa"/>
            <w:vAlign w:val="bottom"/>
          </w:tcPr>
          <w:p>
            <w:pPr>
              <w:spacing w:after="0"/>
              <w:rPr>
                <w:sz w:val="19"/>
                <w:szCs w:val="19"/>
                <w:color w:val="auto"/>
              </w:rPr>
            </w:pPr>
          </w:p>
        </w:tc>
      </w:tr>
      <w:tr>
        <w:trPr>
          <w:trHeight w:val="230"/>
        </w:trPr>
        <w:tc>
          <w:tcPr>
            <w:tcW w:w="6560" w:type="dxa"/>
            <w:vAlign w:val="bottom"/>
            <w:shd w:val="clear" w:color="auto" w:fill="F3F8F7"/>
          </w:tcPr>
          <w:p>
            <w:pPr>
              <w:ind w:left="180"/>
              <w:spacing w:after="0"/>
              <w:rPr>
                <w:sz w:val="20"/>
                <w:szCs w:val="20"/>
                <w:color w:val="auto"/>
              </w:rPr>
            </w:pPr>
            <w:r>
              <w:rPr>
                <w:rFonts w:ascii="Arial" w:cs="Arial" w:eastAsia="Arial" w:hAnsi="Arial"/>
                <w:sz w:val="15"/>
                <w:szCs w:val="15"/>
                <w:b w:val="1"/>
                <w:bCs w:val="1"/>
                <w:color w:val="auto"/>
              </w:rPr>
              <w:t>Cash flows used in financing activities:</w:t>
            </w:r>
          </w:p>
        </w:tc>
        <w:tc>
          <w:tcPr>
            <w:tcW w:w="2280" w:type="dxa"/>
            <w:vAlign w:val="bottom"/>
            <w:shd w:val="clear" w:color="auto" w:fill="F3F8F7"/>
          </w:tcPr>
          <w:p>
            <w:pPr>
              <w:spacing w:after="0"/>
              <w:rPr>
                <w:sz w:val="19"/>
                <w:szCs w:val="19"/>
                <w:color w:val="auto"/>
              </w:rPr>
            </w:pPr>
          </w:p>
        </w:tc>
        <w:tc>
          <w:tcPr>
            <w:tcW w:w="700" w:type="dxa"/>
            <w:vAlign w:val="bottom"/>
            <w:shd w:val="clear" w:color="auto" w:fill="F3F8F7"/>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560" w:type="dxa"/>
            <w:vAlign w:val="bottom"/>
          </w:tcPr>
          <w:p>
            <w:pPr>
              <w:ind w:left="280"/>
              <w:spacing w:after="0"/>
              <w:rPr>
                <w:sz w:val="20"/>
                <w:szCs w:val="20"/>
                <w:color w:val="auto"/>
              </w:rPr>
            </w:pPr>
            <w:r>
              <w:rPr>
                <w:rFonts w:ascii="Arial" w:cs="Arial" w:eastAsia="Arial" w:hAnsi="Arial"/>
                <w:sz w:val="15"/>
                <w:szCs w:val="15"/>
                <w:color w:val="auto"/>
              </w:rPr>
              <w:t>Debt issuance costs</w:t>
            </w:r>
          </w:p>
        </w:tc>
        <w:tc>
          <w:tcPr>
            <w:tcW w:w="2280" w:type="dxa"/>
            <w:vAlign w:val="bottom"/>
          </w:tcPr>
          <w:p>
            <w:pPr>
              <w:jc w:val="right"/>
              <w:ind w:right="765"/>
              <w:spacing w:after="0"/>
              <w:rPr>
                <w:sz w:val="20"/>
                <w:szCs w:val="20"/>
                <w:color w:val="auto"/>
              </w:rPr>
            </w:pPr>
            <w:r>
              <w:rPr>
                <w:rFonts w:ascii="Arial" w:cs="Arial" w:eastAsia="Arial" w:hAnsi="Arial"/>
                <w:sz w:val="15"/>
                <w:szCs w:val="15"/>
                <w:color w:val="auto"/>
              </w:rPr>
              <w:t>(16,679)</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29"/>
        </w:trPr>
        <w:tc>
          <w:tcPr>
            <w:tcW w:w="6560" w:type="dxa"/>
            <w:vAlign w:val="bottom"/>
            <w:shd w:val="clear" w:color="auto" w:fill="F3F8F7"/>
          </w:tcPr>
          <w:p>
            <w:pPr>
              <w:ind w:left="280"/>
              <w:spacing w:after="0"/>
              <w:rPr>
                <w:sz w:val="20"/>
                <w:szCs w:val="20"/>
                <w:color w:val="auto"/>
              </w:rPr>
            </w:pPr>
            <w:r>
              <w:rPr>
                <w:rFonts w:ascii="Arial" w:cs="Arial" w:eastAsia="Arial" w:hAnsi="Arial"/>
                <w:sz w:val="15"/>
                <w:szCs w:val="15"/>
                <w:color w:val="auto"/>
              </w:rPr>
              <w:t>Early repayment fee</w:t>
            </w:r>
          </w:p>
        </w:tc>
        <w:tc>
          <w:tcPr>
            <w:tcW w:w="2280" w:type="dxa"/>
            <w:vAlign w:val="bottom"/>
            <w:shd w:val="clear" w:color="auto" w:fill="F3F8F7"/>
          </w:tcPr>
          <w:p>
            <w:pPr>
              <w:jc w:val="right"/>
              <w:ind w:right="765"/>
              <w:spacing w:after="0"/>
              <w:rPr>
                <w:sz w:val="20"/>
                <w:szCs w:val="20"/>
                <w:color w:val="auto"/>
              </w:rPr>
            </w:pPr>
            <w:r>
              <w:rPr>
                <w:rFonts w:ascii="Arial" w:cs="Arial" w:eastAsia="Arial" w:hAnsi="Arial"/>
                <w:sz w:val="15"/>
                <w:szCs w:val="15"/>
                <w:color w:val="auto"/>
              </w:rPr>
              <w:t>(7,841)</w:t>
            </w:r>
          </w:p>
        </w:tc>
        <w:tc>
          <w:tcPr>
            <w:tcW w:w="7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r>
      <w:tr>
        <w:trPr>
          <w:trHeight w:val="230"/>
        </w:trPr>
        <w:tc>
          <w:tcPr>
            <w:tcW w:w="6560" w:type="dxa"/>
            <w:vAlign w:val="bottom"/>
          </w:tcPr>
          <w:p>
            <w:pPr>
              <w:ind w:left="280"/>
              <w:spacing w:after="0"/>
              <w:rPr>
                <w:sz w:val="20"/>
                <w:szCs w:val="20"/>
                <w:color w:val="auto"/>
              </w:rPr>
            </w:pPr>
            <w:r>
              <w:rPr>
                <w:rFonts w:ascii="Arial" w:cs="Arial" w:eastAsia="Arial" w:hAnsi="Arial"/>
                <w:sz w:val="15"/>
                <w:szCs w:val="15"/>
                <w:color w:val="auto"/>
              </w:rPr>
              <w:t>Drawdown of credit lines and loan facilities</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2,650,000</w:t>
            </w:r>
          </w:p>
        </w:tc>
        <w:tc>
          <w:tcPr>
            <w:tcW w:w="70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9"/>
                <w:szCs w:val="19"/>
                <w:color w:val="auto"/>
              </w:rPr>
            </w:pPr>
          </w:p>
        </w:tc>
      </w:tr>
      <w:tr>
        <w:trPr>
          <w:trHeight w:val="229"/>
        </w:trPr>
        <w:tc>
          <w:tcPr>
            <w:tcW w:w="6560" w:type="dxa"/>
            <w:vAlign w:val="bottom"/>
            <w:shd w:val="clear" w:color="auto" w:fill="F3F8F7"/>
          </w:tcPr>
          <w:p>
            <w:pPr>
              <w:ind w:left="280"/>
              <w:spacing w:after="0"/>
              <w:rPr>
                <w:sz w:val="20"/>
                <w:szCs w:val="20"/>
                <w:color w:val="auto"/>
              </w:rPr>
            </w:pPr>
            <w:r>
              <w:rPr>
                <w:rFonts w:ascii="Arial" w:cs="Arial" w:eastAsia="Arial" w:hAnsi="Arial"/>
                <w:sz w:val="15"/>
                <w:szCs w:val="15"/>
                <w:color w:val="auto"/>
              </w:rPr>
              <w:t>Repayment of credit lines and loan facilities</w:t>
            </w:r>
          </w:p>
        </w:tc>
        <w:tc>
          <w:tcPr>
            <w:tcW w:w="2280" w:type="dxa"/>
            <w:vAlign w:val="bottom"/>
            <w:shd w:val="clear" w:color="auto" w:fill="F3F8F7"/>
          </w:tcPr>
          <w:p>
            <w:pPr>
              <w:jc w:val="right"/>
              <w:ind w:right="765"/>
              <w:spacing w:after="0"/>
              <w:rPr>
                <w:sz w:val="20"/>
                <w:szCs w:val="20"/>
                <w:color w:val="auto"/>
              </w:rPr>
            </w:pPr>
            <w:r>
              <w:rPr>
                <w:rFonts w:ascii="Arial" w:cs="Arial" w:eastAsia="Arial" w:hAnsi="Arial"/>
                <w:sz w:val="15"/>
                <w:szCs w:val="15"/>
                <w:color w:val="auto"/>
              </w:rPr>
              <w:t>(2,666,688)</w:t>
            </w:r>
          </w:p>
        </w:tc>
        <w:tc>
          <w:tcPr>
            <w:tcW w:w="7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(72,321)</w:t>
            </w:r>
          </w:p>
        </w:tc>
        <w:tc>
          <w:tcPr>
            <w:tcW w:w="80" w:type="dxa"/>
            <w:vAlign w:val="bottom"/>
          </w:tcPr>
          <w:p>
            <w:pPr>
              <w:spacing w:after="0"/>
              <w:rPr>
                <w:sz w:val="19"/>
                <w:szCs w:val="19"/>
                <w:color w:val="auto"/>
              </w:rPr>
            </w:pPr>
          </w:p>
        </w:tc>
      </w:tr>
      <w:tr>
        <w:trPr>
          <w:trHeight w:val="237"/>
        </w:trPr>
        <w:tc>
          <w:tcPr>
            <w:tcW w:w="6560" w:type="dxa"/>
            <w:vAlign w:val="bottom"/>
          </w:tcPr>
          <w:p>
            <w:pPr>
              <w:ind w:left="280"/>
              <w:spacing w:after="0"/>
              <w:rPr>
                <w:sz w:val="20"/>
                <w:szCs w:val="20"/>
                <w:color w:val="auto"/>
              </w:rPr>
            </w:pPr>
            <w:r>
              <w:rPr>
                <w:rFonts w:ascii="Arial" w:cs="Arial" w:eastAsia="Arial" w:hAnsi="Arial"/>
                <w:sz w:val="15"/>
                <w:szCs w:val="15"/>
                <w:color w:val="auto"/>
              </w:rPr>
              <w:t>Proceeds from shares issued under equity compensation plans</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13,080</w:t>
            </w:r>
          </w:p>
        </w:tc>
        <w:tc>
          <w:tcPr>
            <w:tcW w:w="700" w:type="dxa"/>
            <w:vAlign w:val="bottom"/>
          </w:tcPr>
          <w:p>
            <w:pPr>
              <w:jc w:val="right"/>
              <w:spacing w:after="0"/>
              <w:rPr>
                <w:sz w:val="20"/>
                <w:szCs w:val="20"/>
                <w:color w:val="auto"/>
              </w:rPr>
            </w:pPr>
            <w:r>
              <w:rPr>
                <w:rFonts w:ascii="Arial" w:cs="Arial" w:eastAsia="Arial" w:hAnsi="Arial"/>
                <w:sz w:val="15"/>
                <w:szCs w:val="15"/>
                <w:color w:val="auto"/>
              </w:rPr>
              <w:t>7,319</w:t>
            </w:r>
          </w:p>
        </w:tc>
        <w:tc>
          <w:tcPr>
            <w:tcW w:w="80" w:type="dxa"/>
            <w:vAlign w:val="bottom"/>
          </w:tcPr>
          <w:p>
            <w:pPr>
              <w:spacing w:after="0"/>
              <w:rPr>
                <w:sz w:val="20"/>
                <w:szCs w:val="20"/>
                <w:color w:val="auto"/>
              </w:rPr>
            </w:pPr>
          </w:p>
        </w:tc>
      </w:tr>
      <w:tr>
        <w:trPr>
          <w:trHeight w:val="229"/>
        </w:trPr>
        <w:tc>
          <w:tcPr>
            <w:tcW w:w="6560" w:type="dxa"/>
            <w:vAlign w:val="bottom"/>
          </w:tcPr>
          <w:p>
            <w:pPr>
              <w:ind w:left="280"/>
              <w:spacing w:after="0"/>
              <w:rPr>
                <w:sz w:val="20"/>
                <w:szCs w:val="20"/>
                <w:color w:val="auto"/>
              </w:rPr>
            </w:pPr>
            <w:r>
              <w:rPr>
                <w:rFonts w:ascii="Arial" w:cs="Arial" w:eastAsia="Arial" w:hAnsi="Arial"/>
                <w:sz w:val="15"/>
                <w:szCs w:val="15"/>
                <w:color w:val="auto"/>
              </w:rPr>
              <w:t>Share issuance costs</w:t>
            </w:r>
          </w:p>
        </w:tc>
        <w:tc>
          <w:tcPr>
            <w:tcW w:w="2280" w:type="dxa"/>
            <w:vAlign w:val="bottom"/>
          </w:tcPr>
          <w:p>
            <w:pPr>
              <w:jc w:val="right"/>
              <w:ind w:right="765"/>
              <w:spacing w:after="0"/>
              <w:rPr>
                <w:sz w:val="20"/>
                <w:szCs w:val="20"/>
                <w:color w:val="auto"/>
              </w:rPr>
            </w:pPr>
            <w:r>
              <w:rPr>
                <w:rFonts w:ascii="Arial" w:cs="Arial" w:eastAsia="Arial" w:hAnsi="Arial"/>
                <w:sz w:val="15"/>
                <w:szCs w:val="15"/>
                <w:color w:val="auto"/>
              </w:rPr>
              <w:t>(15)</w:t>
            </w:r>
          </w:p>
        </w:tc>
        <w:tc>
          <w:tcPr>
            <w:tcW w:w="70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9"/>
                <w:szCs w:val="19"/>
                <w:color w:val="auto"/>
              </w:rPr>
            </w:pPr>
          </w:p>
        </w:tc>
      </w:tr>
      <w:tr>
        <w:trPr>
          <w:trHeight w:val="222"/>
        </w:trPr>
        <w:tc>
          <w:tcPr>
            <w:tcW w:w="6560" w:type="dxa"/>
            <w:vAlign w:val="bottom"/>
          </w:tcPr>
          <w:p>
            <w:pPr>
              <w:ind w:left="280"/>
              <w:spacing w:after="0"/>
              <w:rPr>
                <w:sz w:val="20"/>
                <w:szCs w:val="20"/>
                <w:color w:val="auto"/>
              </w:rPr>
            </w:pPr>
            <w:r>
              <w:rPr>
                <w:rFonts w:ascii="Arial" w:cs="Arial" w:eastAsia="Arial" w:hAnsi="Arial"/>
                <w:sz w:val="15"/>
                <w:szCs w:val="15"/>
                <w:color w:val="auto"/>
              </w:rPr>
              <w:t>Repurchase of ordinary shares</w:t>
            </w:r>
          </w:p>
        </w:tc>
        <w:tc>
          <w:tcPr>
            <w:tcW w:w="2280" w:type="dxa"/>
            <w:vAlign w:val="bottom"/>
          </w:tcPr>
          <w:p>
            <w:pPr>
              <w:jc w:val="right"/>
              <w:ind w:right="765"/>
              <w:spacing w:after="0"/>
              <w:rPr>
                <w:sz w:val="20"/>
                <w:szCs w:val="20"/>
                <w:color w:val="auto"/>
              </w:rPr>
            </w:pPr>
            <w:r>
              <w:rPr>
                <w:rFonts w:ascii="Arial" w:cs="Arial" w:eastAsia="Arial" w:hAnsi="Arial"/>
                <w:sz w:val="15"/>
                <w:szCs w:val="15"/>
                <w:color w:val="auto"/>
              </w:rPr>
              <w:t>(400,000)</w:t>
            </w:r>
          </w:p>
        </w:tc>
        <w:tc>
          <w:tcPr>
            <w:tcW w:w="700" w:type="dxa"/>
            <w:vAlign w:val="bottom"/>
          </w:tcPr>
          <w:p>
            <w:pPr>
              <w:jc w:val="right"/>
              <w:spacing w:after="0"/>
              <w:rPr>
                <w:sz w:val="20"/>
                <w:szCs w:val="20"/>
                <w:color w:val="auto"/>
              </w:rPr>
            </w:pPr>
            <w:r>
              <w:rPr>
                <w:rFonts w:ascii="Arial" w:cs="Arial" w:eastAsia="Arial" w:hAnsi="Arial"/>
                <w:sz w:val="15"/>
                <w:szCs w:val="15"/>
                <w:color w:val="auto"/>
              </w:rPr>
              <w:t>(750,000)</w:t>
            </w:r>
          </w:p>
        </w:tc>
        <w:tc>
          <w:tcPr>
            <w:tcW w:w="80" w:type="dxa"/>
            <w:vAlign w:val="bottom"/>
          </w:tcPr>
          <w:p>
            <w:pPr>
              <w:spacing w:after="0"/>
              <w:rPr>
                <w:sz w:val="19"/>
                <w:szCs w:val="19"/>
                <w:color w:val="auto"/>
              </w:rPr>
            </w:pPr>
          </w:p>
        </w:tc>
      </w:tr>
      <w:tr>
        <w:trPr>
          <w:trHeight w:val="230"/>
        </w:trPr>
        <w:tc>
          <w:tcPr>
            <w:tcW w:w="6560" w:type="dxa"/>
            <w:vAlign w:val="bottom"/>
            <w:shd w:val="clear" w:color="auto" w:fill="F3F8F7"/>
          </w:tcPr>
          <w:p>
            <w:pPr>
              <w:ind w:left="280"/>
              <w:spacing w:after="0"/>
              <w:rPr>
                <w:sz w:val="20"/>
                <w:szCs w:val="20"/>
                <w:color w:val="auto"/>
              </w:rPr>
            </w:pPr>
            <w:r>
              <w:rPr>
                <w:rFonts w:ascii="Arial" w:cs="Arial" w:eastAsia="Arial" w:hAnsi="Arial"/>
                <w:sz w:val="15"/>
                <w:szCs w:val="15"/>
                <w:color w:val="auto"/>
              </w:rPr>
              <w:t>Share repurchase costs</w:t>
            </w:r>
          </w:p>
        </w:tc>
        <w:tc>
          <w:tcPr>
            <w:tcW w:w="2280" w:type="dxa"/>
            <w:vAlign w:val="bottom"/>
            <w:shd w:val="clear" w:color="auto" w:fill="F3F8F7"/>
          </w:tcPr>
          <w:p>
            <w:pPr>
              <w:jc w:val="right"/>
              <w:ind w:right="765"/>
              <w:spacing w:after="0"/>
              <w:rPr>
                <w:sz w:val="20"/>
                <w:szCs w:val="20"/>
                <w:color w:val="auto"/>
              </w:rPr>
            </w:pPr>
            <w:r>
              <w:rPr>
                <w:rFonts w:ascii="Arial" w:cs="Arial" w:eastAsia="Arial" w:hAnsi="Arial"/>
                <w:sz w:val="15"/>
                <w:szCs w:val="15"/>
                <w:color w:val="auto"/>
              </w:rPr>
              <w:t>(94)</w:t>
            </w:r>
          </w:p>
        </w:tc>
        <w:tc>
          <w:tcPr>
            <w:tcW w:w="700" w:type="dxa"/>
            <w:vAlign w:val="bottom"/>
            <w:shd w:val="clear" w:color="auto" w:fill="F3F8F7"/>
          </w:tcPr>
          <w:p>
            <w:pPr>
              <w:jc w:val="right"/>
              <w:spacing w:after="0"/>
              <w:rPr>
                <w:sz w:val="20"/>
                <w:szCs w:val="20"/>
                <w:color w:val="auto"/>
              </w:rPr>
            </w:pPr>
            <w:r>
              <w:rPr>
                <w:rFonts w:ascii="Arial" w:cs="Arial" w:eastAsia="Arial" w:hAnsi="Arial"/>
                <w:sz w:val="15"/>
                <w:szCs w:val="15"/>
                <w:color w:val="auto"/>
              </w:rPr>
              <w:t>(450)</w:t>
            </w:r>
          </w:p>
        </w:tc>
        <w:tc>
          <w:tcPr>
            <w:tcW w:w="80" w:type="dxa"/>
            <w:vAlign w:val="bottom"/>
          </w:tcPr>
          <w:p>
            <w:pPr>
              <w:spacing w:after="0"/>
              <w:rPr>
                <w:sz w:val="19"/>
                <w:szCs w:val="19"/>
                <w:color w:val="auto"/>
              </w:rPr>
            </w:pPr>
          </w:p>
        </w:tc>
      </w:tr>
      <w:tr>
        <w:trPr>
          <w:trHeight w:val="229"/>
        </w:trPr>
        <w:tc>
          <w:tcPr>
            <w:tcW w:w="6560" w:type="dxa"/>
            <w:vAlign w:val="bottom"/>
          </w:tcPr>
          <w:p>
            <w:pPr>
              <w:ind w:left="200"/>
              <w:spacing w:after="0"/>
              <w:rPr>
                <w:sz w:val="20"/>
                <w:szCs w:val="20"/>
                <w:color w:val="auto"/>
              </w:rPr>
            </w:pPr>
            <w:r>
              <w:rPr>
                <w:rFonts w:ascii="Arial" w:cs="Arial" w:eastAsia="Arial" w:hAnsi="Arial"/>
                <w:sz w:val="15"/>
                <w:szCs w:val="15"/>
                <w:b w:val="1"/>
                <w:bCs w:val="1"/>
                <w:color w:val="004750"/>
              </w:rPr>
              <w:t>Net cash used in financing activities</w:t>
            </w:r>
          </w:p>
        </w:tc>
        <w:tc>
          <w:tcPr>
            <w:tcW w:w="2280" w:type="dxa"/>
            <w:vAlign w:val="bottom"/>
          </w:tcPr>
          <w:p>
            <w:pPr>
              <w:jc w:val="right"/>
              <w:ind w:right="765"/>
              <w:spacing w:after="0"/>
              <w:rPr>
                <w:sz w:val="20"/>
                <w:szCs w:val="20"/>
                <w:color w:val="auto"/>
              </w:rPr>
            </w:pPr>
            <w:r>
              <w:rPr>
                <w:rFonts w:ascii="Arial" w:cs="Arial" w:eastAsia="Arial" w:hAnsi="Arial"/>
                <w:sz w:val="15"/>
                <w:szCs w:val="15"/>
                <w:b w:val="1"/>
                <w:bCs w:val="1"/>
                <w:color w:val="004750"/>
              </w:rPr>
              <w:t>(428,237)</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004750"/>
              </w:rPr>
              <w:t>(765,466)</w:t>
            </w:r>
          </w:p>
        </w:tc>
        <w:tc>
          <w:tcPr>
            <w:tcW w:w="80" w:type="dxa"/>
            <w:vAlign w:val="bottom"/>
          </w:tcPr>
          <w:p>
            <w:pPr>
              <w:spacing w:after="0"/>
              <w:rPr>
                <w:sz w:val="19"/>
                <w:szCs w:val="19"/>
                <w:color w:val="auto"/>
              </w:rPr>
            </w:pPr>
          </w:p>
        </w:tc>
      </w:tr>
      <w:tr>
        <w:trPr>
          <w:trHeight w:val="229"/>
        </w:trPr>
        <w:tc>
          <w:tcPr>
            <w:tcW w:w="6560" w:type="dxa"/>
            <w:vAlign w:val="bottom"/>
            <w:tcBorders>
              <w:bottom w:val="single" w:sz="8" w:color="128474"/>
            </w:tcBorders>
            <w:shd w:val="clear" w:color="auto" w:fill="F3F8F7"/>
          </w:tcPr>
          <w:p>
            <w:pPr>
              <w:ind w:left="180"/>
              <w:spacing w:after="0"/>
              <w:rPr>
                <w:sz w:val="20"/>
                <w:szCs w:val="20"/>
                <w:color w:val="auto"/>
              </w:rPr>
            </w:pPr>
            <w:r>
              <w:rPr>
                <w:rFonts w:ascii="Arial" w:cs="Arial" w:eastAsia="Arial" w:hAnsi="Arial"/>
                <w:sz w:val="15"/>
                <w:szCs w:val="15"/>
                <w:color w:val="auto"/>
              </w:rPr>
              <w:t>Effect of exchange rate movements on cash</w:t>
            </w:r>
          </w:p>
        </w:tc>
        <w:tc>
          <w:tcPr>
            <w:tcW w:w="2280" w:type="dxa"/>
            <w:vAlign w:val="bottom"/>
            <w:tcBorders>
              <w:bottom w:val="single" w:sz="8" w:color="128474"/>
            </w:tcBorders>
            <w:shd w:val="clear" w:color="auto" w:fill="F3F8F7"/>
          </w:tcPr>
          <w:p>
            <w:pPr>
              <w:jc w:val="right"/>
              <w:ind w:right="765"/>
              <w:spacing w:after="0"/>
              <w:rPr>
                <w:sz w:val="20"/>
                <w:szCs w:val="20"/>
                <w:color w:val="auto"/>
              </w:rPr>
            </w:pPr>
            <w:r>
              <w:rPr>
                <w:rFonts w:ascii="Arial" w:cs="Arial" w:eastAsia="Arial" w:hAnsi="Arial"/>
                <w:sz w:val="15"/>
                <w:szCs w:val="15"/>
                <w:color w:val="auto"/>
              </w:rPr>
              <w:t>(5,132)</w:t>
            </w:r>
          </w:p>
        </w:tc>
        <w:tc>
          <w:tcPr>
            <w:tcW w:w="700" w:type="dxa"/>
            <w:vAlign w:val="bottom"/>
            <w:tcBorders>
              <w:bottom w:val="single" w:sz="8" w:color="128474"/>
            </w:tcBorders>
            <w:shd w:val="clear" w:color="auto" w:fill="F3F8F7"/>
          </w:tcPr>
          <w:p>
            <w:pPr>
              <w:jc w:val="right"/>
              <w:spacing w:after="0"/>
              <w:rPr>
                <w:sz w:val="20"/>
                <w:szCs w:val="20"/>
                <w:color w:val="auto"/>
              </w:rPr>
            </w:pPr>
            <w:r>
              <w:rPr>
                <w:rFonts w:ascii="Arial" w:cs="Arial" w:eastAsia="Arial" w:hAnsi="Arial"/>
                <w:sz w:val="15"/>
                <w:szCs w:val="15"/>
                <w:color w:val="auto"/>
              </w:rPr>
              <w:t>25,120</w:t>
            </w:r>
          </w:p>
        </w:tc>
        <w:tc>
          <w:tcPr>
            <w:tcW w:w="80" w:type="dxa"/>
            <w:vAlign w:val="bottom"/>
          </w:tcPr>
          <w:p>
            <w:pPr>
              <w:spacing w:after="0"/>
              <w:rPr>
                <w:sz w:val="19"/>
                <w:szCs w:val="19"/>
                <w:color w:val="auto"/>
              </w:rPr>
            </w:pPr>
          </w:p>
        </w:tc>
      </w:tr>
      <w:tr>
        <w:trPr>
          <w:trHeight w:val="210"/>
        </w:trPr>
        <w:tc>
          <w:tcPr>
            <w:tcW w:w="6560" w:type="dxa"/>
            <w:vAlign w:val="bottom"/>
            <w:shd w:val="clear" w:color="auto" w:fill="D0E6E3"/>
          </w:tcPr>
          <w:p>
            <w:pPr>
              <w:ind w:left="180"/>
              <w:spacing w:after="0"/>
              <w:rPr>
                <w:sz w:val="20"/>
                <w:szCs w:val="20"/>
                <w:color w:val="auto"/>
              </w:rPr>
            </w:pPr>
            <w:r>
              <w:rPr>
                <w:rFonts w:ascii="Arial" w:cs="Arial" w:eastAsia="Arial" w:hAnsi="Arial"/>
                <w:sz w:val="15"/>
                <w:szCs w:val="15"/>
                <w:b w:val="1"/>
                <w:bCs w:val="1"/>
                <w:color w:val="auto"/>
              </w:rPr>
              <w:t>Net increase / (decrease) in cash and cash equivalents</w:t>
            </w:r>
          </w:p>
        </w:tc>
        <w:tc>
          <w:tcPr>
            <w:tcW w:w="2280" w:type="dxa"/>
            <w:vAlign w:val="bottom"/>
            <w:shd w:val="clear" w:color="auto" w:fill="D0E6E3"/>
          </w:tcPr>
          <w:p>
            <w:pPr>
              <w:jc w:val="right"/>
              <w:ind w:right="805"/>
              <w:spacing w:after="0"/>
              <w:rPr>
                <w:sz w:val="20"/>
                <w:szCs w:val="20"/>
                <w:color w:val="auto"/>
              </w:rPr>
            </w:pPr>
            <w:r>
              <w:rPr>
                <w:rFonts w:ascii="Arial" w:cs="Arial" w:eastAsia="Arial" w:hAnsi="Arial"/>
                <w:sz w:val="15"/>
                <w:szCs w:val="15"/>
                <w:b w:val="1"/>
                <w:bCs w:val="1"/>
                <w:color w:val="004750"/>
              </w:rPr>
              <w:t>161,689</w:t>
            </w:r>
          </w:p>
        </w:tc>
        <w:tc>
          <w:tcPr>
            <w:tcW w:w="700" w:type="dxa"/>
            <w:vAlign w:val="bottom"/>
            <w:shd w:val="clear" w:color="auto" w:fill="D0E6E3"/>
          </w:tcPr>
          <w:p>
            <w:pPr>
              <w:jc w:val="right"/>
              <w:spacing w:after="0"/>
              <w:rPr>
                <w:sz w:val="20"/>
                <w:szCs w:val="20"/>
                <w:color w:val="auto"/>
              </w:rPr>
            </w:pPr>
            <w:r>
              <w:rPr>
                <w:rFonts w:ascii="Arial" w:cs="Arial" w:eastAsia="Arial" w:hAnsi="Arial"/>
                <w:sz w:val="15"/>
                <w:szCs w:val="15"/>
                <w:b w:val="1"/>
                <w:bCs w:val="1"/>
                <w:color w:val="004750"/>
              </w:rPr>
              <w:t>(69,897)</w:t>
            </w:r>
          </w:p>
        </w:tc>
        <w:tc>
          <w:tcPr>
            <w:tcW w:w="80" w:type="dxa"/>
            <w:vAlign w:val="bottom"/>
          </w:tcPr>
          <w:p>
            <w:pPr>
              <w:spacing w:after="0"/>
              <w:rPr>
                <w:sz w:val="18"/>
                <w:szCs w:val="18"/>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5"/>
                <w:szCs w:val="15"/>
                <w:color w:val="auto"/>
              </w:rPr>
              <w:t>Cash and cash equivalents at beginning of period</w:t>
            </w:r>
          </w:p>
        </w:tc>
        <w:tc>
          <w:tcPr>
            <w:tcW w:w="2280" w:type="dxa"/>
            <w:vAlign w:val="bottom"/>
          </w:tcPr>
          <w:p>
            <w:pPr>
              <w:jc w:val="right"/>
              <w:ind w:right="805"/>
              <w:spacing w:after="0"/>
              <w:rPr>
                <w:sz w:val="20"/>
                <w:szCs w:val="20"/>
                <w:color w:val="auto"/>
              </w:rPr>
            </w:pPr>
            <w:r>
              <w:rPr>
                <w:rFonts w:ascii="Arial" w:cs="Arial" w:eastAsia="Arial" w:hAnsi="Arial"/>
                <w:sz w:val="15"/>
                <w:szCs w:val="15"/>
                <w:color w:val="auto"/>
              </w:rPr>
              <w:t>647,295</w:t>
            </w:r>
          </w:p>
        </w:tc>
        <w:tc>
          <w:tcPr>
            <w:tcW w:w="700" w:type="dxa"/>
            <w:vAlign w:val="bottom"/>
          </w:tcPr>
          <w:p>
            <w:pPr>
              <w:jc w:val="right"/>
              <w:spacing w:after="0"/>
              <w:rPr>
                <w:sz w:val="20"/>
                <w:szCs w:val="20"/>
                <w:color w:val="auto"/>
              </w:rPr>
            </w:pPr>
            <w:r>
              <w:rPr>
                <w:rFonts w:ascii="Arial" w:cs="Arial" w:eastAsia="Arial" w:hAnsi="Arial"/>
                <w:sz w:val="15"/>
                <w:szCs w:val="15"/>
                <w:color w:val="auto"/>
              </w:rPr>
              <w:t>538,785</w:t>
            </w:r>
          </w:p>
        </w:tc>
        <w:tc>
          <w:tcPr>
            <w:tcW w:w="80" w:type="dxa"/>
            <w:vAlign w:val="bottom"/>
          </w:tcPr>
          <w:p>
            <w:pPr>
              <w:spacing w:after="0"/>
              <w:rPr>
                <w:sz w:val="20"/>
                <w:szCs w:val="20"/>
                <w:color w:val="auto"/>
              </w:rPr>
            </w:pPr>
          </w:p>
        </w:tc>
      </w:tr>
      <w:tr>
        <w:trPr>
          <w:trHeight w:val="222"/>
        </w:trPr>
        <w:tc>
          <w:tcPr>
            <w:tcW w:w="6560" w:type="dxa"/>
            <w:vAlign w:val="bottom"/>
          </w:tcPr>
          <w:p>
            <w:pPr>
              <w:ind w:left="180"/>
              <w:spacing w:after="0"/>
              <w:rPr>
                <w:sz w:val="20"/>
                <w:szCs w:val="20"/>
                <w:color w:val="auto"/>
              </w:rPr>
            </w:pPr>
            <w:r>
              <w:rPr>
                <w:rFonts w:ascii="Arial" w:cs="Arial" w:eastAsia="Arial" w:hAnsi="Arial"/>
                <w:sz w:val="15"/>
                <w:szCs w:val="15"/>
                <w:b w:val="1"/>
                <w:bCs w:val="1"/>
                <w:color w:val="auto"/>
              </w:rPr>
              <w:t>Cash and cash equivalents at end of period</w:t>
            </w:r>
          </w:p>
        </w:tc>
        <w:tc>
          <w:tcPr>
            <w:tcW w:w="2280" w:type="dxa"/>
            <w:vAlign w:val="bottom"/>
          </w:tcPr>
          <w:p>
            <w:pPr>
              <w:jc w:val="right"/>
              <w:ind w:right="805"/>
              <w:spacing w:after="0"/>
              <w:rPr>
                <w:sz w:val="20"/>
                <w:szCs w:val="20"/>
                <w:color w:val="auto"/>
              </w:rPr>
            </w:pPr>
            <w:r>
              <w:rPr>
                <w:rFonts w:ascii="Arial" w:cs="Arial" w:eastAsia="Arial" w:hAnsi="Arial"/>
                <w:sz w:val="15"/>
                <w:szCs w:val="15"/>
                <w:b w:val="1"/>
                <w:bCs w:val="1"/>
                <w:color w:val="004750"/>
              </w:rPr>
              <w:t>808,984</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004750"/>
              </w:rPr>
              <w:t>468,888</w:t>
            </w:r>
          </w:p>
        </w:tc>
        <w:tc>
          <w:tcPr>
            <w:tcW w:w="80" w:type="dxa"/>
            <w:vAlign w:val="bottom"/>
          </w:tcPr>
          <w:p>
            <w:pPr>
              <w:spacing w:after="0"/>
              <w:rPr>
                <w:sz w:val="19"/>
                <w:szCs w:val="19"/>
                <w:color w:val="auto"/>
              </w:rPr>
            </w:pPr>
          </w:p>
        </w:tc>
      </w:tr>
      <w:tr>
        <w:trPr>
          <w:trHeight w:val="230"/>
        </w:trPr>
        <w:tc>
          <w:tcPr>
            <w:tcW w:w="6560" w:type="dxa"/>
            <w:vAlign w:val="bottom"/>
            <w:shd w:val="clear" w:color="auto" w:fill="F3F8F7"/>
          </w:tcPr>
          <w:p>
            <w:pPr>
              <w:spacing w:after="0"/>
              <w:rPr>
                <w:sz w:val="19"/>
                <w:szCs w:val="19"/>
                <w:color w:val="auto"/>
              </w:rPr>
            </w:pPr>
          </w:p>
        </w:tc>
        <w:tc>
          <w:tcPr>
            <w:tcW w:w="2280" w:type="dxa"/>
            <w:vAlign w:val="bottom"/>
            <w:shd w:val="clear" w:color="auto" w:fill="F3F8F7"/>
          </w:tcPr>
          <w:p>
            <w:pPr>
              <w:spacing w:after="0"/>
              <w:rPr>
                <w:sz w:val="19"/>
                <w:szCs w:val="19"/>
                <w:color w:val="auto"/>
              </w:rPr>
            </w:pPr>
          </w:p>
        </w:tc>
        <w:tc>
          <w:tcPr>
            <w:tcW w:w="700" w:type="dxa"/>
            <w:vAlign w:val="bottom"/>
            <w:shd w:val="clear" w:color="auto" w:fill="F3F8F7"/>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560" w:type="dxa"/>
            <w:vAlign w:val="bottom"/>
            <w:shd w:val="clear" w:color="auto" w:fill="F3F8F7"/>
          </w:tcPr>
          <w:p>
            <w:pPr>
              <w:spacing w:after="0"/>
              <w:rPr>
                <w:sz w:val="19"/>
                <w:szCs w:val="19"/>
                <w:color w:val="auto"/>
              </w:rPr>
            </w:pPr>
          </w:p>
        </w:tc>
        <w:tc>
          <w:tcPr>
            <w:tcW w:w="2280" w:type="dxa"/>
            <w:vAlign w:val="bottom"/>
            <w:shd w:val="clear" w:color="auto" w:fill="F3F8F7"/>
          </w:tcPr>
          <w:p>
            <w:pPr>
              <w:spacing w:after="0"/>
              <w:rPr>
                <w:sz w:val="19"/>
                <w:szCs w:val="19"/>
                <w:color w:val="auto"/>
              </w:rPr>
            </w:pPr>
          </w:p>
        </w:tc>
        <w:tc>
          <w:tcPr>
            <w:tcW w:w="700" w:type="dxa"/>
            <w:vAlign w:val="bottom"/>
            <w:shd w:val="clear" w:color="auto" w:fill="F3F8F7"/>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560" w:type="dxa"/>
            <w:vAlign w:val="bottom"/>
            <w:tcBorders>
              <w:bottom w:val="single" w:sz="8" w:color="128474"/>
            </w:tcBorders>
          </w:tcPr>
          <w:p>
            <w:pPr>
              <w:spacing w:after="0"/>
              <w:rPr>
                <w:sz w:val="19"/>
                <w:szCs w:val="19"/>
                <w:color w:val="auto"/>
              </w:rPr>
            </w:pPr>
          </w:p>
        </w:tc>
        <w:tc>
          <w:tcPr>
            <w:tcW w:w="2280" w:type="dxa"/>
            <w:vAlign w:val="bottom"/>
            <w:tcBorders>
              <w:bottom w:val="single" w:sz="8" w:color="128474"/>
            </w:tcBorders>
          </w:tcPr>
          <w:p>
            <w:pPr>
              <w:spacing w:after="0"/>
              <w:rPr>
                <w:sz w:val="19"/>
                <w:szCs w:val="19"/>
                <w:color w:val="auto"/>
              </w:rPr>
            </w:pPr>
          </w:p>
        </w:tc>
        <w:tc>
          <w:tcPr>
            <w:tcW w:w="700" w:type="dxa"/>
            <w:vAlign w:val="bottom"/>
            <w:tcBorders>
              <w:bottom w:val="single" w:sz="8" w:color="128474"/>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560" w:type="dxa"/>
            <w:vAlign w:val="bottom"/>
            <w:shd w:val="clear" w:color="auto" w:fill="D0E6E3"/>
          </w:tcPr>
          <w:p>
            <w:pPr>
              <w:spacing w:after="0"/>
              <w:rPr>
                <w:sz w:val="18"/>
                <w:szCs w:val="18"/>
                <w:color w:val="auto"/>
              </w:rPr>
            </w:pPr>
          </w:p>
        </w:tc>
        <w:tc>
          <w:tcPr>
            <w:tcW w:w="2280" w:type="dxa"/>
            <w:vAlign w:val="bottom"/>
            <w:shd w:val="clear" w:color="auto" w:fill="D0E6E3"/>
          </w:tcPr>
          <w:p>
            <w:pPr>
              <w:spacing w:after="0"/>
              <w:rPr>
                <w:sz w:val="18"/>
                <w:szCs w:val="18"/>
                <w:color w:val="auto"/>
              </w:rPr>
            </w:pPr>
          </w:p>
        </w:tc>
        <w:tc>
          <w:tcPr>
            <w:tcW w:w="700" w:type="dxa"/>
            <w:vAlign w:val="bottom"/>
            <w:shd w:val="clear" w:color="auto" w:fill="D0E6E3"/>
          </w:tcPr>
          <w:p>
            <w:pPr>
              <w:spacing w:after="0"/>
              <w:rPr>
                <w:sz w:val="18"/>
                <w:szCs w:val="18"/>
                <w:color w:val="auto"/>
              </w:rPr>
            </w:pPr>
          </w:p>
        </w:tc>
        <w:tc>
          <w:tcPr>
            <w:tcW w:w="80" w:type="dxa"/>
            <w:vAlign w:val="bottom"/>
          </w:tcPr>
          <w:p>
            <w:pPr>
              <w:spacing w:after="0"/>
              <w:rPr>
                <w:sz w:val="18"/>
                <w:szCs w:val="18"/>
                <w:color w:val="auto"/>
              </w:rPr>
            </w:pPr>
          </w:p>
        </w:tc>
      </w:tr>
    </w:tbl>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28474"/>
        </w:rPr>
        <w:t>ICON plc</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04750"/>
        </w:rPr>
        <w:t>RECONCILIATION OF NON-GAAP MEASURES</w:t>
      </w:r>
    </w:p>
    <w:p>
      <w:pPr>
        <w:spacing w:after="0" w:line="67" w:lineRule="exact"/>
        <w:rPr>
          <w:sz w:val="20"/>
          <w:szCs w:val="20"/>
          <w:color w:val="auto"/>
        </w:rPr>
      </w:pPr>
    </w:p>
    <w:p>
      <w:pPr>
        <w:jc w:val="center"/>
        <w:ind w:left="1120" w:right="300"/>
        <w:spacing w:after="0" w:line="343" w:lineRule="auto"/>
        <w:rPr>
          <w:sz w:val="20"/>
          <w:szCs w:val="20"/>
          <w:color w:val="auto"/>
        </w:rPr>
      </w:pPr>
      <w:r>
        <w:rPr>
          <w:rFonts w:ascii="Arial" w:cs="Arial" w:eastAsia="Arial" w:hAnsi="Arial"/>
          <w:sz w:val="18"/>
          <w:szCs w:val="18"/>
          <w:b w:val="1"/>
          <w:bCs w:val="1"/>
          <w:color w:val="6A696D"/>
        </w:rPr>
        <w:t>FOR THE THREE MONTHS AND NINE MONTHS ENDED SEPTEMBER 30, 2026 AND SEPTEMBER 30, 2025 (UNAUDITED)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FFFFFF"/>
              </w:rPr>
              <w:t>September 30,</w:t>
            </w:r>
          </w:p>
        </w:tc>
        <w:tc>
          <w:tcPr>
            <w:tcW w:w="16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b w:val="1"/>
                <w:bCs w:val="1"/>
                <w:color w:val="FFFFFF"/>
              </w:rPr>
              <w:t>September 30,</w:t>
            </w:r>
          </w:p>
        </w:tc>
        <w:tc>
          <w:tcPr>
            <w:tcW w:w="18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b w:val="1"/>
                <w:bCs w:val="1"/>
                <w:color w:val="FFFFFF"/>
                <w:w w:val="99"/>
              </w:rPr>
              <w:t>September 30,</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FFFFFF"/>
              </w:rPr>
              <w:t>September 30,</w:t>
            </w:r>
          </w:p>
        </w:tc>
      </w:tr>
      <w:tr>
        <w:trPr>
          <w:trHeight w:val="210"/>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FFFFFF"/>
              </w:rPr>
              <w:t>2026</w:t>
            </w:r>
          </w:p>
        </w:tc>
        <w:tc>
          <w:tcPr>
            <w:tcW w:w="16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b w:val="1"/>
                <w:bCs w:val="1"/>
                <w:color w:val="FFFFFF"/>
              </w:rPr>
              <w:t>2025</w:t>
            </w:r>
          </w:p>
        </w:tc>
        <w:tc>
          <w:tcPr>
            <w:tcW w:w="18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b w:val="1"/>
                <w:bCs w:val="1"/>
                <w:color w:val="FFFFFF"/>
              </w:rPr>
              <w:t>2026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FFFFFF"/>
              </w:rPr>
              <w:t>2025</w:t>
            </w:r>
          </w:p>
        </w:tc>
      </w:tr>
      <w:tr>
        <w:trPr>
          <w:trHeight w:val="216"/>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0" w:type="dxa"/>
            <w:vAlign w:val="bottom"/>
            <w:gridSpan w:val="7"/>
          </w:tcPr>
          <w:p>
            <w:pPr>
              <w:jc w:val="right"/>
              <w:ind w:right="764"/>
              <w:spacing w:after="0"/>
              <w:rPr>
                <w:sz w:val="20"/>
                <w:szCs w:val="20"/>
                <w:color w:val="auto"/>
              </w:rPr>
            </w:pPr>
            <w:r>
              <w:rPr>
                <w:rFonts w:ascii="Arial" w:cs="Arial" w:eastAsia="Arial" w:hAnsi="Arial"/>
                <w:sz w:val="15"/>
                <w:szCs w:val="15"/>
                <w:b w:val="1"/>
                <w:bCs w:val="1"/>
                <w:color w:val="FFFFFF"/>
              </w:rPr>
              <w:t>(in thousands except share and per share data)</w:t>
            </w:r>
          </w:p>
        </w:tc>
      </w:tr>
      <w:tr>
        <w:trPr>
          <w:trHeight w:val="486"/>
        </w:trPr>
        <w:tc>
          <w:tcPr>
            <w:tcW w:w="4300" w:type="dxa"/>
            <w:vAlign w:val="bottom"/>
          </w:tcPr>
          <w:p>
            <w:pPr>
              <w:ind w:left="60"/>
              <w:spacing w:after="0"/>
              <w:rPr>
                <w:sz w:val="20"/>
                <w:szCs w:val="20"/>
                <w:color w:val="auto"/>
              </w:rPr>
            </w:pPr>
            <w:r>
              <w:rPr>
                <w:rFonts w:ascii="Arial" w:cs="Arial" w:eastAsia="Arial" w:hAnsi="Arial"/>
                <w:sz w:val="15"/>
                <w:szCs w:val="15"/>
                <w:b w:val="1"/>
                <w:bCs w:val="1"/>
                <w:color w:val="128474"/>
              </w:rPr>
              <w:t>Adjusted EBITDA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4300" w:type="dxa"/>
            <w:vAlign w:val="bottom"/>
          </w:tcPr>
          <w:p>
            <w:pPr>
              <w:ind w:left="60"/>
              <w:spacing w:after="0"/>
              <w:rPr>
                <w:sz w:val="20"/>
                <w:szCs w:val="20"/>
                <w:color w:val="auto"/>
              </w:rPr>
            </w:pPr>
            <w:r>
              <w:rPr>
                <w:rFonts w:ascii="Arial" w:cs="Arial" w:eastAsia="Arial" w:hAnsi="Arial"/>
                <w:sz w:val="15"/>
                <w:szCs w:val="15"/>
                <w:color w:val="auto"/>
              </w:rPr>
              <w:t>Net income / (loss)</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122,130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(284,183)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299,463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80,145</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Income tax expense</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32,446</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12,791</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74,868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12,468</w:t>
            </w:r>
          </w:p>
        </w:tc>
      </w:tr>
      <w:tr>
        <w:trPr>
          <w:trHeight w:val="230"/>
        </w:trPr>
        <w:tc>
          <w:tcPr>
            <w:tcW w:w="4300" w:type="dxa"/>
            <w:vAlign w:val="bottom"/>
          </w:tcPr>
          <w:p>
            <w:pPr>
              <w:ind w:left="60"/>
              <w:spacing w:after="0"/>
              <w:rPr>
                <w:sz w:val="20"/>
                <w:szCs w:val="20"/>
                <w:color w:val="auto"/>
              </w:rPr>
            </w:pPr>
            <w:r>
              <w:rPr>
                <w:rFonts w:ascii="Arial" w:cs="Arial" w:eastAsia="Arial" w:hAnsi="Arial"/>
                <w:sz w:val="15"/>
                <w:szCs w:val="15"/>
                <w:color w:val="auto"/>
              </w:rPr>
              <w:t>Net interest expense</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60,563</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48,482</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152,371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142,386</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Depreciation and amortization of intangible assets</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94,422</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99,030</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275,520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292,706</w:t>
            </w:r>
          </w:p>
        </w:tc>
      </w:tr>
      <w:tr>
        <w:trPr>
          <w:trHeight w:val="230"/>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Stock-based compensation expense </w:t>
            </w:r>
            <w:r>
              <w:rPr>
                <w:rFonts w:ascii="Arial" w:cs="Arial" w:eastAsia="Arial" w:hAnsi="Arial"/>
                <w:sz w:val="19"/>
                <w:szCs w:val="19"/>
                <w:color w:val="auto"/>
                <w:vertAlign w:val="superscript"/>
              </w:rPr>
              <w:t>(a)</w:t>
            </w:r>
          </w:p>
        </w:tc>
        <w:tc>
          <w:tcPr>
            <w:tcW w:w="26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18,006</w:t>
            </w:r>
          </w:p>
        </w:tc>
        <w:tc>
          <w:tcPr>
            <w:tcW w:w="16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46,191</w:t>
            </w:r>
          </w:p>
        </w:tc>
        <w:tc>
          <w:tcPr>
            <w:tcW w:w="18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64,424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73,918</w:t>
            </w:r>
          </w:p>
        </w:tc>
      </w:tr>
      <w:tr>
        <w:trPr>
          <w:trHeight w:val="230"/>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Foreign currency losses / (gains), net </w:t>
            </w:r>
            <w:r>
              <w:rPr>
                <w:rFonts w:ascii="Arial" w:cs="Arial" w:eastAsia="Arial" w:hAnsi="Arial"/>
                <w:sz w:val="19"/>
                <w:szCs w:val="19"/>
                <w:color w:val="auto"/>
                <w:vertAlign w:val="superscript"/>
              </w:rPr>
              <w:t>(b)</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6,553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(6,860)</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(1,152)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35,250</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Restructuring and related costs </w:t>
            </w:r>
            <w:r>
              <w:rPr>
                <w:rFonts w:ascii="Arial" w:cs="Arial" w:eastAsia="Arial" w:hAnsi="Arial"/>
                <w:sz w:val="19"/>
                <w:szCs w:val="19"/>
                <w:color w:val="auto"/>
                <w:vertAlign w:val="superscript"/>
              </w:rPr>
              <w:t>(c)</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10,720</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41,700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82,296</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Transaction, integration related and other </w:t>
            </w:r>
            <w:r>
              <w:rPr>
                <w:rFonts w:ascii="Arial" w:cs="Arial" w:eastAsia="Arial" w:hAnsi="Arial"/>
                <w:sz w:val="19"/>
                <w:szCs w:val="19"/>
                <w:color w:val="auto"/>
                <w:vertAlign w:val="superscript"/>
              </w:rPr>
              <w:t>(d)</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10,664</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7,020</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66,724</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19,141</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Gain on investments </w:t>
            </w:r>
            <w:r>
              <w:rPr>
                <w:rFonts w:ascii="Arial" w:cs="Arial" w:eastAsia="Arial" w:hAnsi="Arial"/>
                <w:sz w:val="19"/>
                <w:szCs w:val="19"/>
                <w:color w:val="auto"/>
                <w:vertAlign w:val="superscript"/>
              </w:rPr>
              <w:t>(f)</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(18,631)</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(25,009)</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Loss on disposal of subsidiary undertaking </w:t>
            </w:r>
            <w:r>
              <w:rPr>
                <w:rFonts w:ascii="Arial" w:cs="Arial" w:eastAsia="Arial" w:hAnsi="Arial"/>
                <w:sz w:val="19"/>
                <w:szCs w:val="19"/>
                <w:color w:val="auto"/>
                <w:vertAlign w:val="superscript"/>
              </w:rPr>
              <w:t>(g)</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32,947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Goodwill impairment </w:t>
            </w:r>
            <w:r>
              <w:rPr>
                <w:rFonts w:ascii="Arial" w:cs="Arial" w:eastAsia="Arial" w:hAnsi="Arial"/>
                <w:sz w:val="19"/>
                <w:szCs w:val="19"/>
                <w:color w:val="auto"/>
                <w:vertAlign w:val="superscript"/>
              </w:rPr>
              <w:t>(h)</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364,248</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364,248</w:t>
            </w:r>
          </w:p>
        </w:tc>
      </w:tr>
      <w:tr>
        <w:trPr>
          <w:trHeight w:val="242"/>
        </w:trPr>
        <w:tc>
          <w:tcPr>
            <w:tcW w:w="4300" w:type="dxa"/>
            <w:vAlign w:val="bottom"/>
          </w:tcPr>
          <w:p>
            <w:pPr>
              <w:ind w:left="60"/>
              <w:spacing w:after="0"/>
              <w:rPr>
                <w:sz w:val="20"/>
                <w:szCs w:val="20"/>
                <w:color w:val="auto"/>
              </w:rPr>
            </w:pPr>
            <w:r>
              <w:rPr>
                <w:rFonts w:ascii="Arial" w:cs="Arial" w:eastAsia="Arial" w:hAnsi="Arial"/>
                <w:sz w:val="15"/>
                <w:szCs w:val="15"/>
                <w:color w:val="auto"/>
              </w:rPr>
              <w:t xml:space="preserve">Impairment of non-financial assets </w:t>
            </w:r>
            <w:r>
              <w:rPr>
                <w:rFonts w:ascii="Arial" w:cs="Arial" w:eastAsia="Arial" w:hAnsi="Arial"/>
                <w:sz w:val="19"/>
                <w:szCs w:val="19"/>
                <w:color w:val="auto"/>
                <w:vertAlign w:val="superscript"/>
              </w:rPr>
              <w:t>(i)</w:t>
            </w:r>
          </w:p>
        </w:tc>
        <w:tc>
          <w:tcPr>
            <w:tcW w:w="260" w:type="dxa"/>
            <w:vAlign w:val="bottom"/>
          </w:tcPr>
          <w:p>
            <w:pPr>
              <w:spacing w:after="0"/>
              <w:rPr>
                <w:sz w:val="21"/>
                <w:szCs w:val="21"/>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101,027</w:t>
            </w:r>
          </w:p>
        </w:tc>
        <w:tc>
          <w:tcPr>
            <w:tcW w:w="180" w:type="dxa"/>
            <w:vAlign w:val="bottom"/>
          </w:tcPr>
          <w:p>
            <w:pPr>
              <w:spacing w:after="0"/>
              <w:rPr>
                <w:sz w:val="21"/>
                <w:szCs w:val="21"/>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101,027</w:t>
            </w:r>
          </w:p>
        </w:tc>
      </w:tr>
      <w:tr>
        <w:trPr>
          <w:trHeight w:val="224"/>
        </w:trPr>
        <w:tc>
          <w:tcPr>
            <w:tcW w:w="4300" w:type="dxa"/>
            <w:vAlign w:val="bottom"/>
          </w:tcPr>
          <w:p>
            <w:pPr>
              <w:ind w:left="60"/>
              <w:spacing w:after="0"/>
              <w:rPr>
                <w:sz w:val="20"/>
                <w:szCs w:val="20"/>
                <w:color w:val="auto"/>
              </w:rPr>
            </w:pPr>
            <w:r>
              <w:rPr>
                <w:rFonts w:ascii="Arial" w:cs="Arial" w:eastAsia="Arial" w:hAnsi="Arial"/>
                <w:sz w:val="15"/>
                <w:szCs w:val="15"/>
                <w:b w:val="1"/>
                <w:bCs w:val="1"/>
                <w:color w:val="004750"/>
              </w:rPr>
              <w:t>Adjusted EBITDA</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4750"/>
              </w:rPr>
              <w:t>$</w:t>
            </w:r>
          </w:p>
        </w:tc>
        <w:tc>
          <w:tcPr>
            <w:tcW w:w="1140" w:type="dxa"/>
            <w:vAlign w:val="bottom"/>
          </w:tcPr>
          <w:p>
            <w:pPr>
              <w:jc w:val="right"/>
              <w:ind w:right="24"/>
              <w:spacing w:after="0"/>
              <w:rPr>
                <w:sz w:val="20"/>
                <w:szCs w:val="20"/>
                <w:color w:val="auto"/>
              </w:rPr>
            </w:pPr>
            <w:r>
              <w:rPr>
                <w:rFonts w:ascii="Arial" w:cs="Arial" w:eastAsia="Arial" w:hAnsi="Arial"/>
                <w:sz w:val="15"/>
                <w:szCs w:val="15"/>
                <w:b w:val="1"/>
                <w:bCs w:val="1"/>
                <w:color w:val="004750"/>
              </w:rPr>
              <w:t>336,873</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004750"/>
              </w:rPr>
              <w:t>$</w:t>
            </w:r>
          </w:p>
        </w:tc>
        <w:tc>
          <w:tcPr>
            <w:tcW w:w="1160" w:type="dxa"/>
            <w:vAlign w:val="bottom"/>
          </w:tcPr>
          <w:p>
            <w:pPr>
              <w:jc w:val="right"/>
              <w:ind w:right="44"/>
              <w:spacing w:after="0"/>
              <w:rPr>
                <w:sz w:val="20"/>
                <w:szCs w:val="20"/>
                <w:color w:val="auto"/>
              </w:rPr>
            </w:pPr>
            <w:r>
              <w:rPr>
                <w:rFonts w:ascii="Arial" w:cs="Arial" w:eastAsia="Arial" w:hAnsi="Arial"/>
                <w:sz w:val="15"/>
                <w:szCs w:val="15"/>
                <w:b w:val="1"/>
                <w:bCs w:val="1"/>
                <w:color w:val="004750"/>
              </w:rPr>
              <w:t>387,746</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4750"/>
              </w:rPr>
              <w:t>$</w:t>
            </w:r>
          </w:p>
        </w:tc>
        <w:tc>
          <w:tcPr>
            <w:tcW w:w="1140" w:type="dxa"/>
            <w:vAlign w:val="bottom"/>
          </w:tcPr>
          <w:p>
            <w:pPr>
              <w:jc w:val="right"/>
              <w:ind w:right="44"/>
              <w:spacing w:after="0"/>
              <w:rPr>
                <w:sz w:val="20"/>
                <w:szCs w:val="20"/>
                <w:color w:val="auto"/>
              </w:rPr>
            </w:pPr>
            <w:r>
              <w:rPr>
                <w:rFonts w:ascii="Arial" w:cs="Arial" w:eastAsia="Arial" w:hAnsi="Arial"/>
                <w:sz w:val="15"/>
                <w:szCs w:val="15"/>
                <w:b w:val="1"/>
                <w:bCs w:val="1"/>
                <w:color w:val="004750"/>
              </w:rPr>
              <w:t>981,856</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004750"/>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004750"/>
              </w:rPr>
              <w:t>1,203,585</w:t>
            </w:r>
          </w:p>
        </w:tc>
      </w:tr>
      <w:tr>
        <w:trPr>
          <w:trHeight w:val="451"/>
        </w:trPr>
        <w:tc>
          <w:tcPr>
            <w:tcW w:w="4300" w:type="dxa"/>
            <w:vAlign w:val="bottom"/>
          </w:tcPr>
          <w:p>
            <w:pPr>
              <w:spacing w:after="0"/>
              <w:rPr>
                <w:sz w:val="20"/>
                <w:szCs w:val="20"/>
                <w:color w:val="auto"/>
              </w:rPr>
            </w:pPr>
            <w:r>
              <w:rPr>
                <w:rFonts w:ascii="Arial" w:cs="Arial" w:eastAsia="Arial" w:hAnsi="Arial"/>
                <w:sz w:val="15"/>
                <w:szCs w:val="15"/>
                <w:b w:val="1"/>
                <w:bCs w:val="1"/>
                <w:color w:val="128474"/>
              </w:rPr>
              <w:t>Adjusted net income and adjusted diluted net income per</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5"/>
                <w:szCs w:val="15"/>
                <w:b w:val="1"/>
                <w:bCs w:val="1"/>
                <w:color w:val="128474"/>
              </w:rPr>
              <w:t>Ordinary Share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300" w:type="dxa"/>
            <w:vAlign w:val="bottom"/>
          </w:tcPr>
          <w:p>
            <w:pPr>
              <w:ind w:left="60"/>
              <w:spacing w:after="0"/>
              <w:rPr>
                <w:sz w:val="20"/>
                <w:szCs w:val="20"/>
                <w:color w:val="auto"/>
              </w:rPr>
            </w:pPr>
            <w:r>
              <w:rPr>
                <w:rFonts w:ascii="Arial" w:cs="Arial" w:eastAsia="Arial" w:hAnsi="Arial"/>
                <w:sz w:val="15"/>
                <w:szCs w:val="15"/>
                <w:color w:val="auto"/>
              </w:rPr>
              <w:t>Net income / (loss)</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122,130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(284,183)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299,463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80,145</w:t>
            </w:r>
          </w:p>
        </w:tc>
      </w:tr>
      <w:tr>
        <w:trPr>
          <w:trHeight w:val="229"/>
        </w:trPr>
        <w:tc>
          <w:tcPr>
            <w:tcW w:w="4300" w:type="dxa"/>
            <w:vAlign w:val="bottom"/>
          </w:tcPr>
          <w:p>
            <w:pPr>
              <w:ind w:left="60"/>
              <w:spacing w:after="0"/>
              <w:rPr>
                <w:sz w:val="20"/>
                <w:szCs w:val="20"/>
                <w:color w:val="auto"/>
              </w:rPr>
            </w:pPr>
            <w:r>
              <w:rPr>
                <w:rFonts w:ascii="Arial" w:cs="Arial" w:eastAsia="Arial" w:hAnsi="Arial"/>
                <w:sz w:val="15"/>
                <w:szCs w:val="15"/>
                <w:color w:val="auto"/>
              </w:rPr>
              <w:t>Income tax expense</w:t>
            </w:r>
          </w:p>
        </w:tc>
        <w:tc>
          <w:tcPr>
            <w:tcW w:w="26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32,446</w:t>
            </w:r>
          </w:p>
        </w:tc>
        <w:tc>
          <w:tcPr>
            <w:tcW w:w="1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12,791</w:t>
            </w:r>
          </w:p>
        </w:tc>
        <w:tc>
          <w:tcPr>
            <w:tcW w:w="180" w:type="dxa"/>
            <w:vAlign w:val="bottom"/>
          </w:tcPr>
          <w:p>
            <w:pPr>
              <w:spacing w:after="0"/>
              <w:rPr>
                <w:sz w:val="19"/>
                <w:szCs w:val="19"/>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74,868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12,468</w:t>
            </w:r>
          </w:p>
        </w:tc>
      </w:tr>
    </w:tbl>
    <w:p>
      <w:pPr>
        <w:sectPr>
          <w:pgSz w:w="11900" w:h="16844" w:orient="portrait"/>
          <w:cols w:equalWidth="0" w:num="1">
            <w:col w:w="9620"/>
          </w:cols>
          <w:pgMar w:left="1080" w:top="116" w:right="1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ind w:left="80"/>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tcPr>
          <w:p>
            <w:pPr>
              <w:spacing w:after="0"/>
              <w:rPr>
                <w:sz w:val="14"/>
                <w:szCs w:val="14"/>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46,244</w:t>
            </w:r>
          </w:p>
        </w:tc>
        <w:tc>
          <w:tcPr>
            <w:tcW w:w="300" w:type="dxa"/>
            <w:vAlign w:val="bottom"/>
          </w:tcPr>
          <w:p>
            <w:pPr>
              <w:spacing w:after="0"/>
              <w:rPr>
                <w:sz w:val="14"/>
                <w:szCs w:val="14"/>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58,688</w:t>
            </w:r>
          </w:p>
        </w:tc>
        <w:tc>
          <w:tcPr>
            <w:tcW w:w="3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146,631</w:t>
            </w:r>
          </w:p>
        </w:tc>
        <w:tc>
          <w:tcPr>
            <w:tcW w:w="3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176,691</w:t>
            </w:r>
          </w:p>
        </w:tc>
        <w:tc>
          <w:tcPr>
            <w:tcW w:w="0" w:type="dxa"/>
            <w:vAlign w:val="bottom"/>
          </w:tcPr>
          <w:p>
            <w:pPr>
              <w:spacing w:after="0"/>
              <w:rPr>
                <w:sz w:val="1"/>
                <w:szCs w:val="1"/>
                <w:color w:val="auto"/>
              </w:rPr>
            </w:pPr>
          </w:p>
        </w:tc>
      </w:tr>
      <w:tr>
        <w:trPr>
          <w:trHeight w:val="108"/>
        </w:trPr>
        <w:tc>
          <w:tcPr>
            <w:tcW w:w="4420" w:type="dxa"/>
            <w:vAlign w:val="bottom"/>
            <w:vMerge w:val="restart"/>
          </w:tcPr>
          <w:p>
            <w:pPr>
              <w:ind w:left="80"/>
              <w:spacing w:after="0"/>
              <w:rPr>
                <w:sz w:val="20"/>
                <w:szCs w:val="20"/>
                <w:color w:val="auto"/>
              </w:rPr>
            </w:pPr>
            <w:r>
              <w:rPr>
                <w:rFonts w:ascii="Arial" w:cs="Arial" w:eastAsia="Arial" w:hAnsi="Arial"/>
                <w:sz w:val="15"/>
                <w:szCs w:val="15"/>
                <w:color w:val="auto"/>
              </w:rPr>
              <w:t xml:space="preserve">Stock-based compensation expense </w:t>
            </w:r>
            <w:r>
              <w:rPr>
                <w:rFonts w:ascii="Arial" w:cs="Arial" w:eastAsia="Arial" w:hAnsi="Arial"/>
                <w:sz w:val="19"/>
                <w:szCs w:val="19"/>
                <w:color w:val="auto"/>
                <w:vertAlign w:val="superscript"/>
              </w:rPr>
              <w:t>(a)</w:t>
            </w:r>
          </w:p>
        </w:tc>
        <w:tc>
          <w:tcPr>
            <w:tcW w:w="280" w:type="dxa"/>
            <w:vAlign w:val="bottom"/>
          </w:tcPr>
          <w:p>
            <w:pPr>
              <w:spacing w:after="0"/>
              <w:rPr>
                <w:sz w:val="9"/>
                <w:szCs w:val="9"/>
                <w:color w:val="auto"/>
              </w:rPr>
            </w:pPr>
          </w:p>
        </w:tc>
        <w:tc>
          <w:tcPr>
            <w:tcW w:w="2340" w:type="dxa"/>
            <w:vAlign w:val="bottom"/>
            <w:gridSpan w:val="3"/>
          </w:tcPr>
          <w:p>
            <w:pPr>
              <w:jc w:val="right"/>
              <w:ind w:right="504"/>
              <w:spacing w:after="0" w:line="108" w:lineRule="exact"/>
              <w:rPr>
                <w:sz w:val="20"/>
                <w:szCs w:val="20"/>
                <w:color w:val="auto"/>
              </w:rPr>
            </w:pPr>
            <w:r>
              <w:rPr>
                <w:rFonts w:ascii="Arial" w:cs="Arial" w:eastAsia="Arial" w:hAnsi="Arial"/>
                <w:sz w:val="12"/>
                <w:szCs w:val="12"/>
                <w:b w:val="1"/>
                <w:bCs w:val="1"/>
                <w:color w:val="FFFFFF"/>
              </w:rPr>
              <w:t>Three Months Ended</w:t>
            </w:r>
          </w:p>
        </w:tc>
        <w:tc>
          <w:tcPr>
            <w:tcW w:w="300" w:type="dxa"/>
            <w:vAlign w:val="bottom"/>
          </w:tcPr>
          <w:p>
            <w:pPr>
              <w:spacing w:after="0"/>
              <w:rPr>
                <w:sz w:val="9"/>
                <w:szCs w:val="9"/>
                <w:color w:val="auto"/>
              </w:rPr>
            </w:pPr>
          </w:p>
        </w:tc>
        <w:tc>
          <w:tcPr>
            <w:tcW w:w="1740" w:type="dxa"/>
            <w:vAlign w:val="bottom"/>
            <w:gridSpan w:val="3"/>
          </w:tcPr>
          <w:p>
            <w:pPr>
              <w:ind w:left="300"/>
              <w:spacing w:after="0" w:line="108" w:lineRule="exact"/>
              <w:rPr>
                <w:sz w:val="20"/>
                <w:szCs w:val="20"/>
                <w:color w:val="auto"/>
              </w:rPr>
            </w:pPr>
            <w:r>
              <w:rPr>
                <w:rFonts w:ascii="Arial" w:cs="Arial" w:eastAsia="Arial" w:hAnsi="Arial"/>
                <w:sz w:val="12"/>
                <w:szCs w:val="12"/>
                <w:b w:val="1"/>
                <w:bCs w:val="1"/>
                <w:color w:val="FFFFFF"/>
              </w:rPr>
              <w:t>Nine Months Ended</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18,006</w:t>
            </w:r>
          </w:p>
        </w:tc>
        <w:tc>
          <w:tcPr>
            <w:tcW w:w="3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46,191</w:t>
            </w:r>
          </w:p>
        </w:tc>
        <w:tc>
          <w:tcPr>
            <w:tcW w:w="30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64,424</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73,918</w:t>
            </w:r>
          </w:p>
        </w:tc>
        <w:tc>
          <w:tcPr>
            <w:tcW w:w="0" w:type="dxa"/>
            <w:vAlign w:val="bottom"/>
          </w:tcPr>
          <w:p>
            <w:pPr>
              <w:spacing w:after="0"/>
              <w:rPr>
                <w:sz w:val="1"/>
                <w:szCs w:val="1"/>
                <w:color w:val="auto"/>
              </w:rPr>
            </w:pPr>
          </w:p>
        </w:tc>
      </w:tr>
      <w:tr>
        <w:trPr>
          <w:trHeight w:val="230"/>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Foreign currency losses / (gains), net </w:t>
            </w:r>
            <w:r>
              <w:rPr>
                <w:rFonts w:ascii="Arial" w:cs="Arial" w:eastAsia="Arial" w:hAnsi="Arial"/>
                <w:sz w:val="19"/>
                <w:szCs w:val="19"/>
                <w:color w:val="auto"/>
                <w:vertAlign w:val="superscript"/>
              </w:rPr>
              <w:t>(b)</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6,553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35,250</w:t>
            </w: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Restructuring and related costs </w:t>
            </w:r>
            <w:r>
              <w:rPr>
                <w:rFonts w:ascii="Arial" w:cs="Arial" w:eastAsia="Arial" w:hAnsi="Arial"/>
                <w:sz w:val="19"/>
                <w:szCs w:val="19"/>
                <w:color w:val="auto"/>
                <w:vertAlign w:val="superscript"/>
              </w:rPr>
              <w:t>(c)</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18,136</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49,116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82,296</w:t>
            </w: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Transaction, integration related and other </w:t>
            </w:r>
            <w:r>
              <w:rPr>
                <w:rFonts w:ascii="Arial" w:cs="Arial" w:eastAsia="Arial" w:hAnsi="Arial"/>
                <w:sz w:val="19"/>
                <w:szCs w:val="19"/>
                <w:color w:val="auto"/>
                <w:vertAlign w:val="superscript"/>
              </w:rPr>
              <w:t>(d)</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10,664</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7,020</w:t>
            </w:r>
          </w:p>
        </w:tc>
        <w:tc>
          <w:tcPr>
            <w:tcW w:w="3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66,724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19,141</w:t>
            </w:r>
          </w:p>
        </w:tc>
        <w:tc>
          <w:tcPr>
            <w:tcW w:w="0" w:type="dxa"/>
            <w:vAlign w:val="bottom"/>
          </w:tcPr>
          <w:p>
            <w:pPr>
              <w:spacing w:after="0"/>
              <w:rPr>
                <w:sz w:val="1"/>
                <w:szCs w:val="1"/>
                <w:color w:val="auto"/>
              </w:rPr>
            </w:pPr>
          </w:p>
        </w:tc>
      </w:tr>
      <w:tr>
        <w:trPr>
          <w:trHeight w:val="230"/>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Transaction-related financing costs </w:t>
            </w:r>
            <w:r>
              <w:rPr>
                <w:rFonts w:ascii="Arial" w:cs="Arial" w:eastAsia="Arial" w:hAnsi="Arial"/>
                <w:sz w:val="19"/>
                <w:szCs w:val="19"/>
                <w:color w:val="auto"/>
                <w:vertAlign w:val="superscript"/>
              </w:rPr>
              <w:t>(e)</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17,322</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1,499</w:t>
            </w:r>
          </w:p>
        </w:tc>
        <w:tc>
          <w:tcPr>
            <w:tcW w:w="3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21,023</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4,470</w:t>
            </w: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Gain on investments </w:t>
            </w:r>
            <w:r>
              <w:rPr>
                <w:rFonts w:ascii="Arial" w:cs="Arial" w:eastAsia="Arial" w:hAnsi="Arial"/>
                <w:sz w:val="19"/>
                <w:szCs w:val="19"/>
                <w:color w:val="auto"/>
                <w:vertAlign w:val="superscript"/>
              </w:rPr>
              <w:t>(f)</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(18,631)</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(25,009)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Loss on disposal of subsidiary undertaking </w:t>
            </w:r>
            <w:r>
              <w:rPr>
                <w:rFonts w:ascii="Arial" w:cs="Arial" w:eastAsia="Arial" w:hAnsi="Arial"/>
                <w:sz w:val="19"/>
                <w:szCs w:val="19"/>
                <w:color w:val="auto"/>
                <w:vertAlign w:val="superscript"/>
              </w:rPr>
              <w:t>(g)</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32,947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Goodwill impairment </w:t>
            </w:r>
            <w:r>
              <w:rPr>
                <w:rFonts w:ascii="Arial" w:cs="Arial" w:eastAsia="Arial" w:hAnsi="Arial"/>
                <w:sz w:val="19"/>
                <w:szCs w:val="19"/>
                <w:color w:val="auto"/>
                <w:vertAlign w:val="superscript"/>
              </w:rPr>
              <w:t>(h)</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364,248</w:t>
            </w:r>
          </w:p>
        </w:tc>
        <w:tc>
          <w:tcPr>
            <w:tcW w:w="3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364,248</w:t>
            </w: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Impairment of non-financial assets </w:t>
            </w:r>
            <w:r>
              <w:rPr>
                <w:rFonts w:ascii="Arial" w:cs="Arial" w:eastAsia="Arial" w:hAnsi="Arial"/>
                <w:sz w:val="19"/>
                <w:szCs w:val="19"/>
                <w:color w:val="auto"/>
                <w:vertAlign w:val="superscript"/>
              </w:rPr>
              <w:t>(i)</w:t>
            </w:r>
          </w:p>
        </w:tc>
        <w:tc>
          <w:tcPr>
            <w:tcW w:w="28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101,027</w:t>
            </w:r>
          </w:p>
        </w:tc>
        <w:tc>
          <w:tcPr>
            <w:tcW w:w="3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101,027</w:t>
            </w: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color w:val="auto"/>
              </w:rPr>
              <w:t xml:space="preserve">Adjusted tax expense </w:t>
            </w:r>
            <w:r>
              <w:rPr>
                <w:rFonts w:ascii="Arial" w:cs="Arial" w:eastAsia="Arial" w:hAnsi="Arial"/>
                <w:sz w:val="19"/>
                <w:szCs w:val="19"/>
                <w:color w:val="auto"/>
                <w:vertAlign w:val="superscript"/>
              </w:rPr>
              <w:t>(j)</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(47,034)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(50,771)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(131,852)</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(154,918)</w:t>
            </w:r>
          </w:p>
        </w:tc>
        <w:tc>
          <w:tcPr>
            <w:tcW w:w="0" w:type="dxa"/>
            <w:vAlign w:val="bottom"/>
          </w:tcPr>
          <w:p>
            <w:pPr>
              <w:spacing w:after="0"/>
              <w:rPr>
                <w:sz w:val="1"/>
                <w:szCs w:val="1"/>
                <w:color w:val="auto"/>
              </w:rPr>
            </w:pPr>
          </w:p>
        </w:tc>
      </w:tr>
      <w:tr>
        <w:trPr>
          <w:trHeight w:val="224"/>
        </w:trPr>
        <w:tc>
          <w:tcPr>
            <w:tcW w:w="4420" w:type="dxa"/>
            <w:vAlign w:val="bottom"/>
          </w:tcPr>
          <w:p>
            <w:pPr>
              <w:ind w:left="80"/>
              <w:spacing w:after="0"/>
              <w:rPr>
                <w:sz w:val="20"/>
                <w:szCs w:val="20"/>
                <w:color w:val="auto"/>
              </w:rPr>
            </w:pPr>
            <w:r>
              <w:rPr>
                <w:rFonts w:ascii="Arial" w:cs="Arial" w:eastAsia="Arial" w:hAnsi="Arial"/>
                <w:sz w:val="15"/>
                <w:szCs w:val="15"/>
                <w:b w:val="1"/>
                <w:bCs w:val="1"/>
                <w:color w:val="004750"/>
              </w:rPr>
              <w:t>Adjusted net income</w:t>
            </w:r>
          </w:p>
        </w:tc>
        <w:tc>
          <w:tcPr>
            <w:tcW w:w="28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1020" w:type="dxa"/>
            <w:vAlign w:val="bottom"/>
          </w:tcPr>
          <w:p>
            <w:pPr>
              <w:jc w:val="right"/>
              <w:ind w:right="25"/>
              <w:spacing w:after="0"/>
              <w:rPr>
                <w:sz w:val="20"/>
                <w:szCs w:val="20"/>
                <w:color w:val="auto"/>
              </w:rPr>
            </w:pPr>
            <w:r>
              <w:rPr>
                <w:rFonts w:ascii="Arial" w:cs="Arial" w:eastAsia="Arial" w:hAnsi="Arial"/>
                <w:sz w:val="15"/>
                <w:szCs w:val="15"/>
                <w:b w:val="1"/>
                <w:bCs w:val="1"/>
                <w:color w:val="004750"/>
              </w:rPr>
              <w:t>205,836</w:t>
            </w:r>
          </w:p>
        </w:tc>
        <w:tc>
          <w:tcPr>
            <w:tcW w:w="300" w:type="dxa"/>
            <w:vAlign w:val="bottom"/>
          </w:tcPr>
          <w:p>
            <w:pPr>
              <w:jc w:val="right"/>
              <w:ind w:right="84"/>
              <w:spacing w:after="0"/>
              <w:rPr>
                <w:sz w:val="20"/>
                <w:szCs w:val="20"/>
                <w:color w:val="auto"/>
              </w:rPr>
            </w:pPr>
            <w:r>
              <w:rPr>
                <w:rFonts w:ascii="Arial" w:cs="Arial" w:eastAsia="Arial" w:hAnsi="Arial"/>
                <w:sz w:val="15"/>
                <w:szCs w:val="15"/>
                <w:b w:val="1"/>
                <w:bCs w:val="1"/>
                <w:color w:val="004750"/>
              </w:rPr>
              <w:t>$</w:t>
            </w:r>
          </w:p>
        </w:tc>
        <w:tc>
          <w:tcPr>
            <w:tcW w:w="1020" w:type="dxa"/>
            <w:vAlign w:val="bottom"/>
          </w:tcPr>
          <w:p>
            <w:pPr>
              <w:jc w:val="right"/>
              <w:ind w:right="44"/>
              <w:spacing w:after="0"/>
              <w:rPr>
                <w:sz w:val="20"/>
                <w:szCs w:val="20"/>
                <w:color w:val="auto"/>
              </w:rPr>
            </w:pPr>
            <w:r>
              <w:rPr>
                <w:rFonts w:ascii="Arial" w:cs="Arial" w:eastAsia="Arial" w:hAnsi="Arial"/>
                <w:sz w:val="15"/>
                <w:szCs w:val="15"/>
                <w:b w:val="1"/>
                <w:bCs w:val="1"/>
                <w:color w:val="004750"/>
              </w:rPr>
              <w:t>249,650</w:t>
            </w:r>
          </w:p>
        </w:tc>
        <w:tc>
          <w:tcPr>
            <w:tcW w:w="30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1020" w:type="dxa"/>
            <w:vAlign w:val="bottom"/>
          </w:tcPr>
          <w:p>
            <w:pPr>
              <w:jc w:val="right"/>
              <w:ind w:right="45"/>
              <w:spacing w:after="0"/>
              <w:rPr>
                <w:sz w:val="20"/>
                <w:szCs w:val="20"/>
                <w:color w:val="auto"/>
              </w:rPr>
            </w:pPr>
            <w:r>
              <w:rPr>
                <w:rFonts w:ascii="Arial" w:cs="Arial" w:eastAsia="Arial" w:hAnsi="Arial"/>
                <w:sz w:val="15"/>
                <w:szCs w:val="15"/>
                <w:b w:val="1"/>
                <w:bCs w:val="1"/>
                <w:color w:val="004750"/>
              </w:rPr>
              <w:t>597,183</w:t>
            </w:r>
          </w:p>
        </w:tc>
        <w:tc>
          <w:tcPr>
            <w:tcW w:w="30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004750"/>
              </w:rPr>
              <w:t>794,736</w:t>
            </w:r>
          </w:p>
        </w:tc>
        <w:tc>
          <w:tcPr>
            <w:tcW w:w="0" w:type="dxa"/>
            <w:vAlign w:val="bottom"/>
          </w:tcPr>
          <w:p>
            <w:pPr>
              <w:spacing w:after="0"/>
              <w:rPr>
                <w:sz w:val="1"/>
                <w:szCs w:val="1"/>
                <w:color w:val="auto"/>
              </w:rPr>
            </w:pPr>
          </w:p>
        </w:tc>
      </w:tr>
      <w:tr>
        <w:trPr>
          <w:trHeight w:val="417"/>
        </w:trPr>
        <w:tc>
          <w:tcPr>
            <w:tcW w:w="4420" w:type="dxa"/>
            <w:vAlign w:val="bottom"/>
          </w:tcPr>
          <w:p>
            <w:pPr>
              <w:ind w:left="80"/>
              <w:spacing w:after="0"/>
              <w:rPr>
                <w:sz w:val="20"/>
                <w:szCs w:val="20"/>
                <w:color w:val="auto"/>
              </w:rPr>
            </w:pPr>
            <w:r>
              <w:rPr>
                <w:rFonts w:ascii="Arial" w:cs="Arial" w:eastAsia="Arial" w:hAnsi="Arial"/>
                <w:sz w:val="15"/>
                <w:szCs w:val="15"/>
                <w:color w:val="auto"/>
              </w:rPr>
              <w:t>Diluted weighted average number of Ordinary Shares</w:t>
            </w:r>
          </w:p>
        </w:tc>
        <w:tc>
          <w:tcPr>
            <w:tcW w:w="280" w:type="dxa"/>
            <w:vAlign w:val="bottom"/>
          </w:tcPr>
          <w:p>
            <w:pPr>
              <w:spacing w:after="0"/>
              <w:rPr>
                <w:sz w:val="24"/>
                <w:szCs w:val="24"/>
                <w:color w:val="auto"/>
              </w:rPr>
            </w:pP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77,404,061</w:t>
            </w:r>
          </w:p>
        </w:tc>
        <w:tc>
          <w:tcPr>
            <w:tcW w:w="300" w:type="dxa"/>
            <w:vAlign w:val="bottom"/>
          </w:tcPr>
          <w:p>
            <w:pPr>
              <w:spacing w:after="0"/>
              <w:rPr>
                <w:sz w:val="24"/>
                <w:szCs w:val="24"/>
                <w:color w:val="auto"/>
              </w:rPr>
            </w:pPr>
          </w:p>
        </w:tc>
        <w:tc>
          <w:tcPr>
            <w:tcW w:w="1020" w:type="dxa"/>
            <w:vAlign w:val="bottom"/>
            <w:vMerge w:val="restart"/>
          </w:tcPr>
          <w:p>
            <w:pPr>
              <w:jc w:val="right"/>
              <w:ind w:right="44"/>
              <w:spacing w:after="0"/>
              <w:rPr>
                <w:sz w:val="20"/>
                <w:szCs w:val="20"/>
                <w:color w:val="auto"/>
              </w:rPr>
            </w:pPr>
            <w:r>
              <w:rPr>
                <w:rFonts w:ascii="Arial" w:cs="Arial" w:eastAsia="Arial" w:hAnsi="Arial"/>
                <w:sz w:val="15"/>
                <w:szCs w:val="15"/>
                <w:color w:val="auto"/>
              </w:rPr>
              <w:t>78,082,459</w:t>
            </w:r>
          </w:p>
        </w:tc>
        <w:tc>
          <w:tcPr>
            <w:tcW w:w="300" w:type="dxa"/>
            <w:vAlign w:val="bottom"/>
          </w:tcPr>
          <w:p>
            <w:pPr>
              <w:spacing w:after="0"/>
              <w:rPr>
                <w:sz w:val="24"/>
                <w:szCs w:val="24"/>
                <w:color w:val="auto"/>
              </w:rPr>
            </w:pPr>
          </w:p>
        </w:tc>
        <w:tc>
          <w:tcPr>
            <w:tcW w:w="1020" w:type="dxa"/>
            <w:vAlign w:val="bottom"/>
            <w:vMerge w:val="restart"/>
          </w:tcPr>
          <w:p>
            <w:pPr>
              <w:jc w:val="right"/>
              <w:ind w:right="45"/>
              <w:spacing w:after="0"/>
              <w:rPr>
                <w:sz w:val="20"/>
                <w:szCs w:val="20"/>
                <w:color w:val="auto"/>
              </w:rPr>
            </w:pPr>
            <w:r>
              <w:rPr>
                <w:rFonts w:ascii="Arial" w:cs="Arial" w:eastAsia="Arial" w:hAnsi="Arial"/>
                <w:sz w:val="15"/>
                <w:szCs w:val="15"/>
                <w:color w:val="auto"/>
              </w:rPr>
              <w:t>77,345,757</w:t>
            </w:r>
          </w:p>
        </w:tc>
        <w:tc>
          <w:tcPr>
            <w:tcW w:w="300" w:type="dxa"/>
            <w:vAlign w:val="bottom"/>
          </w:tcPr>
          <w:p>
            <w:pPr>
              <w:spacing w:after="0"/>
              <w:rPr>
                <w:sz w:val="24"/>
                <w:szCs w:val="2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color w:val="auto"/>
              </w:rPr>
              <w:t>79,518,086</w:t>
            </w:r>
          </w:p>
        </w:tc>
        <w:tc>
          <w:tcPr>
            <w:tcW w:w="0" w:type="dxa"/>
            <w:vAlign w:val="bottom"/>
          </w:tcPr>
          <w:p>
            <w:pPr>
              <w:spacing w:after="0"/>
              <w:rPr>
                <w:sz w:val="1"/>
                <w:szCs w:val="1"/>
                <w:color w:val="auto"/>
              </w:rPr>
            </w:pPr>
          </w:p>
        </w:tc>
      </w:tr>
      <w:tr>
        <w:trPr>
          <w:trHeight w:val="129"/>
        </w:trPr>
        <w:tc>
          <w:tcPr>
            <w:tcW w:w="4420" w:type="dxa"/>
            <w:vAlign w:val="bottom"/>
            <w:vMerge w:val="restart"/>
          </w:tcPr>
          <w:p>
            <w:pPr>
              <w:ind w:left="80"/>
              <w:spacing w:after="0"/>
              <w:rPr>
                <w:sz w:val="20"/>
                <w:szCs w:val="20"/>
                <w:color w:val="auto"/>
              </w:rPr>
            </w:pPr>
            <w:r>
              <w:rPr>
                <w:rFonts w:ascii="Arial" w:cs="Arial" w:eastAsia="Arial" w:hAnsi="Arial"/>
                <w:sz w:val="15"/>
                <w:szCs w:val="15"/>
                <w:color w:val="auto"/>
              </w:rPr>
              <w:t>outstanding</w:t>
            </w: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4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F3F8F7"/>
          </w:tcPr>
          <w:p>
            <w:pPr>
              <w:spacing w:after="0"/>
              <w:rPr>
                <w:sz w:val="19"/>
                <w:szCs w:val="19"/>
                <w:color w:val="auto"/>
              </w:rPr>
            </w:pPr>
          </w:p>
        </w:tc>
        <w:tc>
          <w:tcPr>
            <w:tcW w:w="28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420" w:type="dxa"/>
            <w:vAlign w:val="bottom"/>
            <w:shd w:val="clear" w:color="auto" w:fill="F3F8F7"/>
          </w:tcPr>
          <w:p>
            <w:pPr>
              <w:spacing w:after="0"/>
              <w:rPr>
                <w:sz w:val="19"/>
                <w:szCs w:val="19"/>
                <w:color w:val="auto"/>
              </w:rPr>
            </w:pPr>
          </w:p>
        </w:tc>
        <w:tc>
          <w:tcPr>
            <w:tcW w:w="540" w:type="dxa"/>
            <w:vAlign w:val="bottom"/>
            <w:shd w:val="clear" w:color="auto" w:fill="F3F8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80"/>
              <w:spacing w:after="0"/>
              <w:rPr>
                <w:sz w:val="20"/>
                <w:szCs w:val="20"/>
                <w:color w:val="auto"/>
              </w:rPr>
            </w:pPr>
            <w:r>
              <w:rPr>
                <w:rFonts w:ascii="Arial" w:cs="Arial" w:eastAsia="Arial" w:hAnsi="Arial"/>
                <w:sz w:val="15"/>
                <w:szCs w:val="15"/>
                <w:b w:val="1"/>
                <w:bCs w:val="1"/>
                <w:color w:val="004750"/>
              </w:rPr>
              <w:t>Adjusted diluted net income per Ordinary Share</w:t>
            </w:r>
          </w:p>
        </w:tc>
        <w:tc>
          <w:tcPr>
            <w:tcW w:w="28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1020" w:type="dxa"/>
            <w:vAlign w:val="bottom"/>
          </w:tcPr>
          <w:p>
            <w:pPr>
              <w:jc w:val="right"/>
              <w:ind w:right="25"/>
              <w:spacing w:after="0"/>
              <w:rPr>
                <w:sz w:val="20"/>
                <w:szCs w:val="20"/>
                <w:color w:val="auto"/>
              </w:rPr>
            </w:pPr>
            <w:r>
              <w:rPr>
                <w:rFonts w:ascii="Arial" w:cs="Arial" w:eastAsia="Arial" w:hAnsi="Arial"/>
                <w:sz w:val="15"/>
                <w:szCs w:val="15"/>
                <w:b w:val="1"/>
                <w:bCs w:val="1"/>
                <w:color w:val="004750"/>
              </w:rPr>
              <w:t>2.66</w:t>
            </w:r>
          </w:p>
        </w:tc>
        <w:tc>
          <w:tcPr>
            <w:tcW w:w="300" w:type="dxa"/>
            <w:vAlign w:val="bottom"/>
          </w:tcPr>
          <w:p>
            <w:pPr>
              <w:jc w:val="right"/>
              <w:ind w:right="84"/>
              <w:spacing w:after="0"/>
              <w:rPr>
                <w:sz w:val="20"/>
                <w:szCs w:val="20"/>
                <w:color w:val="auto"/>
              </w:rPr>
            </w:pPr>
            <w:r>
              <w:rPr>
                <w:rFonts w:ascii="Arial" w:cs="Arial" w:eastAsia="Arial" w:hAnsi="Arial"/>
                <w:sz w:val="15"/>
                <w:szCs w:val="15"/>
                <w:b w:val="1"/>
                <w:bCs w:val="1"/>
                <w:color w:val="004750"/>
              </w:rPr>
              <w:t>$</w:t>
            </w:r>
          </w:p>
        </w:tc>
        <w:tc>
          <w:tcPr>
            <w:tcW w:w="1020" w:type="dxa"/>
            <w:vAlign w:val="bottom"/>
          </w:tcPr>
          <w:p>
            <w:pPr>
              <w:jc w:val="right"/>
              <w:ind w:right="44"/>
              <w:spacing w:after="0"/>
              <w:rPr>
                <w:sz w:val="20"/>
                <w:szCs w:val="20"/>
                <w:color w:val="auto"/>
              </w:rPr>
            </w:pPr>
            <w:r>
              <w:rPr>
                <w:rFonts w:ascii="Arial" w:cs="Arial" w:eastAsia="Arial" w:hAnsi="Arial"/>
                <w:sz w:val="15"/>
                <w:szCs w:val="15"/>
                <w:b w:val="1"/>
                <w:bCs w:val="1"/>
                <w:color w:val="004750"/>
              </w:rPr>
              <w:t>3.20</w:t>
            </w:r>
          </w:p>
        </w:tc>
        <w:tc>
          <w:tcPr>
            <w:tcW w:w="30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1020" w:type="dxa"/>
            <w:vAlign w:val="bottom"/>
          </w:tcPr>
          <w:p>
            <w:pPr>
              <w:jc w:val="right"/>
              <w:ind w:right="45"/>
              <w:spacing w:after="0"/>
              <w:rPr>
                <w:sz w:val="20"/>
                <w:szCs w:val="20"/>
                <w:color w:val="auto"/>
              </w:rPr>
            </w:pPr>
            <w:r>
              <w:rPr>
                <w:rFonts w:ascii="Arial" w:cs="Arial" w:eastAsia="Arial" w:hAnsi="Arial"/>
                <w:sz w:val="15"/>
                <w:szCs w:val="15"/>
                <w:b w:val="1"/>
                <w:bCs w:val="1"/>
                <w:color w:val="004750"/>
              </w:rPr>
              <w:t>7.72</w:t>
            </w:r>
          </w:p>
        </w:tc>
        <w:tc>
          <w:tcPr>
            <w:tcW w:w="300" w:type="dxa"/>
            <w:vAlign w:val="bottom"/>
          </w:tcPr>
          <w:p>
            <w:pPr>
              <w:jc w:val="right"/>
              <w:ind w:right="64"/>
              <w:spacing w:after="0"/>
              <w:rPr>
                <w:sz w:val="20"/>
                <w:szCs w:val="20"/>
                <w:color w:val="auto"/>
              </w:rPr>
            </w:pPr>
            <w:r>
              <w:rPr>
                <w:rFonts w:ascii="Arial" w:cs="Arial" w:eastAsia="Arial" w:hAnsi="Arial"/>
                <w:sz w:val="15"/>
                <w:szCs w:val="15"/>
                <w:b w:val="1"/>
                <w:bCs w:val="1"/>
                <w:color w:val="004750"/>
              </w:rPr>
              <w:t>$</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004750"/>
              </w:rPr>
              <w:t>9.99</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128474"/>
            </w:tcBorders>
            <w:shd w:val="clear" w:color="auto" w:fill="F3F8F7"/>
          </w:tcPr>
          <w:p>
            <w:pPr>
              <w:spacing w:after="0"/>
              <w:rPr>
                <w:sz w:val="19"/>
                <w:szCs w:val="19"/>
                <w:color w:val="auto"/>
              </w:rPr>
            </w:pPr>
          </w:p>
        </w:tc>
        <w:tc>
          <w:tcPr>
            <w:tcW w:w="280" w:type="dxa"/>
            <w:vAlign w:val="bottom"/>
            <w:tcBorders>
              <w:bottom w:val="single" w:sz="8" w:color="128474"/>
            </w:tcBorders>
            <w:shd w:val="clear" w:color="auto" w:fill="F3F8F7"/>
          </w:tcPr>
          <w:p>
            <w:pPr>
              <w:spacing w:after="0"/>
              <w:rPr>
                <w:sz w:val="19"/>
                <w:szCs w:val="19"/>
                <w:color w:val="auto"/>
              </w:rPr>
            </w:pPr>
          </w:p>
        </w:tc>
        <w:tc>
          <w:tcPr>
            <w:tcW w:w="1020" w:type="dxa"/>
            <w:vAlign w:val="bottom"/>
            <w:tcBorders>
              <w:bottom w:val="single" w:sz="8" w:color="128474"/>
            </w:tcBorders>
            <w:shd w:val="clear" w:color="auto" w:fill="F3F8F7"/>
          </w:tcPr>
          <w:p>
            <w:pPr>
              <w:spacing w:after="0"/>
              <w:rPr>
                <w:sz w:val="19"/>
                <w:szCs w:val="19"/>
                <w:color w:val="auto"/>
              </w:rPr>
            </w:pPr>
          </w:p>
        </w:tc>
        <w:tc>
          <w:tcPr>
            <w:tcW w:w="300" w:type="dxa"/>
            <w:vAlign w:val="bottom"/>
            <w:tcBorders>
              <w:bottom w:val="single" w:sz="8" w:color="128474"/>
            </w:tcBorders>
            <w:shd w:val="clear" w:color="auto" w:fill="F3F8F7"/>
          </w:tcPr>
          <w:p>
            <w:pPr>
              <w:spacing w:after="0"/>
              <w:rPr>
                <w:sz w:val="19"/>
                <w:szCs w:val="19"/>
                <w:color w:val="auto"/>
              </w:rPr>
            </w:pPr>
          </w:p>
        </w:tc>
        <w:tc>
          <w:tcPr>
            <w:tcW w:w="1020" w:type="dxa"/>
            <w:vAlign w:val="bottom"/>
            <w:tcBorders>
              <w:bottom w:val="single" w:sz="8" w:color="128474"/>
            </w:tcBorders>
            <w:shd w:val="clear" w:color="auto" w:fill="F3F8F7"/>
          </w:tcPr>
          <w:p>
            <w:pPr>
              <w:spacing w:after="0"/>
              <w:rPr>
                <w:sz w:val="19"/>
                <w:szCs w:val="19"/>
                <w:color w:val="auto"/>
              </w:rPr>
            </w:pPr>
          </w:p>
        </w:tc>
        <w:tc>
          <w:tcPr>
            <w:tcW w:w="300" w:type="dxa"/>
            <w:vAlign w:val="bottom"/>
            <w:tcBorders>
              <w:bottom w:val="single" w:sz="8" w:color="128474"/>
            </w:tcBorders>
            <w:shd w:val="clear" w:color="auto" w:fill="F3F8F7"/>
          </w:tcPr>
          <w:p>
            <w:pPr>
              <w:spacing w:after="0"/>
              <w:rPr>
                <w:sz w:val="19"/>
                <w:szCs w:val="19"/>
                <w:color w:val="auto"/>
              </w:rPr>
            </w:pPr>
          </w:p>
        </w:tc>
        <w:tc>
          <w:tcPr>
            <w:tcW w:w="1020" w:type="dxa"/>
            <w:vAlign w:val="bottom"/>
            <w:tcBorders>
              <w:bottom w:val="single" w:sz="8" w:color="128474"/>
            </w:tcBorders>
            <w:shd w:val="clear" w:color="auto" w:fill="F3F8F7"/>
          </w:tcPr>
          <w:p>
            <w:pPr>
              <w:spacing w:after="0"/>
              <w:rPr>
                <w:sz w:val="19"/>
                <w:szCs w:val="19"/>
                <w:color w:val="auto"/>
              </w:rPr>
            </w:pPr>
          </w:p>
        </w:tc>
        <w:tc>
          <w:tcPr>
            <w:tcW w:w="300" w:type="dxa"/>
            <w:vAlign w:val="bottom"/>
            <w:tcBorders>
              <w:bottom w:val="single" w:sz="8" w:color="128474"/>
            </w:tcBorders>
            <w:shd w:val="clear" w:color="auto" w:fill="F3F8F7"/>
          </w:tcPr>
          <w:p>
            <w:pPr>
              <w:spacing w:after="0"/>
              <w:rPr>
                <w:sz w:val="19"/>
                <w:szCs w:val="19"/>
                <w:color w:val="auto"/>
              </w:rPr>
            </w:pPr>
          </w:p>
        </w:tc>
        <w:tc>
          <w:tcPr>
            <w:tcW w:w="420" w:type="dxa"/>
            <w:vAlign w:val="bottom"/>
            <w:tcBorders>
              <w:bottom w:val="single" w:sz="8" w:color="128474"/>
            </w:tcBorders>
            <w:shd w:val="clear" w:color="auto" w:fill="F3F8F7"/>
          </w:tcPr>
          <w:p>
            <w:pPr>
              <w:spacing w:after="0"/>
              <w:rPr>
                <w:sz w:val="19"/>
                <w:szCs w:val="19"/>
                <w:color w:val="auto"/>
              </w:rPr>
            </w:pPr>
          </w:p>
        </w:tc>
        <w:tc>
          <w:tcPr>
            <w:tcW w:w="540" w:type="dxa"/>
            <w:vAlign w:val="bottom"/>
            <w:tcBorders>
              <w:bottom w:val="single" w:sz="8" w:color="128474"/>
            </w:tcBorders>
            <w:shd w:val="clear" w:color="auto" w:fill="F3F8F7"/>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420" w:type="dxa"/>
            <w:vAlign w:val="bottom"/>
            <w:tcBorders>
              <w:bottom w:val="single" w:sz="8" w:color="auto"/>
            </w:tcBorders>
            <w:shd w:val="clear" w:color="auto" w:fill="D0E6E3"/>
          </w:tcPr>
          <w:p>
            <w:pPr>
              <w:spacing w:after="0"/>
              <w:rPr>
                <w:sz w:val="17"/>
                <w:szCs w:val="17"/>
                <w:color w:val="auto"/>
              </w:rPr>
            </w:pPr>
          </w:p>
        </w:tc>
        <w:tc>
          <w:tcPr>
            <w:tcW w:w="280" w:type="dxa"/>
            <w:vAlign w:val="bottom"/>
            <w:tcBorders>
              <w:bottom w:val="single" w:sz="8" w:color="auto"/>
            </w:tcBorders>
            <w:shd w:val="clear" w:color="auto" w:fill="D0E6E3"/>
          </w:tcPr>
          <w:p>
            <w:pPr>
              <w:spacing w:after="0"/>
              <w:rPr>
                <w:sz w:val="17"/>
                <w:szCs w:val="17"/>
                <w:color w:val="auto"/>
              </w:rPr>
            </w:pPr>
          </w:p>
        </w:tc>
        <w:tc>
          <w:tcPr>
            <w:tcW w:w="1020" w:type="dxa"/>
            <w:vAlign w:val="bottom"/>
            <w:tcBorders>
              <w:bottom w:val="single" w:sz="8" w:color="auto"/>
            </w:tcBorders>
            <w:shd w:val="clear" w:color="auto" w:fill="D0E6E3"/>
          </w:tcPr>
          <w:p>
            <w:pPr>
              <w:spacing w:after="0"/>
              <w:rPr>
                <w:sz w:val="17"/>
                <w:szCs w:val="17"/>
                <w:color w:val="auto"/>
              </w:rPr>
            </w:pPr>
          </w:p>
        </w:tc>
        <w:tc>
          <w:tcPr>
            <w:tcW w:w="300" w:type="dxa"/>
            <w:vAlign w:val="bottom"/>
            <w:tcBorders>
              <w:bottom w:val="single" w:sz="8" w:color="auto"/>
            </w:tcBorders>
            <w:shd w:val="clear" w:color="auto" w:fill="D0E6E3"/>
          </w:tcPr>
          <w:p>
            <w:pPr>
              <w:spacing w:after="0"/>
              <w:rPr>
                <w:sz w:val="17"/>
                <w:szCs w:val="17"/>
                <w:color w:val="auto"/>
              </w:rPr>
            </w:pPr>
          </w:p>
        </w:tc>
        <w:tc>
          <w:tcPr>
            <w:tcW w:w="1020" w:type="dxa"/>
            <w:vAlign w:val="bottom"/>
            <w:tcBorders>
              <w:bottom w:val="single" w:sz="8" w:color="auto"/>
            </w:tcBorders>
            <w:shd w:val="clear" w:color="auto" w:fill="D0E6E3"/>
          </w:tcPr>
          <w:p>
            <w:pPr>
              <w:spacing w:after="0"/>
              <w:rPr>
                <w:sz w:val="17"/>
                <w:szCs w:val="17"/>
                <w:color w:val="auto"/>
              </w:rPr>
            </w:pPr>
          </w:p>
        </w:tc>
        <w:tc>
          <w:tcPr>
            <w:tcW w:w="300" w:type="dxa"/>
            <w:vAlign w:val="bottom"/>
            <w:tcBorders>
              <w:bottom w:val="single" w:sz="8" w:color="auto"/>
            </w:tcBorders>
            <w:shd w:val="clear" w:color="auto" w:fill="D0E6E3"/>
          </w:tcPr>
          <w:p>
            <w:pPr>
              <w:spacing w:after="0"/>
              <w:rPr>
                <w:sz w:val="17"/>
                <w:szCs w:val="17"/>
                <w:color w:val="auto"/>
              </w:rPr>
            </w:pPr>
          </w:p>
        </w:tc>
        <w:tc>
          <w:tcPr>
            <w:tcW w:w="1020" w:type="dxa"/>
            <w:vAlign w:val="bottom"/>
            <w:tcBorders>
              <w:bottom w:val="single" w:sz="8" w:color="auto"/>
            </w:tcBorders>
            <w:shd w:val="clear" w:color="auto" w:fill="D0E6E3"/>
          </w:tcPr>
          <w:p>
            <w:pPr>
              <w:spacing w:after="0"/>
              <w:rPr>
                <w:sz w:val="17"/>
                <w:szCs w:val="17"/>
                <w:color w:val="auto"/>
              </w:rPr>
            </w:pPr>
          </w:p>
        </w:tc>
        <w:tc>
          <w:tcPr>
            <w:tcW w:w="300" w:type="dxa"/>
            <w:vAlign w:val="bottom"/>
            <w:tcBorders>
              <w:bottom w:val="single" w:sz="8" w:color="auto"/>
            </w:tcBorders>
            <w:shd w:val="clear" w:color="auto" w:fill="D0E6E3"/>
          </w:tcPr>
          <w:p>
            <w:pPr>
              <w:spacing w:after="0"/>
              <w:rPr>
                <w:sz w:val="17"/>
                <w:szCs w:val="17"/>
                <w:color w:val="auto"/>
              </w:rPr>
            </w:pPr>
          </w:p>
        </w:tc>
        <w:tc>
          <w:tcPr>
            <w:tcW w:w="420" w:type="dxa"/>
            <w:vAlign w:val="bottom"/>
            <w:tcBorders>
              <w:bottom w:val="single" w:sz="8" w:color="auto"/>
            </w:tcBorders>
            <w:shd w:val="clear" w:color="auto" w:fill="D0E6E3"/>
          </w:tcPr>
          <w:p>
            <w:pPr>
              <w:spacing w:after="0"/>
              <w:rPr>
                <w:sz w:val="17"/>
                <w:szCs w:val="17"/>
                <w:color w:val="auto"/>
              </w:rPr>
            </w:pPr>
          </w:p>
        </w:tc>
        <w:tc>
          <w:tcPr>
            <w:tcW w:w="540" w:type="dxa"/>
            <w:vAlign w:val="bottom"/>
            <w:tcBorders>
              <w:bottom w:val="single" w:sz="8" w:color="auto"/>
            </w:tcBorders>
            <w:shd w:val="clear" w:color="auto" w:fill="D0E6E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D0E6E3"/>
              <w:bottom w:val="single" w:sz="8" w:color="auto"/>
            </w:tcBorders>
          </w:tcPr>
          <w:p>
            <w:pPr>
              <w:spacing w:after="0" w:line="20" w:lineRule="exact"/>
              <w:rPr>
                <w:sz w:val="1"/>
                <w:szCs w:val="1"/>
                <w:color w:val="auto"/>
              </w:rPr>
            </w:pPr>
          </w:p>
        </w:tc>
        <w:tc>
          <w:tcPr>
            <w:tcW w:w="280" w:type="dxa"/>
            <w:vAlign w:val="bottom"/>
            <w:tcBorders>
              <w:top w:val="single" w:sz="8" w:color="D0E6E3"/>
              <w:bottom w:val="single" w:sz="8" w:color="auto"/>
            </w:tcBorders>
          </w:tcPr>
          <w:p>
            <w:pPr>
              <w:spacing w:after="0" w:line="20" w:lineRule="exact"/>
              <w:rPr>
                <w:sz w:val="1"/>
                <w:szCs w:val="1"/>
                <w:color w:val="auto"/>
              </w:rPr>
            </w:pPr>
          </w:p>
        </w:tc>
        <w:tc>
          <w:tcPr>
            <w:tcW w:w="1020" w:type="dxa"/>
            <w:vAlign w:val="bottom"/>
            <w:tcBorders>
              <w:top w:val="single" w:sz="8" w:color="D0E6E3"/>
              <w:bottom w:val="single" w:sz="8" w:color="auto"/>
            </w:tcBorders>
          </w:tcPr>
          <w:p>
            <w:pPr>
              <w:spacing w:after="0" w:line="20" w:lineRule="exact"/>
              <w:rPr>
                <w:sz w:val="1"/>
                <w:szCs w:val="1"/>
                <w:color w:val="auto"/>
              </w:rPr>
            </w:pPr>
          </w:p>
        </w:tc>
        <w:tc>
          <w:tcPr>
            <w:tcW w:w="300" w:type="dxa"/>
            <w:vAlign w:val="bottom"/>
            <w:tcBorders>
              <w:top w:val="single" w:sz="8" w:color="D0E6E3"/>
              <w:bottom w:val="single" w:sz="8" w:color="auto"/>
            </w:tcBorders>
          </w:tcPr>
          <w:p>
            <w:pPr>
              <w:spacing w:after="0" w:line="20" w:lineRule="exact"/>
              <w:rPr>
                <w:sz w:val="1"/>
                <w:szCs w:val="1"/>
                <w:color w:val="auto"/>
              </w:rPr>
            </w:pPr>
          </w:p>
        </w:tc>
        <w:tc>
          <w:tcPr>
            <w:tcW w:w="1020" w:type="dxa"/>
            <w:vAlign w:val="bottom"/>
            <w:tcBorders>
              <w:top w:val="single" w:sz="8" w:color="D0E6E3"/>
              <w:bottom w:val="single" w:sz="8" w:color="auto"/>
            </w:tcBorders>
          </w:tcPr>
          <w:p>
            <w:pPr>
              <w:spacing w:after="0" w:line="20" w:lineRule="exact"/>
              <w:rPr>
                <w:sz w:val="1"/>
                <w:szCs w:val="1"/>
                <w:color w:val="auto"/>
              </w:rPr>
            </w:pPr>
          </w:p>
        </w:tc>
        <w:tc>
          <w:tcPr>
            <w:tcW w:w="300" w:type="dxa"/>
            <w:vAlign w:val="bottom"/>
            <w:tcBorders>
              <w:top w:val="single" w:sz="8" w:color="D0E6E3"/>
              <w:bottom w:val="single" w:sz="8" w:color="auto"/>
            </w:tcBorders>
          </w:tcPr>
          <w:p>
            <w:pPr>
              <w:spacing w:after="0" w:line="20" w:lineRule="exact"/>
              <w:rPr>
                <w:sz w:val="1"/>
                <w:szCs w:val="1"/>
                <w:color w:val="auto"/>
              </w:rPr>
            </w:pPr>
          </w:p>
        </w:tc>
        <w:tc>
          <w:tcPr>
            <w:tcW w:w="1020" w:type="dxa"/>
            <w:vAlign w:val="bottom"/>
            <w:tcBorders>
              <w:top w:val="single" w:sz="8" w:color="D0E6E3"/>
              <w:bottom w:val="single" w:sz="8" w:color="auto"/>
            </w:tcBorders>
          </w:tcPr>
          <w:p>
            <w:pPr>
              <w:spacing w:after="0" w:line="20" w:lineRule="exact"/>
              <w:rPr>
                <w:sz w:val="1"/>
                <w:szCs w:val="1"/>
                <w:color w:val="auto"/>
              </w:rPr>
            </w:pPr>
          </w:p>
        </w:tc>
        <w:tc>
          <w:tcPr>
            <w:tcW w:w="300" w:type="dxa"/>
            <w:vAlign w:val="bottom"/>
            <w:tcBorders>
              <w:top w:val="single" w:sz="8" w:color="D0E6E3"/>
              <w:bottom w:val="single" w:sz="8" w:color="auto"/>
            </w:tcBorders>
          </w:tcPr>
          <w:p>
            <w:pPr>
              <w:spacing w:after="0" w:line="20" w:lineRule="exact"/>
              <w:rPr>
                <w:sz w:val="1"/>
                <w:szCs w:val="1"/>
                <w:color w:val="auto"/>
              </w:rPr>
            </w:pPr>
          </w:p>
        </w:tc>
        <w:tc>
          <w:tcPr>
            <w:tcW w:w="420" w:type="dxa"/>
            <w:vAlign w:val="bottom"/>
            <w:tcBorders>
              <w:top w:val="single" w:sz="8" w:color="D0E6E3"/>
              <w:bottom w:val="single" w:sz="8" w:color="auto"/>
            </w:tcBorders>
          </w:tcPr>
          <w:p>
            <w:pPr>
              <w:spacing w:after="0" w:line="20" w:lineRule="exact"/>
              <w:rPr>
                <w:sz w:val="1"/>
                <w:szCs w:val="1"/>
                <w:color w:val="auto"/>
              </w:rPr>
            </w:pPr>
          </w:p>
        </w:tc>
        <w:tc>
          <w:tcPr>
            <w:tcW w:w="540" w:type="dxa"/>
            <w:vAlign w:val="bottom"/>
            <w:tcBorders>
              <w:top w:val="single" w:sz="8" w:color="D0E6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F3F8F7"/>
          </w:tcPr>
          <w:p>
            <w:pPr>
              <w:spacing w:after="0"/>
              <w:rPr>
                <w:sz w:val="19"/>
                <w:szCs w:val="19"/>
                <w:color w:val="auto"/>
              </w:rPr>
            </w:pPr>
          </w:p>
        </w:tc>
        <w:tc>
          <w:tcPr>
            <w:tcW w:w="28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420" w:type="dxa"/>
            <w:vAlign w:val="bottom"/>
            <w:shd w:val="clear" w:color="auto" w:fill="F3F8F7"/>
          </w:tcPr>
          <w:p>
            <w:pPr>
              <w:spacing w:after="0"/>
              <w:rPr>
                <w:sz w:val="19"/>
                <w:szCs w:val="19"/>
                <w:color w:val="auto"/>
              </w:rPr>
            </w:pPr>
          </w:p>
        </w:tc>
        <w:tc>
          <w:tcPr>
            <w:tcW w:w="540" w:type="dxa"/>
            <w:vAlign w:val="bottom"/>
            <w:shd w:val="clear" w:color="auto" w:fill="F3F8F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F3F8F7"/>
          </w:tcPr>
          <w:p>
            <w:pPr>
              <w:spacing w:after="0"/>
              <w:rPr>
                <w:sz w:val="19"/>
                <w:szCs w:val="19"/>
                <w:color w:val="auto"/>
              </w:rPr>
            </w:pPr>
          </w:p>
        </w:tc>
        <w:tc>
          <w:tcPr>
            <w:tcW w:w="28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420" w:type="dxa"/>
            <w:vAlign w:val="bottom"/>
            <w:shd w:val="clear" w:color="auto" w:fill="F3F8F7"/>
          </w:tcPr>
          <w:p>
            <w:pPr>
              <w:spacing w:after="0"/>
              <w:rPr>
                <w:sz w:val="19"/>
                <w:szCs w:val="19"/>
                <w:color w:val="auto"/>
              </w:rPr>
            </w:pPr>
          </w:p>
        </w:tc>
        <w:tc>
          <w:tcPr>
            <w:tcW w:w="540" w:type="dxa"/>
            <w:vAlign w:val="bottom"/>
            <w:shd w:val="clear" w:color="auto" w:fill="F3F8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F3F8F7"/>
          </w:tcPr>
          <w:p>
            <w:pPr>
              <w:spacing w:after="0"/>
              <w:rPr>
                <w:sz w:val="19"/>
                <w:szCs w:val="19"/>
                <w:color w:val="auto"/>
              </w:rPr>
            </w:pPr>
          </w:p>
        </w:tc>
        <w:tc>
          <w:tcPr>
            <w:tcW w:w="28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1020" w:type="dxa"/>
            <w:vAlign w:val="bottom"/>
            <w:shd w:val="clear" w:color="auto" w:fill="F3F8F7"/>
          </w:tcPr>
          <w:p>
            <w:pPr>
              <w:spacing w:after="0"/>
              <w:rPr>
                <w:sz w:val="19"/>
                <w:szCs w:val="19"/>
                <w:color w:val="auto"/>
              </w:rPr>
            </w:pPr>
          </w:p>
        </w:tc>
        <w:tc>
          <w:tcPr>
            <w:tcW w:w="300" w:type="dxa"/>
            <w:vAlign w:val="bottom"/>
            <w:shd w:val="clear" w:color="auto" w:fill="F3F8F7"/>
          </w:tcPr>
          <w:p>
            <w:pPr>
              <w:spacing w:after="0"/>
              <w:rPr>
                <w:sz w:val="19"/>
                <w:szCs w:val="19"/>
                <w:color w:val="auto"/>
              </w:rPr>
            </w:pPr>
          </w:p>
        </w:tc>
        <w:tc>
          <w:tcPr>
            <w:tcW w:w="420" w:type="dxa"/>
            <w:vAlign w:val="bottom"/>
            <w:shd w:val="clear" w:color="auto" w:fill="F3F8F7"/>
          </w:tcPr>
          <w:p>
            <w:pPr>
              <w:spacing w:after="0"/>
              <w:rPr>
                <w:sz w:val="19"/>
                <w:szCs w:val="19"/>
                <w:color w:val="auto"/>
              </w:rPr>
            </w:pPr>
          </w:p>
        </w:tc>
        <w:tc>
          <w:tcPr>
            <w:tcW w:w="540" w:type="dxa"/>
            <w:vAlign w:val="bottom"/>
            <w:shd w:val="clear" w:color="auto" w:fill="F3F8F7"/>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-4079875</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right="500" w:hanging="326"/>
        <w:spacing w:after="0" w:line="27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Stock-based compensation expense represents the amount of expense related to the Company’s equity compensation programs (inclusive of employer related taxes).</w:t>
      </w:r>
    </w:p>
    <w:p>
      <w:pPr>
        <w:ind w:left="660" w:hanging="326"/>
        <w:spacing w:after="0" w:line="25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Foreign currency losses / (gains), net relates to gains or losses that arise in connection with the revaluation, or settlement, of non-US dollar denominated assets and liabilities. We exclude these gains and losses from adjusted EBITDA and adjusted net income because fluctuations from period-to-period do not necessarily correspond to changes in our operating results.</w:t>
      </w:r>
    </w:p>
    <w:p>
      <w:pPr>
        <w:ind w:left="660" w:hanging="326"/>
        <w:spacing w:after="0" w:line="259"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Restructuring and related costs relate to charges incurred in connection with the Company's realignment of its workforce, with the elimination of redundant positions as well as reviewing its global office footprint and optimizing its locations to best fit the requirements of the Company. Costs relating to accelerated amortization of operating right-of-use assets and related contract costs are recorded within selling, general and administrative expenses. Costs related to an accelerated depreciation charge on related property, plant and equipment was recorded within depreciation and amortization of intangible assets in the Consolidated Statements of Operations and, accordingly, is reflected in the depreciation and amortization of intangible assets adjustment within Adjusted EBITDA, while being included within the restructuring and related costs adjustment in Adjusted Net Income.</w:t>
      </w:r>
    </w:p>
    <w:p>
      <w:pPr>
        <w:ind w:left="660" w:right="100" w:hanging="326"/>
        <w:spacing w:after="0" w:line="25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Transaction, integration related and other costs include expenses associated with our acquisitions and any other costs incurred related to the integration of these acquisitions. Further, costs incurred in 2026 relating to the Investigation, including out of scope audit fees resulting from the impact of the investigation, and in defense of the Putative Class Action are classified within this category. These costs are recorded within selling, general and administrative expenses.</w:t>
      </w:r>
    </w:p>
    <w:p>
      <w:pPr>
        <w:spacing w:after="0" w:line="1" w:lineRule="exact"/>
        <w:rPr>
          <w:rFonts w:ascii="Arial" w:cs="Arial" w:eastAsia="Arial" w:hAnsi="Arial"/>
          <w:sz w:val="16"/>
          <w:szCs w:val="16"/>
          <w:color w:val="auto"/>
        </w:rPr>
      </w:pPr>
    </w:p>
    <w:p>
      <w:pPr>
        <w:ind w:left="660" w:right="80" w:hanging="326"/>
        <w:spacing w:after="0" w:line="25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Transaction-related financing costs include costs incurred in connection with changes to our long-term debt and amortization of financing fees including the loss on extinguishment of debt. We exclude these costs from adjusted net income because they result from financing decisions rather than from decisions made related to our ongoing operations.</w:t>
      </w:r>
    </w:p>
    <w:p>
      <w:pPr>
        <w:ind w:left="660" w:right="60" w:hanging="326"/>
        <w:spacing w:after="0" w:line="25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Gain on investments relates to Net Asset Value (NAV) movement on investments in equity recorded within the income statement and share of net gains from equity method investments. We exclude these movements from adjusted EBITDA and adjusted net income because fluctuations from period-to-period do not necessarily correspond to changes in our operating results.</w:t>
      </w:r>
    </w:p>
    <w:p>
      <w:pPr>
        <w:spacing w:after="0" w:line="1" w:lineRule="exact"/>
        <w:rPr>
          <w:rFonts w:ascii="Arial" w:cs="Arial" w:eastAsia="Arial" w:hAnsi="Arial"/>
          <w:sz w:val="16"/>
          <w:szCs w:val="16"/>
          <w:color w:val="auto"/>
        </w:rPr>
      </w:pPr>
    </w:p>
    <w:p>
      <w:pPr>
        <w:ind w:left="660" w:right="120" w:hanging="326"/>
        <w:spacing w:after="0" w:line="25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8, 2026, ICON completed the disposal of Symphony Health Solutions Corporation. The Company recognized a pre-tax loss on disposal, including transaction costs, of $32.9 million. This loss is excluded from adjusted EBITDA and adjusted net income.</w:t>
      </w:r>
    </w:p>
    <w:p>
      <w:pPr>
        <w:ind w:left="660" w:hanging="32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Goodwill impairment relates to an impairment of goodwill allocated to the Company's Data Solutions reporting unit.</w:t>
      </w:r>
    </w:p>
    <w:p>
      <w:pPr>
        <w:spacing w:after="0" w:line="14" w:lineRule="exact"/>
        <w:rPr>
          <w:rFonts w:ascii="Arial" w:cs="Arial" w:eastAsia="Arial" w:hAnsi="Arial"/>
          <w:sz w:val="16"/>
          <w:szCs w:val="16"/>
          <w:color w:val="auto"/>
        </w:rPr>
      </w:pPr>
    </w:p>
    <w:p>
      <w:pPr>
        <w:ind w:left="660" w:right="120" w:hanging="326"/>
        <w:spacing w:after="0" w:line="249"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Impairment of non-financial assets relates to an impairment of the carrying amount of the property, plant and equipment and intangible assets of the Company's Data Solutions reporting unit.</w:t>
      </w:r>
    </w:p>
    <w:p>
      <w:pPr>
        <w:ind w:left="660" w:hanging="32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tax effect of adjusted pre-tax income at our estimated effective tax rate.</w:t>
      </w:r>
    </w:p>
    <w:p>
      <w:pPr>
        <w:sectPr>
          <w:pgSz w:w="11900" w:h="16838" w:orient="portrait"/>
          <w:cols w:equalWidth="0" w:num="1">
            <w:col w:w="9640"/>
          </w:cols>
          <w:pgMar w:left="1080" w:top="75" w:right="1179" w:bottom="5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ICON plc</w:t>
      </w:r>
    </w:p>
    <w:p>
      <w:pPr>
        <w:sectPr>
          <w:pgSz w:w="11900" w:h="16838" w:orient="portrait"/>
          <w:cols w:equalWidth="0" w:num="1">
            <w:col w:w="9640"/>
          </w:cols>
          <w:pgMar w:left="1080" w:top="75" w:right="1179" w:bottom="567"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3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1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2026-10-27T15:57:45Z</dcterms:created>
  <dcterms:modified xsi:type="dcterms:W3CDTF">2026-10-27T15:57:45Z</dcterms:modified>
</cp:coreProperties>
</file>