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39"/>
        <w:spacing w:after="0"/>
        <w:rPr>
          <w:sz w:val="20"/>
          <w:szCs w:val="20"/>
          <w:color w:val="auto"/>
        </w:rPr>
      </w:pPr>
      <w:r>
        <w:rPr>
          <w:rFonts w:ascii="Arial" w:cs="Arial" w:eastAsia="Arial" w:hAnsi="Arial"/>
          <w:sz w:val="29"/>
          <w:szCs w:val="29"/>
          <w:b w:val="1"/>
          <w:bCs w:val="1"/>
          <w:color w:val="auto"/>
        </w:rPr>
        <w:t>FORM 6-K</w:t>
      </w:r>
    </w:p>
    <w:p>
      <w:pPr>
        <w:spacing w:after="0" w:line="36" w:lineRule="exact"/>
        <w:rPr>
          <w:sz w:val="24"/>
          <w:szCs w:val="24"/>
          <w:color w:val="auto"/>
        </w:rPr>
      </w:pPr>
    </w:p>
    <w:p>
      <w:pPr>
        <w:jc w:val="center"/>
        <w:ind w:right="-739"/>
        <w:spacing w:after="0"/>
        <w:rPr>
          <w:sz w:val="20"/>
          <w:szCs w:val="20"/>
          <w:color w:val="auto"/>
        </w:rPr>
      </w:pPr>
      <w:r>
        <w:rPr>
          <w:rFonts w:ascii="Arial" w:cs="Arial" w:eastAsia="Arial" w:hAnsi="Arial"/>
          <w:sz w:val="29"/>
          <w:szCs w:val="29"/>
          <w:b w:val="1"/>
          <w:bCs w:val="1"/>
          <w:color w:val="auto"/>
        </w:rPr>
        <w:t>SECURITIES AND EXCHANGE COMMISSION</w:t>
      </w:r>
    </w:p>
    <w:p>
      <w:pPr>
        <w:spacing w:after="0" w:line="206"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Washington, D.C. 20549</w:t>
      </w:r>
    </w:p>
    <w:p>
      <w:pPr>
        <w:spacing w:after="0" w:line="221"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pacing w:after="0" w:line="227"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For</w:t>
      </w:r>
    </w:p>
    <w:p>
      <w:pPr>
        <w:spacing w:after="0" w:line="23"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the month ended May, 2019</w:t>
      </w:r>
    </w:p>
    <w:p>
      <w:pPr>
        <w:spacing w:after="0" w:line="193" w:lineRule="exact"/>
        <w:rPr>
          <w:sz w:val="24"/>
          <w:szCs w:val="24"/>
          <w:color w:val="auto"/>
        </w:rPr>
      </w:pPr>
    </w:p>
    <w:p>
      <w:pPr>
        <w:ind w:left="508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4980"/>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25"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333-08704</w:t>
      </w:r>
    </w:p>
    <w:p>
      <w:pPr>
        <w:spacing w:after="0" w:line="23"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27"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27"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+353-1-291-2000</w:t>
      </w:r>
    </w:p>
    <w:p>
      <w:pPr>
        <w:spacing w:after="0" w:line="9" w:lineRule="exact"/>
        <w:rPr>
          <w:sz w:val="24"/>
          <w:szCs w:val="24"/>
          <w:color w:val="auto"/>
        </w:rPr>
      </w:pPr>
    </w:p>
    <w:p>
      <w:pPr>
        <w:jc w:val="center"/>
        <w:ind w:right="-77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59" w:lineRule="exact"/>
        <w:rPr>
          <w:sz w:val="24"/>
          <w:szCs w:val="24"/>
          <w:color w:val="auto"/>
        </w:rPr>
      </w:pPr>
    </w:p>
    <w:p>
      <w:pPr>
        <w:ind w:left="4460"/>
        <w:spacing w:after="0"/>
        <w:tabs>
          <w:tab w:leader="none" w:pos="660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No______</w:t>
      </w:r>
    </w:p>
    <w:p>
      <w:pPr>
        <w:spacing w:after="0" w:line="36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59" w:lineRule="exact"/>
        <w:rPr>
          <w:sz w:val="24"/>
          <w:szCs w:val="24"/>
          <w:color w:val="auto"/>
        </w:rPr>
      </w:pPr>
    </w:p>
    <w:p>
      <w:pPr>
        <w:ind w:left="4460"/>
        <w:spacing w:after="0"/>
        <w:tabs>
          <w:tab w:leader="none" w:pos="66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36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59" w:lineRule="exact"/>
        <w:rPr>
          <w:sz w:val="24"/>
          <w:szCs w:val="24"/>
          <w:color w:val="auto"/>
        </w:rPr>
      </w:pPr>
    </w:p>
    <w:p>
      <w:pPr>
        <w:ind w:left="4460"/>
        <w:spacing w:after="0"/>
        <w:tabs>
          <w:tab w:leader="none" w:pos="66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36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4" w:lineRule="exact"/>
        <w:rPr>
          <w:sz w:val="24"/>
          <w:szCs w:val="24"/>
          <w:color w:val="auto"/>
        </w:rPr>
      </w:pPr>
    </w:p>
    <w:p>
      <w:pPr>
        <w:ind w:left="4460"/>
        <w:spacing w:after="0"/>
        <w:tabs>
          <w:tab w:leader="none" w:pos="66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36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ectPr>
          <w:pgSz w:w="11900" w:h="16838" w:orient="portrait"/>
          <w:cols w:equalWidth="0" w:num="1">
            <w:col w:w="10620"/>
          </w:cols>
          <w:pgMar w:left="280" w:top="675" w:right="9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ICON plc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A</w:t>
      </w: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4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“ICON”, the “Company” and “we” refer to ICON plc and its consolidated subsidiaries, unless the context requires otherwise.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3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ICON public limited company (“ICON”) is a clinical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in drug development by delivering best in class information, solutions and performance in clinical and outcomes research.</w:t>
      </w:r>
    </w:p>
    <w:p>
      <w:pPr>
        <w:spacing w:after="0" w:line="2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March 31, 2019 we had approximately 13,920 employees, in 90 locations in 37 countries. During the three months ended March 31, 2019, we derived approximately 32.4%, 57.6% and 10% of our revenue in the United States, Europe and Rest of World respectively.</w:t>
      </w:r>
    </w:p>
    <w:p>
      <w:pPr>
        <w:spacing w:after="0" w:line="29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began operations in 1990 and have expanded our business predominately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+353-1-291-2000.</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Board composition and executive leadership transition</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January 2019, the Board approved the appointment of Mr. Ronan Murphy (Non-Executive Director) as Lead Independent Director of ICON plc with immediate effect.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w:t>
      </w:r>
    </w:p>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25, 2019 a subsidiary of the Company, ICON Laboratory Services Inc. acquired 100% of the share capital of MolecularMD Corp. The initial consideration on acquisition was $42.3 million. MolecularMD is a molecular diagnostic specialty laboratory that enables the development and commercialization of precision medicines in oncology. It is a recognized leader in the analytical development and clinical validation of molecular diagnostic assays. It offers a comprehensive test menu in immune oncology development and services also include companion diagnostic development services. The acquisition enhances ICON’s laboratory offering in molecular diagnostic testing and brings to ICON expanded testing platforms, including next generation sequencing, and immunohistochemistry (IHC).</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3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resolution was passed at the Company’s Annual General Meeting (“AGM”) on July 22, 2016, which authorizes the Directors to purchase (buyback) up to 10% of the outstanding shares in the Company. On October 3, 2016, the Company commenced the share buyback program of up to $400 million. At December 31, 2018, a total of 4,026,576 ordinary shares were redeemed by the Company under this buyback program for a total consideration of $372.1 million. On January 8, 2019, the Company commenced a further share buyback program of up to 1 million shares. At March 31, 2019 a total of 200,253 ordinary shares were redeemed by the Company under this buyback program for a total consideration of $25.0 million. All ordinary shares that were redeemed under the buyback program were canceled in accordance with the Constitution of the Company and the nominal value of these shares transferred to other undenominated capital as required by Irish Company law.</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new leasing standard (ASU No. 2016-02 ‘</w:t>
      </w:r>
      <w:r>
        <w:rPr>
          <w:rFonts w:ascii="Arial" w:cs="Arial" w:eastAsia="Arial" w:hAnsi="Arial"/>
          <w:sz w:val="16"/>
          <w:szCs w:val="16"/>
          <w:i w:val="1"/>
          <w:iCs w:val="1"/>
          <w:color w:val="auto"/>
        </w:rPr>
        <w:t>Leases</w:t>
      </w:r>
      <w:r>
        <w:rPr>
          <w:rFonts w:ascii="Arial" w:cs="Arial" w:eastAsia="Arial" w:hAnsi="Arial"/>
          <w:sz w:val="16"/>
          <w:szCs w:val="16"/>
          <w:color w:val="auto"/>
        </w:rPr>
        <w:t>’) was issued in February 2016. ASC 842 ‘</w:t>
      </w:r>
      <w:r>
        <w:rPr>
          <w:rFonts w:ascii="Arial" w:cs="Arial" w:eastAsia="Arial" w:hAnsi="Arial"/>
          <w:sz w:val="16"/>
          <w:szCs w:val="16"/>
          <w:i w:val="1"/>
          <w:iCs w:val="1"/>
          <w:color w:val="auto"/>
        </w:rPr>
        <w:t>Leases</w:t>
      </w:r>
      <w:r>
        <w:rPr>
          <w:rFonts w:ascii="Arial" w:cs="Arial" w:eastAsia="Arial" w:hAnsi="Arial"/>
          <w:sz w:val="16"/>
          <w:szCs w:val="16"/>
          <w:color w:val="auto"/>
        </w:rPr>
        <w:t>’ supersedes the requirements in ASC 840 '</w:t>
      </w:r>
      <w:r>
        <w:rPr>
          <w:rFonts w:ascii="Arial" w:cs="Arial" w:eastAsia="Arial" w:hAnsi="Arial"/>
          <w:sz w:val="16"/>
          <w:szCs w:val="16"/>
          <w:i w:val="1"/>
          <w:iCs w:val="1"/>
          <w:color w:val="auto"/>
        </w:rPr>
        <w:t>Leases</w:t>
      </w:r>
      <w:r>
        <w:rPr>
          <w:rFonts w:ascii="Arial" w:cs="Arial" w:eastAsia="Arial" w:hAnsi="Arial"/>
          <w:sz w:val="16"/>
          <w:szCs w:val="16"/>
          <w:color w:val="auto"/>
        </w:rPr>
        <w:t>' and requires that lessees recognize rights and obligations from virtually all leases (other than leases that meet the definition of a short-term lease) on their balance sheets as right-of-use assets with corresponding lease liabilities. The ASU also provides additional guidance on how to classify leases and how to determine the lease term for accounting purposes. In July 2018, the Financial Accounting Standards Board (FASB) issued ASU No. 2018-11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t>
      </w:r>
      <w:r>
        <w:rPr>
          <w:rFonts w:ascii="Arial" w:cs="Arial" w:eastAsia="Arial" w:hAnsi="Arial"/>
          <w:sz w:val="16"/>
          <w:szCs w:val="16"/>
          <w:i w:val="1"/>
          <w:iCs w:val="1"/>
          <w:color w:val="auto"/>
        </w:rPr>
        <w:t>Targeted Improvements</w:t>
      </w:r>
      <w:r>
        <w:rPr>
          <w:rFonts w:ascii="Arial" w:cs="Arial" w:eastAsia="Arial" w:hAnsi="Arial"/>
          <w:sz w:val="16"/>
          <w:szCs w:val="16"/>
          <w:color w:val="auto"/>
        </w:rPr>
        <w:t>', which provides the option to adopt the standard retrospectively for each prior period presented, as initially set out in ASU No.</w:t>
      </w:r>
    </w:p>
    <w:p>
      <w:pPr>
        <w:sectPr>
          <w:pgSz w:w="11900" w:h="16838" w:orient="portrait"/>
          <w:cols w:equalWidth="0" w:num="1">
            <w:col w:w="11420"/>
          </w:cols>
          <w:pgMar w:left="240" w:top="742" w:right="239" w:bottom="1440" w:gutter="0" w:footer="0" w:header="0"/>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742" w:right="239" w:bottom="1440" w:gutter="0" w:footer="0" w:header="0"/>
          <w:type w:val="continuous"/>
        </w:sectPr>
      </w:pPr>
    </w:p>
    <w:bookmarkStart w:id="3" w:name="page4"/>
    <w:bookmarkEnd w:id="3"/>
    <w:p>
      <w:pPr>
        <w:jc w:val="both"/>
        <w:spacing w:after="0" w:line="255" w:lineRule="auto"/>
        <w:rPr>
          <w:sz w:val="20"/>
          <w:szCs w:val="20"/>
          <w:color w:val="auto"/>
        </w:rPr>
      </w:pPr>
      <w:r>
        <w:rPr>
          <w:rFonts w:ascii="Arial" w:cs="Arial" w:eastAsia="Arial" w:hAnsi="Arial"/>
          <w:sz w:val="18"/>
          <w:szCs w:val="18"/>
          <w:color w:val="auto"/>
        </w:rPr>
        <w:t>2016-02, or as of the adoption date with a cumulative-effect adjustment to the opening balance of retained earnings. ASC 842 became effective for ICON Plc with effect from January 1, 2019. ICON adopted the new standard as of January 1, 2019 under the cumulative effect adjustment approach. Under this transition method, the new standard is applied from January 1, 2019 without restatement of comparative period amounts. Results as at December 31, 2018 and for the three months ended March 31, 2018 are therefore presented under the previous leasing accounting principles,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 lease liability and right-of-use asset have been recorded on the Consolidated Balance Sheet as at January 1, 2019 of $106.5 million (see </w:t>
      </w:r>
      <w:r>
        <w:rPr>
          <w:rFonts w:ascii="Arial" w:cs="Arial" w:eastAsia="Arial" w:hAnsi="Arial"/>
          <w:sz w:val="18"/>
          <w:szCs w:val="18"/>
          <w:i w:val="1"/>
          <w:iCs w:val="1"/>
          <w:color w:val="auto"/>
        </w:rPr>
        <w:t>note 14 - Impact of change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for further details</w:t>
      </w:r>
      <w:r>
        <w:rPr>
          <w:rFonts w:ascii="Arial" w:cs="Arial" w:eastAsia="Arial" w:hAnsi="Arial"/>
          <w:sz w:val="18"/>
          <w:szCs w:val="18"/>
          <w:i w:val="1"/>
          <w:iCs w:val="1"/>
          <w:color w:val="auto"/>
        </w:rPr>
        <w:t xml:space="preserve">). </w:t>
      </w:r>
      <w:r>
        <w:rPr>
          <w:rFonts w:ascii="Arial" w:cs="Arial" w:eastAsia="Arial" w:hAnsi="Arial"/>
          <w:sz w:val="18"/>
          <w:szCs w:val="18"/>
          <w:color w:val="auto"/>
        </w:rPr>
        <w:t>The net operating cost of leases recorded in the three months ended March 31, 2019 is $8.1 million (see</w:t>
      </w:r>
      <w:r>
        <w:rPr>
          <w:rFonts w:ascii="Arial" w:cs="Arial" w:eastAsia="Arial" w:hAnsi="Arial"/>
          <w:sz w:val="18"/>
          <w:szCs w:val="18"/>
          <w:i w:val="1"/>
          <w:iCs w:val="1"/>
          <w:color w:val="auto"/>
        </w:rPr>
        <w:t xml:space="preserve"> note 8 - Operating leases </w:t>
      </w:r>
      <w:r>
        <w:rPr>
          <w:rFonts w:ascii="Arial" w:cs="Arial" w:eastAsia="Arial" w:hAnsi="Arial"/>
          <w:sz w:val="18"/>
          <w:szCs w:val="18"/>
          <w:color w:val="auto"/>
        </w:rPr>
        <w:t>for further details</w:t>
      </w:r>
      <w:r>
        <w:rPr>
          <w:rFonts w:ascii="Arial" w:cs="Arial" w:eastAsia="Arial" w:hAnsi="Arial"/>
          <w:sz w:val="18"/>
          <w:szCs w:val="18"/>
          <w:i w:val="1"/>
          <w:iCs w:val="1"/>
          <w:color w:val="auto"/>
        </w:rPr>
        <w:t>).</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'Internal-Use Software (Subtopic 350-40)</w:t>
      </w:r>
      <w:r>
        <w:rPr>
          <w:rFonts w:ascii="Arial" w:cs="Arial" w:eastAsia="Arial" w:hAnsi="Arial"/>
          <w:sz w:val="18"/>
          <w:szCs w:val="18"/>
          <w:color w:val="auto"/>
        </w:rPr>
        <w:t>' which provides guidance on when to capitalize implementation costs incurred in hosting arrangements which are accounted for as service contracts. ICON is currently evaluating the impact of this ASU on its consolidated financial statements. This ASU will be effective for fiscal years beginning after December 15, 2020, and interim periods within those fiscal years, with early adoption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4" w:name="page5"/>
    <w:bookmarkEnd w:id="4"/>
    <w:p>
      <w:pPr>
        <w:ind w:left="5460"/>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AS AT MARCH 31, 2019 AND DECEMBER 31, 2018</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4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5"/>
              </w:rPr>
              <w:t>(Unaudited)</w:t>
            </w: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(Audited)</w:t>
            </w:r>
          </w:p>
        </w:tc>
      </w:tr>
      <w:tr>
        <w:trPr>
          <w:trHeight w:val="203"/>
        </w:trPr>
        <w:tc>
          <w:tcPr>
            <w:tcW w:w="7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r>
      <w:tr>
        <w:trPr>
          <w:trHeight w:val="196"/>
        </w:trPr>
        <w:tc>
          <w:tcPr>
            <w:tcW w:w="7420" w:type="dxa"/>
            <w:vAlign w:val="bottom"/>
          </w:tcPr>
          <w:p>
            <w:pPr>
              <w:spacing w:after="0"/>
              <w:rPr>
                <w:sz w:val="17"/>
                <w:szCs w:val="17"/>
                <w:color w:val="auto"/>
              </w:rPr>
            </w:pPr>
          </w:p>
        </w:tc>
        <w:tc>
          <w:tcPr>
            <w:tcW w:w="2580" w:type="dxa"/>
            <w:vAlign w:val="bottom"/>
            <w:gridSpan w:val="4"/>
          </w:tcPr>
          <w:p>
            <w:pPr>
              <w:jc w:val="right"/>
              <w:ind w:right="160"/>
              <w:spacing w:after="0" w:line="196" w:lineRule="exact"/>
              <w:rPr>
                <w:sz w:val="20"/>
                <w:szCs w:val="20"/>
                <w:color w:val="auto"/>
              </w:rPr>
            </w:pPr>
            <w:r>
              <w:rPr>
                <w:rFonts w:ascii="Arial" w:cs="Arial" w:eastAsia="Arial" w:hAnsi="Arial"/>
                <w:sz w:val="18"/>
                <w:szCs w:val="18"/>
                <w:b w:val="1"/>
                <w:bCs w:val="1"/>
                <w:color w:val="auto"/>
              </w:rPr>
              <w:t>March 31, 2019</w:t>
            </w:r>
          </w:p>
        </w:tc>
        <w:tc>
          <w:tcPr>
            <w:tcW w:w="220" w:type="dxa"/>
            <w:vAlign w:val="bottom"/>
          </w:tcPr>
          <w:p>
            <w:pPr>
              <w:spacing w:after="0"/>
              <w:rPr>
                <w:sz w:val="17"/>
                <w:szCs w:val="17"/>
                <w:color w:val="auto"/>
              </w:rPr>
            </w:pPr>
          </w:p>
        </w:tc>
        <w:tc>
          <w:tcPr>
            <w:tcW w:w="11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r>
      <w:tr>
        <w:trPr>
          <w:trHeight w:val="48"/>
        </w:trPr>
        <w:tc>
          <w:tcPr>
            <w:tcW w:w="74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gridSpan w:val="7"/>
            <w:shd w:val="clear" w:color="auto" w:fill="CCEEFF"/>
          </w:tcPr>
          <w:p>
            <w:pPr>
              <w:jc w:val="right"/>
              <w:ind w:right="900"/>
              <w:spacing w:after="0"/>
              <w:rPr>
                <w:sz w:val="20"/>
                <w:szCs w:val="20"/>
                <w:color w:val="auto"/>
              </w:rPr>
            </w:pPr>
            <w:r>
              <w:rPr>
                <w:rFonts w:ascii="Arial" w:cs="Arial" w:eastAsia="Arial" w:hAnsi="Arial"/>
                <w:sz w:val="18"/>
                <w:szCs w:val="18"/>
                <w:color w:val="auto"/>
              </w:rPr>
              <w:t>(in thousands)</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417,638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395,851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Available for sale investments</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60,299</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59,910</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415,341</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414,791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Unbilled revenue</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440,583</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362,926</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receivables</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40,079</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40,459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Prepayments and other current assets</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39,757</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36,801</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receivable</w:t>
            </w: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26,828</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19,445</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43"/>
        </w:trPr>
        <w:tc>
          <w:tcPr>
            <w:tcW w:w="74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current assets</w:t>
            </w:r>
          </w:p>
        </w:tc>
        <w:tc>
          <w:tcPr>
            <w:tcW w:w="12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1,440,525</w:t>
            </w:r>
          </w:p>
        </w:tc>
        <w:tc>
          <w:tcPr>
            <w:tcW w:w="1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1,330,183</w:t>
            </w:r>
          </w:p>
        </w:tc>
        <w:tc>
          <w:tcPr>
            <w:tcW w:w="100" w:type="dxa"/>
            <w:vAlign w:val="bottom"/>
            <w:tcBorders>
              <w:top w:val="single" w:sz="8" w:color="auto"/>
            </w:tcBorders>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74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 net</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154,753</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158,669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Goodwill</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787,393</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756,260</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right-of-use assets</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111,775</w:t>
            </w: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Other non-current assets</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18,906</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14,525</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income taxes receivable</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13,822</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20,023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Non-current deferred tax asset</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12,937</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13,577</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Investments in equity - long term</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9,482</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6,963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57,665</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54,055</w:t>
            </w:r>
          </w:p>
        </w:tc>
        <w:tc>
          <w:tcPr>
            <w:tcW w:w="100" w:type="dxa"/>
            <w:vAlign w:val="bottom"/>
          </w:tcPr>
          <w:p>
            <w:pPr>
              <w:spacing w:after="0"/>
              <w:rPr>
                <w:sz w:val="21"/>
                <w:szCs w:val="21"/>
                <w:color w:val="auto"/>
              </w:rPr>
            </w:pPr>
          </w:p>
        </w:tc>
      </w:tr>
      <w:tr>
        <w:trPr>
          <w:trHeight w:val="34"/>
        </w:trPr>
        <w:tc>
          <w:tcPr>
            <w:tcW w:w="7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75"/>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3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2,607,258</w:t>
            </w: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2,354,255</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
        </w:trPr>
        <w:tc>
          <w:tcPr>
            <w:tcW w:w="74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7"/>
        </w:trPr>
        <w:tc>
          <w:tcPr>
            <w:tcW w:w="7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19,304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13,288</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account</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318,298</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274,468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363,787</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317,143</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10,885</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5,724</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43"/>
        </w:trPr>
        <w:tc>
          <w:tcPr>
            <w:tcW w:w="742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Total current liabilities</w:t>
            </w:r>
          </w:p>
        </w:tc>
        <w:tc>
          <w:tcPr>
            <w:tcW w:w="12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712,274</w:t>
            </w:r>
          </w:p>
        </w:tc>
        <w:tc>
          <w:tcPr>
            <w:tcW w:w="2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610,623</w:t>
            </w:r>
          </w:p>
        </w:tc>
        <w:tc>
          <w:tcPr>
            <w:tcW w:w="100" w:type="dxa"/>
            <w:vAlign w:val="bottom"/>
            <w:tcBorders>
              <w:top w:val="single" w:sz="8" w:color="auto"/>
            </w:tcBorders>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Non-current bank credit lines and loan facilities</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349,357</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349,264</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operating lease liabilities</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83,165</w:t>
            </w: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Non-current other liabilities</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14,128</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13,446</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government grants</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847</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Non-current income taxes payable</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16,975</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17,551</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deferred tax liability</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8,327</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8,213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Commitments and contingencies</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34"/>
        </w:trPr>
        <w:tc>
          <w:tcPr>
            <w:tcW w:w="7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82"/>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1,185,073</w:t>
            </w: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999,974</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70"/>
        </w:trPr>
        <w:tc>
          <w:tcPr>
            <w:tcW w:w="7420" w:type="dxa"/>
            <w:vAlign w:val="bottom"/>
            <w:tcBorders>
              <w:top w:val="single" w:sz="8" w:color="auto"/>
            </w:tcBorders>
          </w:tcPr>
          <w:p>
            <w:pPr>
              <w:spacing w:after="0"/>
              <w:rPr>
                <w:sz w:val="23"/>
                <w:szCs w:val="23"/>
                <w:color w:val="auto"/>
              </w:rPr>
            </w:pPr>
          </w:p>
        </w:tc>
        <w:tc>
          <w:tcPr>
            <w:tcW w:w="12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Ordinary shares, par value 6 euro cents per share; 100,000,000 shares authorized,</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53,976,367 shares issued and outstanding at March 31, 2019 and</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53,971,706 shares issued and outstanding at December 31, 2018</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4,658</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4,658</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line="207" w:lineRule="exact"/>
              <w:rPr>
                <w:sz w:val="20"/>
                <w:szCs w:val="20"/>
                <w:color w:val="auto"/>
              </w:rPr>
            </w:pPr>
            <w:r>
              <w:rPr>
                <w:rFonts w:ascii="Arial" w:cs="Arial" w:eastAsia="Arial" w:hAnsi="Arial"/>
                <w:sz w:val="18"/>
                <w:szCs w:val="18"/>
                <w:color w:val="auto"/>
              </w:rPr>
              <w:t>Additional paid</w:t>
            </w:r>
            <w:r>
              <w:rPr>
                <w:rFonts w:ascii="MS PGothic" w:cs="MS PGothic" w:eastAsia="MS PGothic" w:hAnsi="MS PGothic"/>
                <w:sz w:val="18"/>
                <w:szCs w:val="18"/>
                <w:color w:val="auto"/>
              </w:rPr>
              <w:t>‑</w:t>
            </w:r>
            <w:r>
              <w:rPr>
                <w:rFonts w:ascii="Arial" w:cs="Arial" w:eastAsia="Arial" w:hAnsi="Arial"/>
                <w:sz w:val="18"/>
                <w:szCs w:val="18"/>
                <w:color w:val="auto"/>
              </w:rPr>
              <w:t>in capital</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540,020</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529,642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Other undenominated capital</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997</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(75,093)</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(69,328)</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951,603</w:t>
            </w:r>
          </w:p>
        </w:tc>
        <w:tc>
          <w:tcPr>
            <w:tcW w:w="22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888,326</w:t>
            </w:r>
          </w:p>
        </w:tc>
        <w:tc>
          <w:tcPr>
            <w:tcW w:w="100" w:type="dxa"/>
            <w:vAlign w:val="bottom"/>
          </w:tcPr>
          <w:p>
            <w:pPr>
              <w:spacing w:after="0"/>
              <w:rPr>
                <w:sz w:val="21"/>
                <w:szCs w:val="21"/>
                <w:color w:val="auto"/>
              </w:rPr>
            </w:pPr>
          </w:p>
        </w:tc>
      </w:tr>
      <w:tr>
        <w:trPr>
          <w:trHeight w:val="34"/>
        </w:trPr>
        <w:tc>
          <w:tcPr>
            <w:tcW w:w="7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82"/>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1,422,185</w:t>
            </w: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1,354,281</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43"/>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32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2,607,258</w:t>
            </w:r>
          </w:p>
        </w:tc>
        <w:tc>
          <w:tcPr>
            <w:tcW w:w="1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2,354,255</w:t>
            </w:r>
          </w:p>
        </w:tc>
        <w:tc>
          <w:tcPr>
            <w:tcW w:w="100" w:type="dxa"/>
            <w:vAlign w:val="bottom"/>
            <w:tcBorders>
              <w:top w:val="single" w:sz="8" w:color="auto"/>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476"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64" w:right="239" w:bottom="476"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2019 AND MARCH 31, 2018</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4140" w:type="dxa"/>
            <w:vAlign w:val="bottom"/>
            <w:gridSpan w:val="2"/>
          </w:tcPr>
          <w:p>
            <w:pPr>
              <w:jc w:val="right"/>
              <w:ind w:right="241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3"/>
        </w:trPr>
        <w:tc>
          <w:tcPr>
            <w:tcW w:w="47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70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gridSpan w:val="5"/>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w w:val="92"/>
              </w:rPr>
              <w:t>Three Months Ended</w:t>
            </w:r>
          </w:p>
        </w:tc>
        <w:tc>
          <w:tcPr>
            <w:tcW w:w="700" w:type="dxa"/>
            <w:vAlign w:val="bottom"/>
            <w:tcBorders>
              <w:bottom w:val="single" w:sz="8" w:color="CCEEFF"/>
            </w:tcBorders>
            <w:gridSpan w:val="3"/>
            <w:shd w:val="clear" w:color="auto" w:fill="CCEEFF"/>
          </w:tcPr>
          <w:p>
            <w:pPr>
              <w:spacing w:after="0"/>
              <w:rPr>
                <w:sz w:val="21"/>
                <w:szCs w:val="21"/>
                <w:color w:val="auto"/>
              </w:rPr>
            </w:pPr>
          </w:p>
        </w:tc>
      </w:tr>
      <w:tr>
        <w:trPr>
          <w:trHeight w:val="203"/>
        </w:trPr>
        <w:tc>
          <w:tcPr>
            <w:tcW w:w="470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340" w:type="dxa"/>
            <w:vAlign w:val="bottom"/>
            <w:gridSpan w:val="4"/>
          </w:tcPr>
          <w:p>
            <w:pPr>
              <w:jc w:val="right"/>
              <w:ind w:right="140"/>
              <w:spacing w:after="0" w:line="202" w:lineRule="exact"/>
              <w:rPr>
                <w:sz w:val="20"/>
                <w:szCs w:val="20"/>
                <w:color w:val="auto"/>
              </w:rPr>
            </w:pPr>
            <w:r>
              <w:rPr>
                <w:rFonts w:ascii="Arial" w:cs="Arial" w:eastAsia="Arial" w:hAnsi="Arial"/>
                <w:sz w:val="18"/>
                <w:szCs w:val="18"/>
                <w:b w:val="1"/>
                <w:bCs w:val="1"/>
                <w:color w:val="auto"/>
                <w:w w:val="92"/>
              </w:rPr>
              <w:t>March 31, 2019</w:t>
            </w:r>
          </w:p>
        </w:tc>
        <w:tc>
          <w:tcPr>
            <w:tcW w:w="1540" w:type="dxa"/>
            <w:vAlign w:val="bottom"/>
            <w:gridSpan w:val="6"/>
          </w:tcPr>
          <w:p>
            <w:pPr>
              <w:ind w:left="140"/>
              <w:spacing w:after="0" w:line="202" w:lineRule="exact"/>
              <w:rPr>
                <w:sz w:val="20"/>
                <w:szCs w:val="20"/>
                <w:color w:val="auto"/>
              </w:rPr>
            </w:pPr>
            <w:r>
              <w:rPr>
                <w:rFonts w:ascii="Arial" w:cs="Arial" w:eastAsia="Arial" w:hAnsi="Arial"/>
                <w:sz w:val="18"/>
                <w:szCs w:val="18"/>
                <w:b w:val="1"/>
                <w:bCs w:val="1"/>
                <w:color w:val="auto"/>
              </w:rPr>
              <w:t>March 31, 2018</w:t>
            </w:r>
          </w:p>
        </w:tc>
      </w:tr>
      <w:tr>
        <w:trPr>
          <w:trHeight w:val="48"/>
        </w:trPr>
        <w:tc>
          <w:tcPr>
            <w:tcW w:w="4700" w:type="dxa"/>
            <w:vAlign w:val="bottom"/>
          </w:tcPr>
          <w:p>
            <w:pPr>
              <w:spacing w:after="0"/>
              <w:rPr>
                <w:sz w:val="4"/>
                <w:szCs w:val="4"/>
                <w:color w:val="auto"/>
              </w:rPr>
            </w:pPr>
          </w:p>
        </w:tc>
        <w:tc>
          <w:tcPr>
            <w:tcW w:w="384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25"/>
        </w:trPr>
        <w:tc>
          <w:tcPr>
            <w:tcW w:w="4700" w:type="dxa"/>
            <w:vAlign w:val="bottom"/>
            <w:shd w:val="clear" w:color="auto" w:fill="CCEEFF"/>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2880" w:type="dxa"/>
            <w:vAlign w:val="bottom"/>
            <w:gridSpan w:val="10"/>
            <w:shd w:val="clear" w:color="auto" w:fill="CCEEFF"/>
          </w:tcPr>
          <w:p>
            <w:pPr>
              <w:jc w:val="center"/>
              <w:ind w:right="200"/>
              <w:spacing w:after="0"/>
              <w:rPr>
                <w:sz w:val="20"/>
                <w:szCs w:val="20"/>
                <w:color w:val="auto"/>
              </w:rPr>
            </w:pPr>
            <w:r>
              <w:rPr>
                <w:rFonts w:ascii="Arial" w:cs="Arial" w:eastAsia="Arial" w:hAnsi="Arial"/>
                <w:sz w:val="18"/>
                <w:szCs w:val="18"/>
                <w:b w:val="1"/>
                <w:bCs w:val="1"/>
                <w:color w:val="auto"/>
                <w:w w:val="88"/>
              </w:rPr>
              <w:t>(in thousands except share and per</w:t>
            </w:r>
          </w:p>
        </w:tc>
      </w:tr>
      <w:tr>
        <w:trPr>
          <w:trHeight w:val="241"/>
        </w:trPr>
        <w:tc>
          <w:tcPr>
            <w:tcW w:w="470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4"/>
            <w:shd w:val="clear" w:color="auto" w:fill="CCEEFF"/>
          </w:tcPr>
          <w:p>
            <w:pPr>
              <w:jc w:val="center"/>
              <w:ind w:left="130"/>
              <w:spacing w:after="0"/>
              <w:rPr>
                <w:sz w:val="20"/>
                <w:szCs w:val="20"/>
                <w:color w:val="auto"/>
              </w:rPr>
            </w:pPr>
            <w:r>
              <w:rPr>
                <w:rFonts w:ascii="Arial" w:cs="Arial" w:eastAsia="Arial" w:hAnsi="Arial"/>
                <w:sz w:val="18"/>
                <w:szCs w:val="18"/>
                <w:b w:val="1"/>
                <w:bCs w:val="1"/>
                <w:color w:val="auto"/>
                <w:w w:val="91"/>
              </w:rPr>
              <w:t>share data)</w:t>
            </w:r>
          </w:p>
        </w:tc>
        <w:tc>
          <w:tcPr>
            <w:tcW w:w="2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324"/>
        </w:trPr>
        <w:tc>
          <w:tcPr>
            <w:tcW w:w="47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1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674,852</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620,125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324"/>
        </w:trPr>
        <w:tc>
          <w:tcPr>
            <w:tcW w:w="47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expenses:</w:t>
            </w:r>
          </w:p>
        </w:tc>
        <w:tc>
          <w:tcPr>
            <w:tcW w:w="3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Direct costs</w:t>
            </w:r>
          </w:p>
        </w:tc>
        <w:tc>
          <w:tcPr>
            <w:tcW w:w="3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475,497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430,592</w:t>
            </w:r>
          </w:p>
        </w:tc>
        <w:tc>
          <w:tcPr>
            <w:tcW w:w="1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 expense</w:t>
            </w:r>
          </w:p>
        </w:tc>
        <w:tc>
          <w:tcPr>
            <w:tcW w:w="3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81,912</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80,915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15,497</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16,898</w:t>
            </w:r>
          </w:p>
        </w:tc>
        <w:tc>
          <w:tcPr>
            <w:tcW w:w="100" w:type="dxa"/>
            <w:vAlign w:val="bottom"/>
          </w:tcPr>
          <w:p>
            <w:pPr>
              <w:spacing w:after="0"/>
              <w:rPr>
                <w:sz w:val="21"/>
                <w:szCs w:val="21"/>
                <w:color w:val="auto"/>
              </w:rPr>
            </w:pPr>
          </w:p>
        </w:tc>
      </w:tr>
      <w:tr>
        <w:trPr>
          <w:trHeight w:val="34"/>
        </w:trPr>
        <w:tc>
          <w:tcPr>
            <w:tcW w:w="47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97"/>
        </w:trPr>
        <w:tc>
          <w:tcPr>
            <w:tcW w:w="4700" w:type="dxa"/>
            <w:vAlign w:val="bottom"/>
            <w:shd w:val="clear" w:color="auto" w:fill="CCEEFF"/>
          </w:tcPr>
          <w:p>
            <w:pPr>
              <w:spacing w:after="0"/>
              <w:rPr>
                <w:sz w:val="24"/>
                <w:szCs w:val="24"/>
                <w:color w:val="auto"/>
              </w:rPr>
            </w:pPr>
          </w:p>
        </w:tc>
        <w:tc>
          <w:tcPr>
            <w:tcW w:w="38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Total costs and expenses</w:t>
            </w:r>
          </w:p>
        </w:tc>
        <w:tc>
          <w:tcPr>
            <w:tcW w:w="3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572,906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528,405</w:t>
            </w:r>
          </w:p>
        </w:tc>
        <w:tc>
          <w:tcPr>
            <w:tcW w:w="100" w:type="dxa"/>
            <w:vAlign w:val="bottom"/>
          </w:tcPr>
          <w:p>
            <w:pPr>
              <w:spacing w:after="0"/>
              <w:rPr>
                <w:sz w:val="21"/>
                <w:szCs w:val="21"/>
                <w:color w:val="auto"/>
              </w:rPr>
            </w:pPr>
          </w:p>
        </w:tc>
      </w:tr>
      <w:tr>
        <w:trPr>
          <w:trHeight w:val="34"/>
        </w:trPr>
        <w:tc>
          <w:tcPr>
            <w:tcW w:w="47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97"/>
        </w:trPr>
        <w:tc>
          <w:tcPr>
            <w:tcW w:w="4700" w:type="dxa"/>
            <w:vAlign w:val="bottom"/>
            <w:shd w:val="clear" w:color="auto" w:fill="CCEEFF"/>
          </w:tcPr>
          <w:p>
            <w:pPr>
              <w:spacing w:after="0"/>
              <w:rPr>
                <w:sz w:val="24"/>
                <w:szCs w:val="24"/>
                <w:color w:val="auto"/>
              </w:rPr>
            </w:pPr>
          </w:p>
        </w:tc>
        <w:tc>
          <w:tcPr>
            <w:tcW w:w="38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101,946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91,720</w:t>
            </w:r>
          </w:p>
        </w:tc>
        <w:tc>
          <w:tcPr>
            <w:tcW w:w="1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(3,354)</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(3,795)</w:t>
            </w:r>
          </w:p>
        </w:tc>
        <w:tc>
          <w:tcPr>
            <w:tcW w:w="100" w:type="dxa"/>
            <w:vAlign w:val="bottom"/>
          </w:tcPr>
          <w:p>
            <w:pPr>
              <w:spacing w:after="0"/>
              <w:rPr>
                <w:sz w:val="21"/>
                <w:szCs w:val="21"/>
                <w:color w:val="auto"/>
              </w:rPr>
            </w:pPr>
          </w:p>
        </w:tc>
      </w:tr>
      <w:tr>
        <w:trPr>
          <w:trHeight w:val="34"/>
        </w:trPr>
        <w:tc>
          <w:tcPr>
            <w:tcW w:w="47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97"/>
        </w:trPr>
        <w:tc>
          <w:tcPr>
            <w:tcW w:w="4700" w:type="dxa"/>
            <w:vAlign w:val="bottom"/>
            <w:shd w:val="clear" w:color="auto" w:fill="CCEEFF"/>
          </w:tcPr>
          <w:p>
            <w:pPr>
              <w:spacing w:after="0"/>
              <w:rPr>
                <w:sz w:val="24"/>
                <w:szCs w:val="24"/>
                <w:color w:val="auto"/>
              </w:rPr>
            </w:pPr>
          </w:p>
        </w:tc>
        <w:tc>
          <w:tcPr>
            <w:tcW w:w="38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3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100,337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88,748</w:t>
            </w:r>
          </w:p>
        </w:tc>
        <w:tc>
          <w:tcPr>
            <w:tcW w:w="10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8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(12,040)</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(10,650)</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97"/>
        </w:trPr>
        <w:tc>
          <w:tcPr>
            <w:tcW w:w="4700" w:type="dxa"/>
            <w:vAlign w:val="bottom"/>
            <w:tcBorders>
              <w:top w:val="single" w:sz="8" w:color="auto"/>
            </w:tcBorders>
          </w:tcPr>
          <w:p>
            <w:pPr>
              <w:spacing w:after="0"/>
              <w:rPr>
                <w:sz w:val="24"/>
                <w:szCs w:val="24"/>
                <w:color w:val="auto"/>
              </w:rPr>
            </w:pPr>
          </w:p>
        </w:tc>
        <w:tc>
          <w:tcPr>
            <w:tcW w:w="38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75"/>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1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88,297</w:t>
            </w:r>
          </w:p>
        </w:tc>
        <w:tc>
          <w:tcPr>
            <w:tcW w:w="5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78,098</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3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7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Ordinary Share:</w:t>
            </w:r>
          </w:p>
        </w:tc>
        <w:tc>
          <w:tcPr>
            <w:tcW w:w="3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97"/>
        </w:trPr>
        <w:tc>
          <w:tcPr>
            <w:tcW w:w="47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5"/>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41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1.64</w:t>
            </w:r>
          </w:p>
        </w:tc>
        <w:tc>
          <w:tcPr>
            <w:tcW w:w="5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3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7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5"/>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41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1.63</w:t>
            </w:r>
          </w:p>
        </w:tc>
        <w:tc>
          <w:tcPr>
            <w:tcW w:w="58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3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7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Weighted average number of Ordinary Shares outstanding:</w:t>
            </w:r>
          </w:p>
        </w:tc>
        <w:tc>
          <w:tcPr>
            <w:tcW w:w="3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7"/>
        </w:trPr>
        <w:tc>
          <w:tcPr>
            <w:tcW w:w="4700" w:type="dxa"/>
            <w:vAlign w:val="bottom"/>
            <w:shd w:val="clear" w:color="auto" w:fill="CCEEFF"/>
          </w:tcPr>
          <w:p>
            <w:pPr>
              <w:spacing w:after="0"/>
              <w:rPr>
                <w:sz w:val="2"/>
                <w:szCs w:val="2"/>
                <w:color w:val="auto"/>
              </w:rPr>
            </w:pPr>
          </w:p>
        </w:tc>
        <w:tc>
          <w:tcPr>
            <w:tcW w:w="38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5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8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53,845,407</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53,925,560</w:t>
            </w: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85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84"/>
        </w:trPr>
        <w:tc>
          <w:tcPr>
            <w:tcW w:w="154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5"/>
        </w:trPr>
        <w:tc>
          <w:tcPr>
            <w:tcW w:w="1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8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54,142,510</w:t>
            </w: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54,985,790</w:t>
            </w:r>
          </w:p>
        </w:tc>
      </w:tr>
      <w:tr>
        <w:trPr>
          <w:trHeight w:val="20"/>
        </w:trPr>
        <w:tc>
          <w:tcPr>
            <w:tcW w:w="1540" w:type="dxa"/>
            <w:vAlign w:val="bottom"/>
            <w:tcBorders>
              <w:top w:val="single" w:sz="8" w:color="auto"/>
              <w:bottom w:val="single" w:sz="8" w:color="auto"/>
            </w:tcBorders>
          </w:tcPr>
          <w:p>
            <w:pPr>
              <w:spacing w:after="0" w:line="20" w:lineRule="exact"/>
              <w:rPr>
                <w:sz w:val="1"/>
                <w:szCs w:val="1"/>
                <w:color w:val="auto"/>
              </w:rPr>
            </w:pPr>
          </w:p>
        </w:tc>
        <w:tc>
          <w:tcPr>
            <w:tcW w:w="85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1540" w:type="dxa"/>
            <w:vAlign w:val="bottom"/>
          </w:tcPr>
          <w:p>
            <w:pPr>
              <w:spacing w:after="0"/>
              <w:rPr>
                <w:sz w:val="24"/>
                <w:szCs w:val="24"/>
                <w:color w:val="auto"/>
              </w:rPr>
            </w:pPr>
          </w:p>
        </w:tc>
        <w:tc>
          <w:tcPr>
            <w:tcW w:w="8520" w:type="dxa"/>
            <w:vAlign w:val="bottom"/>
          </w:tcPr>
          <w:p>
            <w:pPr>
              <w:jc w:val="right"/>
              <w:ind w:right="710"/>
              <w:spacing w:after="0"/>
              <w:rPr>
                <w:sz w:val="20"/>
                <w:szCs w:val="20"/>
                <w:color w:val="auto"/>
              </w:rPr>
            </w:pPr>
            <w:r>
              <w:rPr>
                <w:rFonts w:ascii="Arial" w:cs="Arial" w:eastAsia="Arial" w:hAnsi="Arial"/>
                <w:sz w:val="18"/>
                <w:szCs w:val="18"/>
                <w:color w:val="auto"/>
                <w:w w:val="96"/>
              </w:rPr>
              <w:t>The accompanying notes are an integral part of these condensed consolidated financial statements.</w:t>
            </w:r>
          </w:p>
        </w:tc>
        <w:tc>
          <w:tcPr>
            <w:tcW w:w="1360" w:type="dxa"/>
            <w:vAlign w:val="bottom"/>
          </w:tcPr>
          <w:p>
            <w:pPr>
              <w:spacing w:after="0"/>
              <w:rPr>
                <w:sz w:val="24"/>
                <w:szCs w:val="24"/>
                <w:color w:val="auto"/>
              </w:rPr>
            </w:pPr>
          </w:p>
        </w:tc>
      </w:tr>
      <w:tr>
        <w:trPr>
          <w:trHeight w:val="675"/>
        </w:trPr>
        <w:tc>
          <w:tcPr>
            <w:tcW w:w="1540" w:type="dxa"/>
            <w:vAlign w:val="bottom"/>
          </w:tcPr>
          <w:p>
            <w:pPr>
              <w:spacing w:after="0"/>
              <w:rPr>
                <w:sz w:val="24"/>
                <w:szCs w:val="24"/>
                <w:color w:val="auto"/>
              </w:rPr>
            </w:pPr>
          </w:p>
        </w:tc>
        <w:tc>
          <w:tcPr>
            <w:tcW w:w="8520" w:type="dxa"/>
            <w:vAlign w:val="bottom"/>
          </w:tcPr>
          <w:p>
            <w:pPr>
              <w:jc w:val="right"/>
              <w:ind w:right="4210"/>
              <w:spacing w:after="0"/>
              <w:rPr>
                <w:sz w:val="20"/>
                <w:szCs w:val="20"/>
                <w:color w:val="auto"/>
              </w:rPr>
            </w:pPr>
            <w:r>
              <w:rPr>
                <w:rFonts w:ascii="Arial" w:cs="Arial" w:eastAsia="Arial" w:hAnsi="Arial"/>
                <w:sz w:val="18"/>
                <w:szCs w:val="18"/>
                <w:color w:val="auto"/>
              </w:rPr>
              <w:t>5</w:t>
            </w:r>
          </w:p>
        </w:tc>
        <w:tc>
          <w:tcPr>
            <w:tcW w:w="1360" w:type="dxa"/>
            <w:vAlign w:val="bottom"/>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2019 AND MARCH 31, 2018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3" w:lineRule="exact"/>
        <w:rPr>
          <w:sz w:val="20"/>
          <w:szCs w:val="20"/>
          <w:color w:val="auto"/>
        </w:rPr>
      </w:pPr>
    </w:p>
    <w:p>
      <w:pPr>
        <w:ind w:left="9280"/>
        <w:spacing w:after="0"/>
        <w:rPr>
          <w:sz w:val="20"/>
          <w:szCs w:val="20"/>
          <w:color w:val="auto"/>
        </w:rPr>
      </w:pPr>
      <w:r>
        <w:rPr>
          <w:rFonts w:ascii="Arial" w:cs="Arial" w:eastAsia="Arial" w:hAnsi="Arial"/>
          <w:sz w:val="16"/>
          <w:szCs w:val="16"/>
          <w:b w:val="1"/>
          <w:bCs w:val="1"/>
          <w:u w:val="single" w:color="auto"/>
          <w:color w:val="auto"/>
        </w:rPr>
        <w:t>Three Months Ended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6"/>
              </w:rPr>
              <w:t>March 31, 2019</w:t>
            </w:r>
          </w:p>
        </w:tc>
        <w:tc>
          <w:tcPr>
            <w:tcW w:w="24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w w:val="93"/>
              </w:rPr>
              <w:t>March 31, 2018</w:t>
            </w:r>
          </w:p>
        </w:tc>
      </w:tr>
      <w:tr>
        <w:trPr>
          <w:trHeight w:val="48"/>
        </w:trPr>
        <w:tc>
          <w:tcPr>
            <w:tcW w:w="70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70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gridSpan w:val="5"/>
            <w:shd w:val="clear" w:color="auto" w:fill="CCEEFF"/>
          </w:tcPr>
          <w:p>
            <w:pPr>
              <w:jc w:val="right"/>
              <w:ind w:right="920"/>
              <w:spacing w:after="0"/>
              <w:rPr>
                <w:sz w:val="20"/>
                <w:szCs w:val="20"/>
                <w:color w:val="auto"/>
              </w:rPr>
            </w:pPr>
            <w:r>
              <w:rPr>
                <w:rFonts w:ascii="Arial" w:cs="Arial" w:eastAsia="Arial" w:hAnsi="Arial"/>
                <w:sz w:val="16"/>
                <w:szCs w:val="16"/>
                <w:b w:val="1"/>
                <w:bCs w:val="1"/>
                <w:color w:val="auto"/>
              </w:rPr>
              <w:t>(in thousands)</w:t>
            </w:r>
          </w:p>
        </w:tc>
      </w:tr>
      <w:tr>
        <w:trPr>
          <w:trHeight w:val="224"/>
        </w:trPr>
        <w:tc>
          <w:tcPr>
            <w:tcW w:w="7060" w:type="dxa"/>
            <w:vAlign w:val="bottom"/>
          </w:tcPr>
          <w:p>
            <w:pPr>
              <w:ind w:left="180"/>
              <w:spacing w:after="0"/>
              <w:rPr>
                <w:sz w:val="20"/>
                <w:szCs w:val="20"/>
                <w:color w:val="auto"/>
              </w:rPr>
            </w:pPr>
            <w:r>
              <w:rPr>
                <w:rFonts w:ascii="Arial" w:cs="Arial" w:eastAsia="Arial" w:hAnsi="Arial"/>
                <w:sz w:val="16"/>
                <w:szCs w:val="16"/>
                <w:b w:val="1"/>
                <w:bCs w:val="1"/>
                <w:color w:val="auto"/>
              </w:rPr>
              <w:t>Cash flows from operating activities:</w:t>
            </w:r>
          </w:p>
        </w:tc>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7"/>
        </w:trPr>
        <w:tc>
          <w:tcPr>
            <w:tcW w:w="70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88,297</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78,098</w:t>
            </w:r>
          </w:p>
        </w:tc>
      </w:tr>
      <w:tr>
        <w:trPr>
          <w:trHeight w:val="224"/>
        </w:trPr>
        <w:tc>
          <w:tcPr>
            <w:tcW w:w="7060" w:type="dxa"/>
            <w:vAlign w:val="bottom"/>
          </w:tcPr>
          <w:p>
            <w:pPr>
              <w:ind w:left="2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7"/>
        </w:trPr>
        <w:tc>
          <w:tcPr>
            <w:tcW w:w="70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Loss on disposal of property, plant and equipment</w:t>
            </w:r>
          </w:p>
        </w:tc>
        <w:tc>
          <w:tcPr>
            <w:tcW w:w="1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r>
      <w:tr>
        <w:trPr>
          <w:trHeight w:val="237"/>
        </w:trPr>
        <w:tc>
          <w:tcPr>
            <w:tcW w:w="7060" w:type="dxa"/>
            <w:vAlign w:val="bottom"/>
          </w:tcPr>
          <w:p>
            <w:pPr>
              <w:ind w:left="320"/>
              <w:spacing w:after="0"/>
              <w:rPr>
                <w:sz w:val="20"/>
                <w:szCs w:val="20"/>
                <w:color w:val="auto"/>
              </w:rPr>
            </w:pPr>
            <w:r>
              <w:rPr>
                <w:rFonts w:ascii="Arial" w:cs="Arial" w:eastAsia="Arial" w:hAnsi="Arial"/>
                <w:sz w:val="16"/>
                <w:szCs w:val="16"/>
                <w:color w:val="auto"/>
              </w:rPr>
              <w:t>Depreciation expense</w:t>
            </w:r>
          </w:p>
        </w:tc>
        <w:tc>
          <w:tcPr>
            <w:tcW w:w="1660" w:type="dxa"/>
            <w:vAlign w:val="bottom"/>
          </w:tcPr>
          <w:p>
            <w:pPr>
              <w:spacing w:after="0"/>
              <w:rPr>
                <w:sz w:val="20"/>
                <w:szCs w:val="20"/>
                <w:color w:val="auto"/>
              </w:rPr>
            </w:pPr>
          </w:p>
        </w:tc>
        <w:tc>
          <w:tcPr>
            <w:tcW w:w="1280" w:type="dxa"/>
            <w:vAlign w:val="bottom"/>
            <w:gridSpan w:val="3"/>
          </w:tcPr>
          <w:p>
            <w:pPr>
              <w:jc w:val="right"/>
              <w:ind w:right="160"/>
              <w:spacing w:after="0"/>
              <w:rPr>
                <w:sz w:val="20"/>
                <w:szCs w:val="20"/>
                <w:color w:val="auto"/>
              </w:rPr>
            </w:pPr>
            <w:r>
              <w:rPr>
                <w:rFonts w:ascii="Arial" w:cs="Arial" w:eastAsia="Arial" w:hAnsi="Arial"/>
                <w:sz w:val="16"/>
                <w:szCs w:val="16"/>
                <w:color w:val="auto"/>
              </w:rPr>
              <w:t>11,582</w:t>
            </w:r>
          </w:p>
        </w:tc>
        <w:tc>
          <w:tcPr>
            <w:tcW w:w="2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11,850</w:t>
            </w:r>
          </w:p>
        </w:tc>
      </w:tr>
      <w:tr>
        <w:trPr>
          <w:trHeight w:val="33"/>
        </w:trPr>
        <w:tc>
          <w:tcPr>
            <w:tcW w:w="7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Amortization of operating right-of-use assets</w:t>
            </w:r>
          </w:p>
        </w:tc>
        <w:tc>
          <w:tcPr>
            <w:tcW w:w="1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7,446</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37"/>
        </w:trPr>
        <w:tc>
          <w:tcPr>
            <w:tcW w:w="7060" w:type="dxa"/>
            <w:vAlign w:val="bottom"/>
          </w:tcPr>
          <w:p>
            <w:pPr>
              <w:ind w:left="300"/>
              <w:spacing w:after="0"/>
              <w:rPr>
                <w:sz w:val="20"/>
                <w:szCs w:val="20"/>
                <w:color w:val="auto"/>
              </w:rPr>
            </w:pPr>
            <w:r>
              <w:rPr>
                <w:rFonts w:ascii="Arial" w:cs="Arial" w:eastAsia="Arial" w:hAnsi="Arial"/>
                <w:sz w:val="16"/>
                <w:szCs w:val="16"/>
                <w:color w:val="auto"/>
              </w:rPr>
              <w:t>Amortization of intangibles</w:t>
            </w:r>
          </w:p>
        </w:tc>
        <w:tc>
          <w:tcPr>
            <w:tcW w:w="16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3,915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5,048</w:t>
            </w:r>
          </w:p>
        </w:tc>
      </w:tr>
      <w:tr>
        <w:trPr>
          <w:trHeight w:val="33"/>
        </w:trPr>
        <w:tc>
          <w:tcPr>
            <w:tcW w:w="7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Amortization of government grants</w:t>
            </w:r>
          </w:p>
        </w:tc>
        <w:tc>
          <w:tcPr>
            <w:tcW w:w="1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(11)</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w:t>
            </w:r>
          </w:p>
        </w:tc>
      </w:tr>
      <w:tr>
        <w:trPr>
          <w:trHeight w:val="237"/>
        </w:trPr>
        <w:tc>
          <w:tcPr>
            <w:tcW w:w="7060" w:type="dxa"/>
            <w:vAlign w:val="bottom"/>
          </w:tcPr>
          <w:p>
            <w:pPr>
              <w:ind w:left="320"/>
              <w:spacing w:after="0"/>
              <w:rPr>
                <w:sz w:val="20"/>
                <w:szCs w:val="20"/>
                <w:color w:val="auto"/>
              </w:rPr>
            </w:pPr>
            <w:r>
              <w:rPr>
                <w:rFonts w:ascii="Arial" w:cs="Arial" w:eastAsia="Arial" w:hAnsi="Arial"/>
                <w:sz w:val="16"/>
                <w:szCs w:val="16"/>
                <w:color w:val="auto"/>
              </w:rPr>
              <w:t>Interest on short term investments</w:t>
            </w:r>
          </w:p>
        </w:tc>
        <w:tc>
          <w:tcPr>
            <w:tcW w:w="166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(268)</w:t>
            </w:r>
          </w:p>
        </w:tc>
        <w:tc>
          <w:tcPr>
            <w:tcW w:w="2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(333)</w:t>
            </w:r>
          </w:p>
        </w:tc>
      </w:tr>
      <w:tr>
        <w:trPr>
          <w:trHeight w:val="33"/>
        </w:trPr>
        <w:tc>
          <w:tcPr>
            <w:tcW w:w="7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Interest on non-current operating lease liability</w:t>
            </w:r>
          </w:p>
        </w:tc>
        <w:tc>
          <w:tcPr>
            <w:tcW w:w="1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37"/>
        </w:trPr>
        <w:tc>
          <w:tcPr>
            <w:tcW w:w="7060" w:type="dxa"/>
            <w:vAlign w:val="bottom"/>
          </w:tcPr>
          <w:p>
            <w:pPr>
              <w:ind w:left="320"/>
              <w:spacing w:after="0"/>
              <w:rPr>
                <w:sz w:val="20"/>
                <w:szCs w:val="20"/>
                <w:color w:val="auto"/>
              </w:rPr>
            </w:pPr>
            <w:r>
              <w:rPr>
                <w:rFonts w:ascii="Arial" w:cs="Arial" w:eastAsia="Arial" w:hAnsi="Arial"/>
                <w:sz w:val="16"/>
                <w:szCs w:val="16"/>
                <w:color w:val="auto"/>
              </w:rPr>
              <w:t>Gain on re-measurement of financial assets</w:t>
            </w:r>
          </w:p>
        </w:tc>
        <w:tc>
          <w:tcPr>
            <w:tcW w:w="166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(500)</w:t>
            </w:r>
          </w:p>
        </w:tc>
        <w:tc>
          <w:tcPr>
            <w:tcW w:w="2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33"/>
        </w:trPr>
        <w:tc>
          <w:tcPr>
            <w:tcW w:w="7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Stock compensation expense</w:t>
            </w:r>
          </w:p>
        </w:tc>
        <w:tc>
          <w:tcPr>
            <w:tcW w:w="1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7,079</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9,392</w:t>
            </w:r>
          </w:p>
        </w:tc>
      </w:tr>
      <w:tr>
        <w:trPr>
          <w:trHeight w:val="237"/>
        </w:trPr>
        <w:tc>
          <w:tcPr>
            <w:tcW w:w="7060" w:type="dxa"/>
            <w:vAlign w:val="bottom"/>
          </w:tcPr>
          <w:p>
            <w:pPr>
              <w:ind w:left="300"/>
              <w:spacing w:after="0"/>
              <w:rPr>
                <w:sz w:val="20"/>
                <w:szCs w:val="20"/>
                <w:color w:val="auto"/>
              </w:rPr>
            </w:pPr>
            <w:r>
              <w:rPr>
                <w:rFonts w:ascii="Arial" w:cs="Arial" w:eastAsia="Arial" w:hAnsi="Arial"/>
                <w:sz w:val="16"/>
                <w:szCs w:val="16"/>
                <w:color w:val="auto"/>
              </w:rPr>
              <w:t>Amortization of gain on interest rate hedge</w:t>
            </w:r>
          </w:p>
        </w:tc>
        <w:tc>
          <w:tcPr>
            <w:tcW w:w="166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(231)</w:t>
            </w:r>
          </w:p>
        </w:tc>
        <w:tc>
          <w:tcPr>
            <w:tcW w:w="2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(230)</w:t>
            </w:r>
          </w:p>
        </w:tc>
      </w:tr>
      <w:tr>
        <w:trPr>
          <w:trHeight w:val="33"/>
        </w:trPr>
        <w:tc>
          <w:tcPr>
            <w:tcW w:w="7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Amortization of financing costs</w:t>
            </w:r>
          </w:p>
        </w:tc>
        <w:tc>
          <w:tcPr>
            <w:tcW w:w="1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390</w:t>
            </w:r>
          </w:p>
        </w:tc>
      </w:tr>
      <w:tr>
        <w:trPr>
          <w:trHeight w:val="237"/>
        </w:trPr>
        <w:tc>
          <w:tcPr>
            <w:tcW w:w="7060" w:type="dxa"/>
            <w:vAlign w:val="bottom"/>
          </w:tcPr>
          <w:p>
            <w:pPr>
              <w:ind w:left="320"/>
              <w:spacing w:after="0"/>
              <w:rPr>
                <w:sz w:val="20"/>
                <w:szCs w:val="20"/>
                <w:color w:val="auto"/>
              </w:rPr>
            </w:pPr>
            <w:r>
              <w:rPr>
                <w:rFonts w:ascii="Arial" w:cs="Arial" w:eastAsia="Arial" w:hAnsi="Arial"/>
                <w:sz w:val="16"/>
                <w:szCs w:val="16"/>
                <w:color w:val="auto"/>
              </w:rPr>
              <w:t>Deferred taxes</w:t>
            </w:r>
          </w:p>
        </w:tc>
        <w:tc>
          <w:tcPr>
            <w:tcW w:w="16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740</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(3,481)</w:t>
            </w:r>
          </w:p>
        </w:tc>
      </w:tr>
      <w:tr>
        <w:trPr>
          <w:trHeight w:val="33"/>
        </w:trPr>
        <w:tc>
          <w:tcPr>
            <w:tcW w:w="7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Changes in assets and liabilities:</w:t>
            </w:r>
          </w:p>
        </w:tc>
        <w:tc>
          <w:tcPr>
            <w:tcW w:w="1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7060" w:type="dxa"/>
            <w:vAlign w:val="bottom"/>
          </w:tcPr>
          <w:p>
            <w:pPr>
              <w:ind w:left="320"/>
              <w:spacing w:after="0"/>
              <w:rPr>
                <w:sz w:val="20"/>
                <w:szCs w:val="20"/>
                <w:color w:val="auto"/>
              </w:rPr>
            </w:pPr>
            <w:r>
              <w:rPr>
                <w:rFonts w:ascii="Arial" w:cs="Arial" w:eastAsia="Arial" w:hAnsi="Arial"/>
                <w:sz w:val="16"/>
                <w:szCs w:val="16"/>
                <w:color w:val="auto"/>
              </w:rPr>
              <w:t>Decrease/(increase) in accounts receivable</w:t>
            </w:r>
          </w:p>
        </w:tc>
        <w:tc>
          <w:tcPr>
            <w:tcW w:w="16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3,545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(12,979)</w:t>
            </w:r>
          </w:p>
        </w:tc>
      </w:tr>
      <w:tr>
        <w:trPr>
          <w:trHeight w:val="33"/>
        </w:trPr>
        <w:tc>
          <w:tcPr>
            <w:tcW w:w="7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Increase in unbilled revenue</w:t>
            </w:r>
          </w:p>
        </w:tc>
        <w:tc>
          <w:tcPr>
            <w:tcW w:w="1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(79,478)</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(65,904)</w:t>
            </w:r>
          </w:p>
        </w:tc>
      </w:tr>
      <w:tr>
        <w:trPr>
          <w:trHeight w:val="237"/>
        </w:trPr>
        <w:tc>
          <w:tcPr>
            <w:tcW w:w="7060" w:type="dxa"/>
            <w:vAlign w:val="bottom"/>
          </w:tcPr>
          <w:p>
            <w:pPr>
              <w:ind w:left="320"/>
              <w:spacing w:after="0"/>
              <w:rPr>
                <w:sz w:val="20"/>
                <w:szCs w:val="20"/>
                <w:color w:val="auto"/>
              </w:rPr>
            </w:pPr>
            <w:r>
              <w:rPr>
                <w:rFonts w:ascii="Arial" w:cs="Arial" w:eastAsia="Arial" w:hAnsi="Arial"/>
                <w:sz w:val="16"/>
                <w:szCs w:val="16"/>
                <w:color w:val="auto"/>
              </w:rPr>
              <w:t>Decrease/(increase) in other receivables</w:t>
            </w:r>
          </w:p>
        </w:tc>
        <w:tc>
          <w:tcPr>
            <w:tcW w:w="16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398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(2,866)</w:t>
            </w:r>
          </w:p>
        </w:tc>
      </w:tr>
      <w:tr>
        <w:trPr>
          <w:trHeight w:val="33"/>
        </w:trPr>
        <w:tc>
          <w:tcPr>
            <w:tcW w:w="7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Increase in prepayments and other current assets</w:t>
            </w:r>
          </w:p>
        </w:tc>
        <w:tc>
          <w:tcPr>
            <w:tcW w:w="1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(2,187)</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(10,358)</w:t>
            </w:r>
          </w:p>
        </w:tc>
      </w:tr>
      <w:tr>
        <w:trPr>
          <w:trHeight w:val="237"/>
        </w:trPr>
        <w:tc>
          <w:tcPr>
            <w:tcW w:w="7060" w:type="dxa"/>
            <w:vAlign w:val="bottom"/>
          </w:tcPr>
          <w:p>
            <w:pPr>
              <w:ind w:left="320"/>
              <w:spacing w:after="0"/>
              <w:rPr>
                <w:sz w:val="20"/>
                <w:szCs w:val="20"/>
                <w:color w:val="auto"/>
              </w:rPr>
            </w:pPr>
            <w:r>
              <w:rPr>
                <w:rFonts w:ascii="Arial" w:cs="Arial" w:eastAsia="Arial" w:hAnsi="Arial"/>
                <w:sz w:val="16"/>
                <w:szCs w:val="16"/>
                <w:color w:val="auto"/>
              </w:rPr>
              <w:t>Increase in other non-current assets</w:t>
            </w:r>
          </w:p>
        </w:tc>
        <w:tc>
          <w:tcPr>
            <w:tcW w:w="166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(4,421)</w:t>
            </w:r>
          </w:p>
        </w:tc>
        <w:tc>
          <w:tcPr>
            <w:tcW w:w="2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(179)</w:t>
            </w:r>
          </w:p>
        </w:tc>
      </w:tr>
      <w:tr>
        <w:trPr>
          <w:trHeight w:val="33"/>
        </w:trPr>
        <w:tc>
          <w:tcPr>
            <w:tcW w:w="7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Increase in payments on account</w:t>
            </w:r>
          </w:p>
        </w:tc>
        <w:tc>
          <w:tcPr>
            <w:tcW w:w="1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43,957</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92,350</w:t>
            </w:r>
          </w:p>
        </w:tc>
      </w:tr>
      <w:tr>
        <w:trPr>
          <w:trHeight w:val="237"/>
        </w:trPr>
        <w:tc>
          <w:tcPr>
            <w:tcW w:w="7060" w:type="dxa"/>
            <w:vAlign w:val="bottom"/>
          </w:tcPr>
          <w:p>
            <w:pPr>
              <w:ind w:left="320"/>
              <w:spacing w:after="0"/>
              <w:rPr>
                <w:sz w:val="20"/>
                <w:szCs w:val="20"/>
                <w:color w:val="auto"/>
              </w:rPr>
            </w:pPr>
            <w:r>
              <w:rPr>
                <w:rFonts w:ascii="Arial" w:cs="Arial" w:eastAsia="Arial" w:hAnsi="Arial"/>
                <w:sz w:val="16"/>
                <w:szCs w:val="16"/>
                <w:color w:val="auto"/>
              </w:rPr>
              <w:t>Increase/(decrease) in other current liabilities</w:t>
            </w:r>
          </w:p>
        </w:tc>
        <w:tc>
          <w:tcPr>
            <w:tcW w:w="16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16,432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(56,787)</w:t>
            </w:r>
          </w:p>
        </w:tc>
      </w:tr>
      <w:tr>
        <w:trPr>
          <w:trHeight w:val="33"/>
        </w:trPr>
        <w:tc>
          <w:tcPr>
            <w:tcW w:w="7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Decrease in operating lease liabilities</w:t>
            </w:r>
          </w:p>
        </w:tc>
        <w:tc>
          <w:tcPr>
            <w:tcW w:w="1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(8,688)</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37"/>
        </w:trPr>
        <w:tc>
          <w:tcPr>
            <w:tcW w:w="7060" w:type="dxa"/>
            <w:vAlign w:val="bottom"/>
          </w:tcPr>
          <w:p>
            <w:pPr>
              <w:ind w:left="320"/>
              <w:spacing w:after="0"/>
              <w:rPr>
                <w:sz w:val="20"/>
                <w:szCs w:val="20"/>
                <w:color w:val="auto"/>
              </w:rPr>
            </w:pPr>
            <w:r>
              <w:rPr>
                <w:rFonts w:ascii="Arial" w:cs="Arial" w:eastAsia="Arial" w:hAnsi="Arial"/>
                <w:sz w:val="16"/>
                <w:szCs w:val="16"/>
                <w:color w:val="auto"/>
              </w:rPr>
              <w:t>Decrease in other non-current liabilities</w:t>
            </w:r>
          </w:p>
        </w:tc>
        <w:tc>
          <w:tcPr>
            <w:tcW w:w="166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(1,165)</w:t>
            </w:r>
          </w:p>
        </w:tc>
      </w:tr>
      <w:tr>
        <w:trPr>
          <w:trHeight w:val="33"/>
        </w:trPr>
        <w:tc>
          <w:tcPr>
            <w:tcW w:w="7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Increase in income taxes payable</w:t>
            </w:r>
          </w:p>
        </w:tc>
        <w:tc>
          <w:tcPr>
            <w:tcW w:w="1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2,907</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4,300</w:t>
            </w:r>
          </w:p>
        </w:tc>
      </w:tr>
      <w:tr>
        <w:trPr>
          <w:trHeight w:val="237"/>
        </w:trPr>
        <w:tc>
          <w:tcPr>
            <w:tcW w:w="7060" w:type="dxa"/>
            <w:vAlign w:val="bottom"/>
          </w:tcPr>
          <w:p>
            <w:pPr>
              <w:ind w:left="320"/>
              <w:spacing w:after="0"/>
              <w:rPr>
                <w:sz w:val="20"/>
                <w:szCs w:val="20"/>
                <w:color w:val="auto"/>
              </w:rPr>
            </w:pPr>
            <w:r>
              <w:rPr>
                <w:rFonts w:ascii="Arial" w:cs="Arial" w:eastAsia="Arial" w:hAnsi="Arial"/>
                <w:sz w:val="16"/>
                <w:szCs w:val="16"/>
                <w:color w:val="auto"/>
              </w:rPr>
              <w:t>Decrease in deferred tax liability</w:t>
            </w:r>
          </w:p>
        </w:tc>
        <w:tc>
          <w:tcPr>
            <w:tcW w:w="166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(2,096)</w:t>
            </w:r>
          </w:p>
        </w:tc>
        <w:tc>
          <w:tcPr>
            <w:tcW w:w="2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33"/>
        </w:trPr>
        <w:tc>
          <w:tcPr>
            <w:tcW w:w="7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Increase/(decrease) in accounts payable</w:t>
            </w:r>
          </w:p>
        </w:tc>
        <w:tc>
          <w:tcPr>
            <w:tcW w:w="16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5,403</w:t>
            </w:r>
          </w:p>
        </w:tc>
        <w:tc>
          <w:tcPr>
            <w:tcW w:w="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(6,668)</w:t>
            </w:r>
          </w:p>
        </w:tc>
      </w:tr>
      <w:tr>
        <w:trPr>
          <w:trHeight w:val="237"/>
        </w:trPr>
        <w:tc>
          <w:tcPr>
            <w:tcW w:w="706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Net cash provided by operating activities</w:t>
            </w:r>
          </w:p>
        </w:tc>
        <w:tc>
          <w:tcPr>
            <w:tcW w:w="16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94,634</w:t>
            </w:r>
          </w:p>
        </w:tc>
        <w:tc>
          <w:tcPr>
            <w:tcW w:w="1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40,468</w:t>
            </w:r>
          </w:p>
        </w:tc>
      </w:tr>
      <w:tr>
        <w:trPr>
          <w:trHeight w:val="33"/>
        </w:trPr>
        <w:tc>
          <w:tcPr>
            <w:tcW w:w="7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Cash flows from investing activities:</w:t>
            </w:r>
          </w:p>
        </w:tc>
        <w:tc>
          <w:tcPr>
            <w:tcW w:w="1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7060" w:type="dxa"/>
            <w:vAlign w:val="bottom"/>
          </w:tcPr>
          <w:p>
            <w:pPr>
              <w:ind w:left="320"/>
              <w:spacing w:after="0"/>
              <w:rPr>
                <w:sz w:val="20"/>
                <w:szCs w:val="20"/>
                <w:color w:val="auto"/>
              </w:rPr>
            </w:pPr>
            <w:r>
              <w:rPr>
                <w:rFonts w:ascii="Arial" w:cs="Arial" w:eastAsia="Arial" w:hAnsi="Arial"/>
                <w:sz w:val="16"/>
                <w:szCs w:val="16"/>
                <w:color w:val="auto"/>
              </w:rPr>
              <w:t>Purchase of property, plant and equipment</w:t>
            </w:r>
          </w:p>
        </w:tc>
        <w:tc>
          <w:tcPr>
            <w:tcW w:w="166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(7,034)</w:t>
            </w:r>
          </w:p>
        </w:tc>
        <w:tc>
          <w:tcPr>
            <w:tcW w:w="2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(8,304)</w:t>
            </w:r>
          </w:p>
        </w:tc>
      </w:tr>
      <w:tr>
        <w:trPr>
          <w:trHeight w:val="33"/>
        </w:trPr>
        <w:tc>
          <w:tcPr>
            <w:tcW w:w="7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Purchase of subsidiary undertakings</w:t>
            </w:r>
          </w:p>
        </w:tc>
        <w:tc>
          <w:tcPr>
            <w:tcW w:w="1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(42,349)</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(1,645)</w:t>
            </w:r>
          </w:p>
        </w:tc>
      </w:tr>
      <w:tr>
        <w:trPr>
          <w:trHeight w:val="224"/>
        </w:trPr>
        <w:tc>
          <w:tcPr>
            <w:tcW w:w="7060" w:type="dxa"/>
            <w:vAlign w:val="bottom"/>
          </w:tcPr>
          <w:p>
            <w:pPr>
              <w:ind w:left="320"/>
              <w:spacing w:after="0"/>
              <w:rPr>
                <w:sz w:val="20"/>
                <w:szCs w:val="20"/>
                <w:color w:val="auto"/>
              </w:rPr>
            </w:pPr>
            <w:r>
              <w:rPr>
                <w:rFonts w:ascii="Arial" w:cs="Arial" w:eastAsia="Arial" w:hAnsi="Arial"/>
                <w:sz w:val="16"/>
                <w:szCs w:val="16"/>
                <w:color w:val="auto"/>
              </w:rPr>
              <w:t>Cash acquired with subsidiary undertaking</w:t>
            </w:r>
          </w:p>
        </w:tc>
        <w:tc>
          <w:tcPr>
            <w:tcW w:w="16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686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33"/>
        </w:trPr>
        <w:tc>
          <w:tcPr>
            <w:tcW w:w="7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Purchase of available for sale investments</w:t>
            </w:r>
          </w:p>
        </w:tc>
        <w:tc>
          <w:tcPr>
            <w:tcW w:w="1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(81)</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(10,160)</w:t>
            </w:r>
          </w:p>
        </w:tc>
      </w:tr>
      <w:tr>
        <w:trPr>
          <w:trHeight w:val="237"/>
        </w:trPr>
        <w:tc>
          <w:tcPr>
            <w:tcW w:w="7060" w:type="dxa"/>
            <w:vAlign w:val="bottom"/>
          </w:tcPr>
          <w:p>
            <w:pPr>
              <w:ind w:left="320"/>
              <w:spacing w:after="0"/>
              <w:rPr>
                <w:sz w:val="20"/>
                <w:szCs w:val="20"/>
                <w:color w:val="auto"/>
              </w:rPr>
            </w:pPr>
            <w:r>
              <w:rPr>
                <w:rFonts w:ascii="Arial" w:cs="Arial" w:eastAsia="Arial" w:hAnsi="Arial"/>
                <w:sz w:val="16"/>
                <w:szCs w:val="16"/>
                <w:color w:val="auto"/>
              </w:rPr>
              <w:t>Sale of available for sale investments</w:t>
            </w:r>
          </w:p>
        </w:tc>
        <w:tc>
          <w:tcPr>
            <w:tcW w:w="16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239</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6,253</w:t>
            </w:r>
          </w:p>
        </w:tc>
      </w:tr>
      <w:tr>
        <w:trPr>
          <w:trHeight w:val="33"/>
        </w:trPr>
        <w:tc>
          <w:tcPr>
            <w:tcW w:w="7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Purchase of investments in equity - long term</w:t>
            </w:r>
          </w:p>
        </w:tc>
        <w:tc>
          <w:tcPr>
            <w:tcW w:w="16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(2,019)</w:t>
            </w:r>
          </w:p>
        </w:tc>
        <w:tc>
          <w:tcPr>
            <w:tcW w:w="2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37"/>
        </w:trPr>
        <w:tc>
          <w:tcPr>
            <w:tcW w:w="706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Net cash used in investing activities</w:t>
            </w:r>
          </w:p>
        </w:tc>
        <w:tc>
          <w:tcPr>
            <w:tcW w:w="16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6"/>
                <w:szCs w:val="16"/>
                <w:color w:val="auto"/>
              </w:rPr>
              <w:t>(50,558)</w:t>
            </w:r>
          </w:p>
        </w:tc>
        <w:tc>
          <w:tcPr>
            <w:tcW w:w="2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(13,856)</w:t>
            </w:r>
          </w:p>
        </w:tc>
      </w:tr>
      <w:tr>
        <w:trPr>
          <w:trHeight w:val="33"/>
        </w:trPr>
        <w:tc>
          <w:tcPr>
            <w:tcW w:w="7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Cash flows from financing activities:</w:t>
            </w:r>
          </w:p>
        </w:tc>
        <w:tc>
          <w:tcPr>
            <w:tcW w:w="16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24"/>
        </w:trPr>
        <w:tc>
          <w:tcPr>
            <w:tcW w:w="7060" w:type="dxa"/>
            <w:vAlign w:val="bottom"/>
          </w:tcPr>
          <w:p>
            <w:pPr>
              <w:ind w:left="320"/>
              <w:spacing w:after="0"/>
              <w:rPr>
                <w:sz w:val="20"/>
                <w:szCs w:val="20"/>
                <w:color w:val="auto"/>
              </w:rPr>
            </w:pPr>
            <w:r>
              <w:rPr>
                <w:rFonts w:ascii="Arial" w:cs="Arial" w:eastAsia="Arial" w:hAnsi="Arial"/>
                <w:sz w:val="16"/>
                <w:szCs w:val="16"/>
                <w:color w:val="auto"/>
              </w:rPr>
              <w:t>Financing costs</w:t>
            </w:r>
          </w:p>
        </w:tc>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(823)</w:t>
            </w:r>
          </w:p>
        </w:tc>
      </w:tr>
      <w:tr>
        <w:trPr>
          <w:trHeight w:val="33"/>
        </w:trPr>
        <w:tc>
          <w:tcPr>
            <w:tcW w:w="7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Proceeds from exercise of equity compensation</w:t>
            </w:r>
          </w:p>
        </w:tc>
        <w:tc>
          <w:tcPr>
            <w:tcW w:w="1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3,391</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727</w:t>
            </w:r>
          </w:p>
        </w:tc>
      </w:tr>
      <w:tr>
        <w:trPr>
          <w:trHeight w:val="237"/>
        </w:trPr>
        <w:tc>
          <w:tcPr>
            <w:tcW w:w="7060" w:type="dxa"/>
            <w:vAlign w:val="bottom"/>
          </w:tcPr>
          <w:p>
            <w:pPr>
              <w:ind w:left="320"/>
              <w:spacing w:after="0"/>
              <w:rPr>
                <w:sz w:val="20"/>
                <w:szCs w:val="20"/>
                <w:color w:val="auto"/>
              </w:rPr>
            </w:pPr>
            <w:r>
              <w:rPr>
                <w:rFonts w:ascii="Arial" w:cs="Arial" w:eastAsia="Arial" w:hAnsi="Arial"/>
                <w:sz w:val="16"/>
                <w:szCs w:val="16"/>
                <w:color w:val="auto"/>
              </w:rPr>
              <w:t>Share issue costs</w:t>
            </w:r>
          </w:p>
        </w:tc>
        <w:tc>
          <w:tcPr>
            <w:tcW w:w="166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r>
      <w:tr>
        <w:trPr>
          <w:trHeight w:val="33"/>
        </w:trPr>
        <w:tc>
          <w:tcPr>
            <w:tcW w:w="7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Repurchase of ordinary shares</w:t>
            </w:r>
          </w:p>
        </w:tc>
        <w:tc>
          <w:tcPr>
            <w:tcW w:w="1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(25,000)</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(38,208)</w:t>
            </w:r>
          </w:p>
        </w:tc>
      </w:tr>
      <w:tr>
        <w:trPr>
          <w:trHeight w:val="237"/>
        </w:trPr>
        <w:tc>
          <w:tcPr>
            <w:tcW w:w="7060" w:type="dxa"/>
            <w:vAlign w:val="bottom"/>
          </w:tcPr>
          <w:p>
            <w:pPr>
              <w:ind w:left="320"/>
              <w:spacing w:after="0"/>
              <w:rPr>
                <w:sz w:val="20"/>
                <w:szCs w:val="20"/>
                <w:color w:val="auto"/>
              </w:rPr>
            </w:pPr>
            <w:r>
              <w:rPr>
                <w:rFonts w:ascii="Arial" w:cs="Arial" w:eastAsia="Arial" w:hAnsi="Arial"/>
                <w:sz w:val="16"/>
                <w:szCs w:val="16"/>
                <w:color w:val="auto"/>
              </w:rPr>
              <w:t>Share repurchase costs</w:t>
            </w:r>
          </w:p>
        </w:tc>
        <w:tc>
          <w:tcPr>
            <w:tcW w:w="166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(31)</w:t>
            </w:r>
          </w:p>
        </w:tc>
      </w:tr>
      <w:tr>
        <w:trPr>
          <w:trHeight w:val="40"/>
        </w:trPr>
        <w:tc>
          <w:tcPr>
            <w:tcW w:w="70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50"/>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1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(21,633)</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(38,339)</w:t>
            </w:r>
          </w:p>
        </w:tc>
      </w:tr>
      <w:tr>
        <w:trPr>
          <w:trHeight w:val="237"/>
        </w:trPr>
        <w:tc>
          <w:tcPr>
            <w:tcW w:w="7060" w:type="dxa"/>
            <w:vAlign w:val="bottom"/>
          </w:tcPr>
          <w:p>
            <w:pPr>
              <w:ind w:left="40"/>
              <w:spacing w:after="0"/>
              <w:rPr>
                <w:sz w:val="20"/>
                <w:szCs w:val="20"/>
                <w:color w:val="auto"/>
              </w:rPr>
            </w:pPr>
            <w:r>
              <w:rPr>
                <w:rFonts w:ascii="Arial" w:cs="Arial" w:eastAsia="Arial" w:hAnsi="Arial"/>
                <w:sz w:val="16"/>
                <w:szCs w:val="16"/>
                <w:color w:val="auto"/>
              </w:rPr>
              <w:t>Effect of exchange rate movements on cash</w:t>
            </w:r>
          </w:p>
        </w:tc>
        <w:tc>
          <w:tcPr>
            <w:tcW w:w="166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6"/>
                <w:szCs w:val="16"/>
                <w:color w:val="auto"/>
              </w:rPr>
              <w:t>(656)</w:t>
            </w:r>
          </w:p>
        </w:tc>
        <w:tc>
          <w:tcPr>
            <w:tcW w:w="2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869</w:t>
            </w:r>
          </w:p>
        </w:tc>
      </w:tr>
      <w:tr>
        <w:trPr>
          <w:trHeight w:val="40"/>
        </w:trPr>
        <w:tc>
          <w:tcPr>
            <w:tcW w:w="70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50"/>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increase/(decrease) in cash and cash equivalents</w:t>
            </w:r>
          </w:p>
        </w:tc>
        <w:tc>
          <w:tcPr>
            <w:tcW w:w="16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21,787</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(10,858)</w:t>
            </w:r>
          </w:p>
        </w:tc>
      </w:tr>
      <w:tr>
        <w:trPr>
          <w:trHeight w:val="237"/>
        </w:trPr>
        <w:tc>
          <w:tcPr>
            <w:tcW w:w="706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6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395,851</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282,859</w:t>
            </w:r>
          </w:p>
        </w:tc>
      </w:tr>
      <w:tr>
        <w:trPr>
          <w:trHeight w:val="40"/>
        </w:trPr>
        <w:tc>
          <w:tcPr>
            <w:tcW w:w="70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75"/>
        </w:trPr>
        <w:tc>
          <w:tcPr>
            <w:tcW w:w="7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417,638</w:t>
            </w: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272,001</w:t>
            </w:r>
          </w:p>
        </w:tc>
      </w:tr>
      <w:tr>
        <w:trPr>
          <w:trHeight w:val="20"/>
        </w:trPr>
        <w:tc>
          <w:tcPr>
            <w:tcW w:w="70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364" w:right="239" w:bottom="111"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64" w:right="239" w:bottom="111"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EQUITY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7"/>
                <w:szCs w:val="17"/>
                <w:b w:val="1"/>
                <w:bCs w:val="1"/>
                <w:color w:val="auto"/>
                <w:w w:val="91"/>
              </w:rPr>
              <w:t>Additional</w:t>
            </w: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7"/>
                <w:szCs w:val="17"/>
                <w:b w:val="1"/>
                <w:bCs w:val="1"/>
                <w:color w:val="auto"/>
                <w:w w:val="92"/>
              </w:rPr>
              <w:t>Other</w:t>
            </w:r>
          </w:p>
        </w:tc>
        <w:tc>
          <w:tcPr>
            <w:tcW w:w="320" w:type="dxa"/>
            <w:vAlign w:val="bottom"/>
            <w:shd w:val="clear" w:color="auto" w:fill="CCEEFF"/>
          </w:tcPr>
          <w:p>
            <w:pPr>
              <w:spacing w:after="0"/>
              <w:rPr>
                <w:sz w:val="16"/>
                <w:szCs w:val="16"/>
                <w:color w:val="auto"/>
              </w:rPr>
            </w:pPr>
          </w:p>
        </w:tc>
        <w:tc>
          <w:tcPr>
            <w:tcW w:w="1300" w:type="dxa"/>
            <w:vAlign w:val="bottom"/>
            <w:gridSpan w:val="5"/>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Accumulated</w:t>
            </w: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40" w:type="dxa"/>
            <w:vAlign w:val="bottom"/>
            <w:gridSpan w:val="3"/>
            <w:vMerge w:val="continue"/>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gridSpan w:val="2"/>
            <w:vMerge w:val="continue"/>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gridSpan w:val="3"/>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160"/>
              <w:spacing w:after="0" w:line="183" w:lineRule="exact"/>
              <w:rPr>
                <w:sz w:val="20"/>
                <w:szCs w:val="20"/>
                <w:color w:val="auto"/>
              </w:rPr>
            </w:pPr>
            <w:r>
              <w:rPr>
                <w:rFonts w:ascii="Arial" w:cs="Arial" w:eastAsia="Arial" w:hAnsi="Arial"/>
                <w:sz w:val="17"/>
                <w:szCs w:val="17"/>
                <w:b w:val="1"/>
                <w:bCs w:val="1"/>
                <w:color w:val="auto"/>
              </w:rPr>
              <w:t>Other</w:t>
            </w:r>
          </w:p>
        </w:tc>
        <w:tc>
          <w:tcPr>
            <w:tcW w:w="32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b w:val="1"/>
                <w:bCs w:val="1"/>
                <w:color w:val="auto"/>
                <w:w w:val="89"/>
              </w:rPr>
              <w:t>Retained</w:t>
            </w:r>
          </w:p>
        </w:tc>
        <w:tc>
          <w:tcPr>
            <w:tcW w:w="6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0" w:type="dxa"/>
            <w:vAlign w:val="bottom"/>
            <w:gridSpan w:val="2"/>
            <w:vMerge w:val="continue"/>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shd w:val="clear" w:color="auto" w:fill="CCEEFF"/>
          </w:tcPr>
          <w:p>
            <w:pPr>
              <w:spacing w:after="0"/>
              <w:rPr>
                <w:sz w:val="15"/>
                <w:szCs w:val="15"/>
                <w:color w:val="auto"/>
              </w:rPr>
            </w:pPr>
          </w:p>
        </w:tc>
        <w:tc>
          <w:tcPr>
            <w:tcW w:w="112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Shares</w:t>
            </w:r>
          </w:p>
        </w:tc>
        <w:tc>
          <w:tcPr>
            <w:tcW w:w="20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b w:val="1"/>
                <w:bCs w:val="1"/>
                <w:color w:val="auto"/>
                <w:w w:val="87"/>
              </w:rPr>
              <w:t>Amount</w:t>
            </w:r>
          </w:p>
        </w:tc>
        <w:tc>
          <w:tcPr>
            <w:tcW w:w="2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7"/>
                <w:szCs w:val="17"/>
                <w:b w:val="1"/>
                <w:bCs w:val="1"/>
                <w:color w:val="auto"/>
                <w:w w:val="88"/>
              </w:rPr>
              <w:t>Paid-in</w:t>
            </w:r>
          </w:p>
        </w:tc>
        <w:tc>
          <w:tcPr>
            <w:tcW w:w="260" w:type="dxa"/>
            <w:vAlign w:val="bottom"/>
            <w:shd w:val="clear" w:color="auto" w:fill="CCEEFF"/>
          </w:tcPr>
          <w:p>
            <w:pPr>
              <w:spacing w:after="0"/>
              <w:rPr>
                <w:sz w:val="15"/>
                <w:szCs w:val="15"/>
                <w:color w:val="auto"/>
              </w:rPr>
            </w:pPr>
          </w:p>
        </w:tc>
        <w:tc>
          <w:tcPr>
            <w:tcW w:w="1280" w:type="dxa"/>
            <w:vAlign w:val="bottom"/>
            <w:gridSpan w:val="4"/>
            <w:shd w:val="clear" w:color="auto" w:fill="CCEEFF"/>
          </w:tcPr>
          <w:p>
            <w:pPr>
              <w:jc w:val="right"/>
              <w:ind w:right="120"/>
              <w:spacing w:after="0" w:line="183" w:lineRule="exact"/>
              <w:rPr>
                <w:sz w:val="20"/>
                <w:szCs w:val="20"/>
                <w:color w:val="auto"/>
              </w:rPr>
            </w:pPr>
            <w:r>
              <w:rPr>
                <w:rFonts w:ascii="Arial" w:cs="Arial" w:eastAsia="Arial" w:hAnsi="Arial"/>
                <w:sz w:val="17"/>
                <w:szCs w:val="17"/>
                <w:b w:val="1"/>
                <w:bCs w:val="1"/>
                <w:color w:val="auto"/>
                <w:w w:val="88"/>
              </w:rPr>
              <w:t>Undenominated</w:t>
            </w:r>
          </w:p>
        </w:tc>
        <w:tc>
          <w:tcPr>
            <w:tcW w:w="320" w:type="dxa"/>
            <w:vAlign w:val="bottom"/>
            <w:shd w:val="clear" w:color="auto" w:fill="CCEEFF"/>
          </w:tcPr>
          <w:p>
            <w:pPr>
              <w:spacing w:after="0"/>
              <w:rPr>
                <w:sz w:val="15"/>
                <w:szCs w:val="15"/>
                <w:color w:val="auto"/>
              </w:rPr>
            </w:pPr>
          </w:p>
        </w:tc>
        <w:tc>
          <w:tcPr>
            <w:tcW w:w="1300" w:type="dxa"/>
            <w:vAlign w:val="bottom"/>
            <w:gridSpan w:val="5"/>
            <w:shd w:val="clear" w:color="auto" w:fill="CCEEFF"/>
          </w:tcPr>
          <w:p>
            <w:pPr>
              <w:jc w:val="right"/>
              <w:ind w:right="160"/>
              <w:spacing w:after="0" w:line="183" w:lineRule="exact"/>
              <w:rPr>
                <w:sz w:val="20"/>
                <w:szCs w:val="20"/>
                <w:color w:val="auto"/>
              </w:rPr>
            </w:pPr>
            <w:r>
              <w:rPr>
                <w:rFonts w:ascii="Arial" w:cs="Arial" w:eastAsia="Arial" w:hAnsi="Arial"/>
                <w:sz w:val="17"/>
                <w:szCs w:val="17"/>
                <w:b w:val="1"/>
                <w:bCs w:val="1"/>
                <w:color w:val="auto"/>
                <w:w w:val="87"/>
              </w:rPr>
              <w:t>Comprehensive</w:t>
            </w:r>
          </w:p>
        </w:tc>
        <w:tc>
          <w:tcPr>
            <w:tcW w:w="32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10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0"/>
        </w:trPr>
        <w:tc>
          <w:tcPr>
            <w:tcW w:w="2840" w:type="dxa"/>
            <w:vAlign w:val="bottom"/>
            <w:shd w:val="clear" w:color="auto" w:fill="CCEEFF"/>
          </w:tcPr>
          <w:p>
            <w:pPr>
              <w:spacing w:after="0" w:line="20" w:lineRule="exact"/>
              <w:rPr>
                <w:sz w:val="1"/>
                <w:szCs w:val="1"/>
                <w:color w:val="auto"/>
              </w:rPr>
            </w:pPr>
          </w:p>
        </w:tc>
        <w:tc>
          <w:tcPr>
            <w:tcW w:w="1120" w:type="dxa"/>
            <w:vAlign w:val="bottom"/>
            <w:gridSpan w:val="3"/>
            <w:vMerge w:val="continue"/>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gridSpan w:val="2"/>
            <w:vMerge w:val="continue"/>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00" w:type="dxa"/>
            <w:vAlign w:val="bottom"/>
            <w:gridSpan w:val="3"/>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40" w:type="dxa"/>
            <w:vAlign w:val="bottom"/>
            <w:shd w:val="clear" w:color="auto" w:fill="CCEEFF"/>
          </w:tcPr>
          <w:p>
            <w:pPr>
              <w:spacing w:after="0"/>
              <w:rPr>
                <w:sz w:val="15"/>
                <w:szCs w:val="15"/>
                <w:color w:val="auto"/>
              </w:rPr>
            </w:pPr>
          </w:p>
        </w:tc>
        <w:tc>
          <w:tcPr>
            <w:tcW w:w="1120" w:type="dxa"/>
            <w:vAlign w:val="bottom"/>
            <w:gridSpan w:val="3"/>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line="183" w:lineRule="exact"/>
              <w:rPr>
                <w:sz w:val="20"/>
                <w:szCs w:val="20"/>
                <w:color w:val="auto"/>
              </w:rPr>
            </w:pPr>
            <w:r>
              <w:rPr>
                <w:rFonts w:ascii="Arial" w:cs="Arial" w:eastAsia="Arial" w:hAnsi="Arial"/>
                <w:sz w:val="17"/>
                <w:szCs w:val="17"/>
                <w:b w:val="1"/>
                <w:bCs w:val="1"/>
                <w:color w:val="auto"/>
                <w:w w:val="88"/>
              </w:rPr>
              <w:t>Capital</w:t>
            </w:r>
          </w:p>
        </w:tc>
        <w:tc>
          <w:tcPr>
            <w:tcW w:w="260" w:type="dxa"/>
            <w:vAlign w:val="bottom"/>
            <w:shd w:val="clear" w:color="auto" w:fill="CCEEFF"/>
          </w:tcPr>
          <w:p>
            <w:pPr>
              <w:spacing w:after="0"/>
              <w:rPr>
                <w:sz w:val="15"/>
                <w:szCs w:val="15"/>
                <w:color w:val="auto"/>
              </w:rPr>
            </w:pPr>
          </w:p>
        </w:tc>
        <w:tc>
          <w:tcPr>
            <w:tcW w:w="1280" w:type="dxa"/>
            <w:vAlign w:val="bottom"/>
            <w:gridSpan w:val="4"/>
            <w:shd w:val="clear" w:color="auto" w:fill="CCEEFF"/>
          </w:tcPr>
          <w:p>
            <w:pPr>
              <w:jc w:val="right"/>
              <w:ind w:right="120"/>
              <w:spacing w:after="0" w:line="183" w:lineRule="exact"/>
              <w:rPr>
                <w:sz w:val="20"/>
                <w:szCs w:val="20"/>
                <w:color w:val="auto"/>
              </w:rPr>
            </w:pPr>
            <w:r>
              <w:rPr>
                <w:rFonts w:ascii="Arial" w:cs="Arial" w:eastAsia="Arial" w:hAnsi="Arial"/>
                <w:sz w:val="17"/>
                <w:szCs w:val="17"/>
                <w:b w:val="1"/>
                <w:bCs w:val="1"/>
                <w:color w:val="auto"/>
              </w:rPr>
              <w:t>Capital</w:t>
            </w: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160"/>
              <w:spacing w:after="0" w:line="183" w:lineRule="exact"/>
              <w:rPr>
                <w:sz w:val="20"/>
                <w:szCs w:val="20"/>
                <w:color w:val="auto"/>
              </w:rPr>
            </w:pPr>
            <w:r>
              <w:rPr>
                <w:rFonts w:ascii="Arial" w:cs="Arial" w:eastAsia="Arial" w:hAnsi="Arial"/>
                <w:sz w:val="17"/>
                <w:szCs w:val="17"/>
                <w:b w:val="1"/>
                <w:bCs w:val="1"/>
                <w:color w:val="auto"/>
                <w:w w:val="87"/>
              </w:rPr>
              <w:t>Income</w:t>
            </w:r>
          </w:p>
        </w:tc>
        <w:tc>
          <w:tcPr>
            <w:tcW w:w="3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line="183" w:lineRule="exact"/>
              <w:rPr>
                <w:sz w:val="20"/>
                <w:szCs w:val="20"/>
                <w:color w:val="auto"/>
              </w:rPr>
            </w:pPr>
            <w:r>
              <w:rPr>
                <w:rFonts w:ascii="Arial" w:cs="Arial" w:eastAsia="Arial" w:hAnsi="Arial"/>
                <w:sz w:val="17"/>
                <w:szCs w:val="17"/>
                <w:b w:val="1"/>
                <w:bCs w:val="1"/>
                <w:color w:val="auto"/>
                <w:w w:val="87"/>
              </w:rPr>
              <w:t>Earnings</w:t>
            </w:r>
          </w:p>
        </w:tc>
        <w:tc>
          <w:tcPr>
            <w:tcW w:w="110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8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40" w:type="dxa"/>
            <w:vAlign w:val="bottom"/>
            <w:gridSpan w:val="13"/>
          </w:tcPr>
          <w:p>
            <w:pPr>
              <w:jc w:val="right"/>
              <w:ind w:right="560"/>
              <w:spacing w:after="0"/>
              <w:rPr>
                <w:sz w:val="20"/>
                <w:szCs w:val="20"/>
                <w:color w:val="auto"/>
              </w:rPr>
            </w:pPr>
            <w:r>
              <w:rPr>
                <w:rFonts w:ascii="Arial" w:cs="Arial" w:eastAsia="Arial" w:hAnsi="Arial"/>
                <w:sz w:val="18"/>
                <w:szCs w:val="18"/>
                <w:b w:val="1"/>
                <w:bCs w:val="1"/>
                <w:color w:val="auto"/>
                <w:w w:val="93"/>
              </w:rPr>
              <w:t>(dollars in thousands, except share data)</w:t>
            </w: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2"/>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11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53,971,706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529,642</w:t>
            </w:r>
          </w:p>
        </w:tc>
        <w:tc>
          <w:tcPr>
            <w:tcW w:w="16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983</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(69,328)</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888,326</w:t>
            </w: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$ 1,354,281</w:t>
            </w:r>
          </w:p>
        </w:tc>
        <w:tc>
          <w:tcPr>
            <w:tcW w:w="0" w:type="dxa"/>
            <w:vAlign w:val="bottom"/>
          </w:tcPr>
          <w:p>
            <w:pPr>
              <w:spacing w:after="0"/>
              <w:rPr>
                <w:sz w:val="1"/>
                <w:szCs w:val="1"/>
                <w:color w:val="auto"/>
              </w:rPr>
            </w:pPr>
          </w:p>
        </w:tc>
      </w:tr>
      <w:tr>
        <w:trPr>
          <w:trHeight w:val="324"/>
        </w:trPr>
        <w:tc>
          <w:tcPr>
            <w:tcW w:w="28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4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60" w:type="dxa"/>
            <w:vAlign w:val="bottom"/>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88,297</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88,297</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w:t>
            </w:r>
          </w:p>
        </w:tc>
        <w:tc>
          <w:tcPr>
            <w:tcW w:w="4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(4,522)</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(4,522)</w:t>
            </w:r>
          </w:p>
        </w:tc>
        <w:tc>
          <w:tcPr>
            <w:tcW w:w="0" w:type="dxa"/>
            <w:vAlign w:val="bottom"/>
          </w:tcPr>
          <w:p>
            <w:pPr>
              <w:spacing w:after="0"/>
              <w:rPr>
                <w:sz w:val="1"/>
                <w:szCs w:val="1"/>
                <w:color w:val="auto"/>
              </w:rPr>
            </w:pPr>
          </w:p>
        </w:tc>
      </w:tr>
      <w:tr>
        <w:trPr>
          <w:trHeight w:val="229"/>
        </w:trPr>
        <w:tc>
          <w:tcPr>
            <w:tcW w:w="2840" w:type="dxa"/>
            <w:vAlign w:val="bottom"/>
          </w:tcPr>
          <w:p>
            <w:pPr>
              <w:ind w:left="40"/>
              <w:spacing w:after="0"/>
              <w:rPr>
                <w:sz w:val="20"/>
                <w:szCs w:val="20"/>
                <w:color w:val="auto"/>
              </w:rPr>
            </w:pPr>
            <w:r>
              <w:rPr>
                <w:rFonts w:ascii="Arial" w:cs="Arial" w:eastAsia="Arial" w:hAnsi="Arial"/>
                <w:sz w:val="18"/>
                <w:szCs w:val="18"/>
                <w:color w:val="auto"/>
              </w:rPr>
              <w:t>Currency impact of long term</w:t>
            </w: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200"/>
              <w:spacing w:after="0"/>
              <w:rPr>
                <w:sz w:val="20"/>
                <w:szCs w:val="20"/>
                <w:color w:val="auto"/>
              </w:rPr>
            </w:pPr>
            <w:r>
              <w:rPr>
                <w:rFonts w:ascii="Arial" w:cs="Arial" w:eastAsia="Arial" w:hAnsi="Arial"/>
                <w:sz w:val="18"/>
                <w:szCs w:val="18"/>
                <w:color w:val="auto"/>
              </w:rPr>
              <w:t>funding (net of tax)</w:t>
            </w:r>
          </w:p>
        </w:tc>
        <w:tc>
          <w:tcPr>
            <w:tcW w:w="46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300" w:type="dxa"/>
            <w:vAlign w:val="bottom"/>
            <w:gridSpan w:val="5"/>
          </w:tcPr>
          <w:p>
            <w:pPr>
              <w:jc w:val="right"/>
              <w:ind w:right="100"/>
              <w:spacing w:after="0"/>
              <w:rPr>
                <w:sz w:val="20"/>
                <w:szCs w:val="20"/>
                <w:color w:val="auto"/>
              </w:rPr>
            </w:pPr>
            <w:r>
              <w:rPr>
                <w:rFonts w:ascii="Arial" w:cs="Arial" w:eastAsia="Arial" w:hAnsi="Arial"/>
                <w:sz w:val="18"/>
                <w:szCs w:val="18"/>
                <w:color w:val="auto"/>
              </w:rPr>
              <w:t>(1,236)</w:t>
            </w:r>
          </w:p>
        </w:tc>
        <w:tc>
          <w:tcPr>
            <w:tcW w:w="3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Unrealized capital gain –</w:t>
            </w: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4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right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Amortization of interest rate hedge</w:t>
            </w:r>
          </w:p>
        </w:tc>
        <w:tc>
          <w:tcPr>
            <w:tcW w:w="460" w:type="dxa"/>
            <w:vAlign w:val="bottom"/>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00" w:type="dxa"/>
            <w:vAlign w:val="bottom"/>
            <w:gridSpan w:val="5"/>
          </w:tcPr>
          <w:p>
            <w:pPr>
              <w:jc w:val="right"/>
              <w:ind w:right="100"/>
              <w:spacing w:after="0"/>
              <w:rPr>
                <w:sz w:val="20"/>
                <w:szCs w:val="20"/>
                <w:color w:val="auto"/>
              </w:rPr>
            </w:pPr>
            <w:r>
              <w:rPr>
                <w:rFonts w:ascii="Arial" w:cs="Arial" w:eastAsia="Arial" w:hAnsi="Arial"/>
                <w:sz w:val="18"/>
                <w:szCs w:val="18"/>
                <w:color w:val="auto"/>
              </w:rPr>
              <w:t>(231)</w:t>
            </w:r>
          </w:p>
        </w:tc>
        <w:tc>
          <w:tcPr>
            <w:tcW w:w="32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Fair value of cash flow hedge (net of</w:t>
            </w: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4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right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31"/>
        </w:trPr>
        <w:tc>
          <w:tcPr>
            <w:tcW w:w="28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4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right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(5,765)</w:t>
            </w:r>
          </w:p>
        </w:tc>
        <w:tc>
          <w:tcPr>
            <w:tcW w:w="3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88,297</w:t>
            </w: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82,532</w:t>
            </w:r>
          </w:p>
        </w:tc>
        <w:tc>
          <w:tcPr>
            <w:tcW w:w="0" w:type="dxa"/>
            <w:vAlign w:val="bottom"/>
          </w:tcPr>
          <w:p>
            <w:pPr>
              <w:spacing w:after="0"/>
              <w:rPr>
                <w:sz w:val="1"/>
                <w:szCs w:val="1"/>
                <w:color w:val="auto"/>
              </w:rPr>
            </w:pPr>
          </w:p>
        </w:tc>
      </w:tr>
      <w:tr>
        <w:trPr>
          <w:trHeight w:val="324"/>
        </w:trPr>
        <w:tc>
          <w:tcPr>
            <w:tcW w:w="28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 of share options</w:t>
            </w:r>
          </w:p>
        </w:tc>
        <w:tc>
          <w:tcPr>
            <w:tcW w:w="11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62,015</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3,377</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3,381</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Issue of restricted share units</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142,899</w:t>
            </w:r>
          </w:p>
        </w:tc>
        <w:tc>
          <w:tcPr>
            <w:tcW w:w="20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Non-cash stock compensation</w:t>
            </w:r>
          </w:p>
        </w:tc>
        <w:tc>
          <w:tcPr>
            <w:tcW w:w="4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w:t>
            </w:r>
          </w:p>
        </w:tc>
        <w:tc>
          <w:tcPr>
            <w:tcW w:w="4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7,005</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7,005</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Share issuance costs</w:t>
            </w:r>
          </w:p>
        </w:tc>
        <w:tc>
          <w:tcPr>
            <w:tcW w:w="460" w:type="dxa"/>
            <w:vAlign w:val="bottom"/>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repurchase program</w:t>
            </w:r>
          </w:p>
        </w:tc>
        <w:tc>
          <w:tcPr>
            <w:tcW w:w="11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(200,253)</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right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w:t>
            </w:r>
          </w:p>
        </w:tc>
        <w:tc>
          <w:tcPr>
            <w:tcW w:w="11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color w:val="auto"/>
              </w:rPr>
              <w:t>Share repurchase costs</w:t>
            </w:r>
          </w:p>
        </w:tc>
        <w:tc>
          <w:tcPr>
            <w:tcW w:w="460" w:type="dxa"/>
            <w:vAlign w:val="bottom"/>
          </w:tcPr>
          <w:p>
            <w:pPr>
              <w:spacing w:after="0"/>
              <w:rPr>
                <w:sz w:val="21"/>
                <w:szCs w:val="2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(20)</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1"/>
        </w:trPr>
        <w:tc>
          <w:tcPr>
            <w:tcW w:w="2840" w:type="dxa"/>
            <w:vAlign w:val="bottom"/>
            <w:tcBorders>
              <w:bottom w:val="single" w:sz="8" w:color="auto"/>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right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4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2019</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53,976,367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4,658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540,020</w:t>
            </w:r>
          </w:p>
        </w:tc>
        <w:tc>
          <w:tcPr>
            <w:tcW w:w="1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4"/>
          </w:tcPr>
          <w:p>
            <w:pPr>
              <w:jc w:val="right"/>
              <w:ind w:right="120"/>
              <w:spacing w:after="0"/>
              <w:rPr>
                <w:sz w:val="20"/>
                <w:szCs w:val="20"/>
                <w:color w:val="auto"/>
              </w:rPr>
            </w:pPr>
            <w:r>
              <w:rPr>
                <w:rFonts w:ascii="Arial" w:cs="Arial" w:eastAsia="Arial" w:hAnsi="Arial"/>
                <w:sz w:val="18"/>
                <w:szCs w:val="18"/>
                <w:color w:val="auto"/>
              </w:rPr>
              <w:t>997</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5"/>
          </w:tcPr>
          <w:p>
            <w:pPr>
              <w:jc w:val="right"/>
              <w:ind w:right="100"/>
              <w:spacing w:after="0"/>
              <w:rPr>
                <w:sz w:val="20"/>
                <w:szCs w:val="20"/>
                <w:color w:val="auto"/>
              </w:rPr>
            </w:pPr>
            <w:r>
              <w:rPr>
                <w:rFonts w:ascii="Arial" w:cs="Arial" w:eastAsia="Arial" w:hAnsi="Arial"/>
                <w:sz w:val="18"/>
                <w:szCs w:val="18"/>
                <w:color w:val="auto"/>
              </w:rPr>
              <w:t>(75,093)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951,603</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$ 1,422,185</w:t>
            </w:r>
          </w:p>
        </w:tc>
        <w:tc>
          <w:tcPr>
            <w:tcW w:w="0" w:type="dxa"/>
            <w:vAlign w:val="bottom"/>
          </w:tcPr>
          <w:p>
            <w:pPr>
              <w:spacing w:after="0"/>
              <w:rPr>
                <w:sz w:val="1"/>
                <w:szCs w:val="1"/>
                <w:color w:val="auto"/>
              </w:rPr>
            </w:pPr>
          </w:p>
        </w:tc>
      </w:tr>
      <w:tr>
        <w:trPr>
          <w:trHeight w:val="27"/>
        </w:trPr>
        <w:tc>
          <w:tcPr>
            <w:tcW w:w="2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March 31, 2019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33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condensed consolidated financial statements should be read in conjunction with the accounting policies and notes to the consolidated financial statements included in ICON’s Form 20-F for the year ended December 31, 2018 (see </w:t>
      </w:r>
      <w:r>
        <w:rPr>
          <w:rFonts w:ascii="Arial" w:cs="Arial" w:eastAsia="Arial" w:hAnsi="Arial"/>
          <w:sz w:val="18"/>
          <w:szCs w:val="18"/>
          <w:i w:val="1"/>
          <w:iCs w:val="1"/>
          <w:color w:val="auto"/>
        </w:rPr>
        <w:t>note 2 - Significant Accounting Policies</w:t>
      </w:r>
      <w:r>
        <w:rPr>
          <w:rFonts w:ascii="Arial" w:cs="Arial" w:eastAsia="Arial" w:hAnsi="Arial"/>
          <w:sz w:val="18"/>
          <w:szCs w:val="18"/>
          <w:color w:val="auto"/>
        </w:rPr>
        <w:t xml:space="preserve"> for impact of adoption of </w:t>
      </w:r>
      <w:r>
        <w:rPr>
          <w:rFonts w:ascii="Arial" w:cs="Arial" w:eastAsia="Arial" w:hAnsi="Arial"/>
          <w:sz w:val="18"/>
          <w:szCs w:val="18"/>
          <w:i w:val="1"/>
          <w:iCs w:val="1"/>
          <w:color w:val="auto"/>
        </w:rPr>
        <w:t>ASC 842</w:t>
      </w:r>
      <w:r>
        <w:rPr>
          <w:rFonts w:ascii="Arial" w:cs="Arial" w:eastAsia="Arial" w:hAnsi="Arial"/>
          <w:sz w:val="18"/>
          <w:szCs w:val="18"/>
          <w:color w:val="auto"/>
        </w:rPr>
        <w:t xml:space="preserve"> </w:t>
      </w:r>
      <w:r>
        <w:rPr>
          <w:rFonts w:ascii="Arial" w:cs="Arial" w:eastAsia="Arial" w:hAnsi="Arial"/>
          <w:sz w:val="18"/>
          <w:szCs w:val="18"/>
          <w:i w:val="1"/>
          <w:iCs w:val="1"/>
          <w:color w:val="auto"/>
        </w:rPr>
        <w:t>'Leases')</w:t>
      </w:r>
      <w:r>
        <w:rPr>
          <w:rFonts w:ascii="Arial" w:cs="Arial" w:eastAsia="Arial" w:hAnsi="Arial"/>
          <w:sz w:val="18"/>
          <w:szCs w:val="18"/>
          <w:color w:val="auto"/>
        </w:rPr>
        <w:t>. Operating results for the three months ended March 31, 2019 are not necessarily indicative of the results that may be expected for the fiscal period</w:t>
      </w:r>
      <w:r>
        <w:rPr>
          <w:rFonts w:ascii="Arial" w:cs="Arial" w:eastAsia="Arial" w:hAnsi="Arial"/>
          <w:sz w:val="18"/>
          <w:szCs w:val="18"/>
          <w:i w:val="1"/>
          <w:iCs w:val="1"/>
          <w:color w:val="auto"/>
        </w:rPr>
        <w:t xml:space="preserve"> </w:t>
      </w:r>
      <w:r>
        <w:rPr>
          <w:rFonts w:ascii="Arial" w:cs="Arial" w:eastAsia="Arial" w:hAnsi="Arial"/>
          <w:sz w:val="18"/>
          <w:szCs w:val="18"/>
          <w:color w:val="auto"/>
        </w:rPr>
        <w:t>ending December 31, 2019.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adopted Accounting Standards Codification (ASC)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with a date of initial application of January 1, 2019. The lease accounting policy applied in preparation of the results for the three months ended March 31, 2019 therefore reflect application of ASC 842. ICON adopted the standard using the cumulative effect adjustment approach. Under this transition method, ICON has applied the new standard as at the date of initial application (i.e. January 1, 2019), without restatement of comparative period amounts. The cumulative effect of applying the new standard is recorded as an adjustment to the opening consolidated balance sheet as at the date of initial application (see </w:t>
      </w:r>
      <w:r>
        <w:rPr>
          <w:rFonts w:ascii="Arial" w:cs="Arial" w:eastAsia="Arial" w:hAnsi="Arial"/>
          <w:sz w:val="17"/>
          <w:szCs w:val="17"/>
          <w:i w:val="1"/>
          <w:iCs w:val="1"/>
          <w:color w:val="auto"/>
        </w:rPr>
        <w:t>note 14 Impact of change in accounting policies for further details).</w:t>
      </w:r>
      <w:r>
        <w:rPr>
          <w:rFonts w:ascii="Arial" w:cs="Arial" w:eastAsia="Arial" w:hAnsi="Arial"/>
          <w:sz w:val="17"/>
          <w:szCs w:val="17"/>
          <w:color w:val="auto"/>
        </w:rPr>
        <w:t xml:space="preserve"> The comparative information has not been adjusted and therefore continues to be reported under ASC 840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new standard requires lessees to recognize the rights and obligations resulting from virtually all leases on the balance sheet as right-of-use (ROU) assets with corresponding lease liabilities.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most significant impact of application of the new standard for ICON relates to the recognition of right-of-use assets and lease liabilities on the consolidated balance sheet for operating leases for certain property, vehicles and equipment. Prior to application of ASC 842, costs in respect of operating leases were charged to the consolidated statement of operations on a straight-line basis over the lease term.</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certain practical expedients available as part of adopting ASC 842, ICON has not reassessed; whether existing or expired contracts are or contain leases, the classification of existing or expired leases, or whether unamortized initial direct costs meet the new definition of initial direct costs under ASC 842. Additionally, ICON has elected to use hindsight in determining the lease term and in assessing impairment of ROU assets, if any.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ICON determines if an arrangement is a lease at inception. Finance leases, if any, are depreciated on the same basis as property, plant and equipment. At March 31, 2019 and December 31, 2018, the Group did not account for any leases as finance leases.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Operating leases are included in ROU assets, other current liabilities and lease liabilities on our consolidated balance sheet with lease amortization recognized on a straight-line basis over the lease term. ROU assets and lease liabilities are recognized based on the present value of future minimum lease payments over the lease term at commencement date or date of transition. Our lease terms may also include options to extend or terminate. ICON actively reviews options to extend or terminate leases and adjusts the ROU asset and lease liability when it is reasonably certain the option will be exercised. The ROU asset is adjusted for any prepayments made at the date of commencement and any initial direct costs incurred. As most of ICON's leases do not provide an implicit rate, the discount rate used is based on the rate of traded corporate bonds available at the commencement date adjusted for country risk, liquidity and lease term.</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Leasehold improvements are amortized over the shorter of the depreciable lives of the corresponding fixed assets or the lease term including any applicable renewals. Certain property leases include variable lease payments resulting from periodic rent increases based on an index which are recognized as incurred on the statements of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ICON accounts for lease and non-lease components separately with lease components flowing through the consolidated balance sheet and non-lease components expensed directly to statement of operations.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Revenue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Revenue disaggregated by customer profile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1233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9200"/>
        <w:spacing w:after="0"/>
        <w:rPr>
          <w:sz w:val="20"/>
          <w:szCs w:val="20"/>
          <w:color w:val="auto"/>
        </w:rPr>
      </w:pPr>
      <w:r>
        <w:rPr>
          <w:rFonts w:ascii="Arial" w:cs="Arial" w:eastAsia="Arial" w:hAnsi="Arial"/>
          <w:sz w:val="18"/>
          <w:szCs w:val="18"/>
          <w:b w:val="1"/>
          <w:bCs w:val="1"/>
          <w:u w:val="single" w:color="auto"/>
          <w:color w:val="auto"/>
        </w:rPr>
        <w:t>Three Months Ended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5120" w:type="dxa"/>
            <w:vAlign w:val="bottom"/>
            <w:gridSpan w:val="4"/>
          </w:tcPr>
          <w:p>
            <w:pPr>
              <w:ind w:left="3860"/>
              <w:spacing w:after="0"/>
              <w:rPr>
                <w:sz w:val="20"/>
                <w:szCs w:val="20"/>
                <w:color w:val="auto"/>
              </w:rPr>
            </w:pPr>
            <w:r>
              <w:rPr>
                <w:rFonts w:ascii="Arial" w:cs="Arial" w:eastAsia="Arial" w:hAnsi="Arial"/>
                <w:sz w:val="18"/>
                <w:szCs w:val="18"/>
                <w:b w:val="1"/>
                <w:bCs w:val="1"/>
                <w:color w:val="auto"/>
                <w:w w:val="96"/>
              </w:rPr>
              <w:t>March 31, 2019</w:t>
            </w:r>
          </w:p>
        </w:tc>
        <w:tc>
          <w:tcPr>
            <w:tcW w:w="1400" w:type="dxa"/>
            <w:vAlign w:val="bottom"/>
            <w:gridSpan w:val="4"/>
          </w:tcPr>
          <w:p>
            <w:pPr>
              <w:ind w:left="100"/>
              <w:spacing w:after="0"/>
              <w:rPr>
                <w:sz w:val="20"/>
                <w:szCs w:val="20"/>
                <w:color w:val="auto"/>
              </w:rPr>
            </w:pPr>
            <w:r>
              <w:rPr>
                <w:rFonts w:ascii="Arial" w:cs="Arial" w:eastAsia="Arial" w:hAnsi="Arial"/>
                <w:sz w:val="18"/>
                <w:szCs w:val="18"/>
                <w:b w:val="1"/>
                <w:bCs w:val="1"/>
                <w:color w:val="auto"/>
                <w:w w:val="99"/>
              </w:rPr>
              <w:t>March 31, 2018</w:t>
            </w:r>
          </w:p>
        </w:tc>
      </w:tr>
      <w:tr>
        <w:trPr>
          <w:trHeight w:val="48"/>
        </w:trPr>
        <w:tc>
          <w:tcPr>
            <w:tcW w:w="4840" w:type="dxa"/>
            <w:vAlign w:val="bottom"/>
          </w:tcPr>
          <w:p>
            <w:pPr>
              <w:spacing w:after="0"/>
              <w:rPr>
                <w:sz w:val="4"/>
                <w:szCs w:val="4"/>
                <w:color w:val="auto"/>
              </w:rPr>
            </w:pPr>
          </w:p>
        </w:tc>
        <w:tc>
          <w:tcPr>
            <w:tcW w:w="386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484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(in thousands)</w:t>
            </w: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324"/>
        </w:trPr>
        <w:tc>
          <w:tcPr>
            <w:tcW w:w="48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Top client</w:t>
            </w:r>
          </w:p>
        </w:tc>
        <w:tc>
          <w:tcPr>
            <w:tcW w:w="4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99,994</w:t>
            </w:r>
          </w:p>
        </w:tc>
        <w:tc>
          <w:tcPr>
            <w:tcW w:w="6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65,818</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Clients 2-5</w:t>
            </w:r>
          </w:p>
        </w:tc>
        <w:tc>
          <w:tcPr>
            <w:tcW w:w="3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169,339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164,301</w:t>
            </w:r>
          </w:p>
        </w:tc>
      </w:tr>
      <w:tr>
        <w:trPr>
          <w:trHeight w:val="27"/>
        </w:trPr>
        <w:tc>
          <w:tcPr>
            <w:tcW w:w="48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Clients 6-10</w:t>
            </w:r>
          </w:p>
        </w:tc>
        <w:tc>
          <w:tcPr>
            <w:tcW w:w="3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89,067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98,539</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Clients 11-25</w:t>
            </w:r>
          </w:p>
        </w:tc>
        <w:tc>
          <w:tcPr>
            <w:tcW w:w="3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124,826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117,271</w:t>
            </w:r>
          </w:p>
        </w:tc>
      </w:tr>
      <w:tr>
        <w:trPr>
          <w:trHeight w:val="27"/>
        </w:trPr>
        <w:tc>
          <w:tcPr>
            <w:tcW w:w="48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191,626</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174,196</w:t>
            </w:r>
          </w:p>
        </w:tc>
      </w:tr>
      <w:tr>
        <w:trPr>
          <w:trHeight w:val="324"/>
        </w:trPr>
        <w:tc>
          <w:tcPr>
            <w:tcW w:w="4840" w:type="dxa"/>
            <w:vAlign w:val="bottom"/>
            <w:tcBorders>
              <w:top w:val="single" w:sz="8" w:color="auto"/>
            </w:tcBorders>
          </w:tcPr>
          <w:p>
            <w:pPr>
              <w:spacing w:after="0"/>
              <w:rPr>
                <w:sz w:val="24"/>
                <w:szCs w:val="24"/>
                <w:color w:val="auto"/>
              </w:rPr>
            </w:pPr>
          </w:p>
        </w:tc>
        <w:tc>
          <w:tcPr>
            <w:tcW w:w="38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75"/>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674,852</w:t>
            </w:r>
          </w:p>
        </w:tc>
        <w:tc>
          <w:tcPr>
            <w:tcW w:w="66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620,125</w:t>
            </w:r>
          </w:p>
        </w:tc>
      </w:tr>
      <w:tr>
        <w:trPr>
          <w:trHeight w:val="20"/>
        </w:trPr>
        <w:tc>
          <w:tcPr>
            <w:tcW w:w="4840" w:type="dxa"/>
            <w:vAlign w:val="bottom"/>
            <w:tcBorders>
              <w:top w:val="single" w:sz="8" w:color="auto"/>
              <w:bottom w:val="single" w:sz="8" w:color="auto"/>
            </w:tcBorders>
          </w:tcPr>
          <w:p>
            <w:pPr>
              <w:spacing w:after="0" w:line="20" w:lineRule="exact"/>
              <w:rPr>
                <w:sz w:val="1"/>
                <w:szCs w:val="1"/>
                <w:color w:val="auto"/>
              </w:rPr>
            </w:pPr>
          </w:p>
        </w:tc>
        <w:tc>
          <w:tcPr>
            <w:tcW w:w="3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Trade accounts receivable, unbilled services (contract assets) and payments on account (contract liabilities)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r>
              <w:rPr>
                <w:rFonts w:ascii="Arial" w:cs="Arial" w:eastAsia="Arial" w:hAnsi="Arial"/>
                <w:sz w:val="18"/>
                <w:szCs w:val="18"/>
                <w:color w:val="auto"/>
                <w:w w:val="99"/>
              </w:rPr>
              <w:t>Trade accounts receivables and unbilled revenue are as follows:</w:t>
            </w: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35"/>
        </w:trPr>
        <w:tc>
          <w:tcPr>
            <w:tcW w:w="5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3"/>
        </w:trPr>
        <w:tc>
          <w:tcPr>
            <w:tcW w:w="5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gridSpan w:val="4"/>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5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2"/>
              </w:rPr>
              <w:t>March 31, 2019</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5"/>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shd w:val="clear" w:color="auto" w:fill="CCEEFF"/>
          </w:tcPr>
          <w:p>
            <w:pPr>
              <w:spacing w:after="0"/>
              <w:rPr>
                <w:sz w:val="17"/>
                <w:szCs w:val="17"/>
                <w:color w:val="auto"/>
              </w:rPr>
            </w:pPr>
          </w:p>
        </w:tc>
      </w:tr>
      <w:tr>
        <w:trPr>
          <w:trHeight w:val="48"/>
        </w:trPr>
        <w:tc>
          <w:tcPr>
            <w:tcW w:w="510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43"/>
        </w:trPr>
        <w:tc>
          <w:tcPr>
            <w:tcW w:w="5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580" w:type="dxa"/>
            <w:vAlign w:val="bottom"/>
            <w:gridSpan w:val="10"/>
          </w:tcPr>
          <w:p>
            <w:pPr>
              <w:jc w:val="right"/>
              <w:ind w:right="86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5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w:t>
            </w:r>
          </w:p>
        </w:tc>
        <w:tc>
          <w:tcPr>
            <w:tcW w:w="5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Billed services (accounts receivable)</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160"/>
              <w:spacing w:after="0"/>
              <w:rPr>
                <w:sz w:val="20"/>
                <w:szCs w:val="20"/>
                <w:color w:val="auto"/>
              </w:rPr>
            </w:pPr>
            <w:r>
              <w:rPr>
                <w:rFonts w:ascii="Arial" w:cs="Arial" w:eastAsia="Arial" w:hAnsi="Arial"/>
                <w:sz w:val="18"/>
                <w:szCs w:val="18"/>
                <w:color w:val="auto"/>
              </w:rPr>
              <w:t>424,038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423,680</w:t>
            </w:r>
          </w:p>
        </w:tc>
        <w:tc>
          <w:tcPr>
            <w:tcW w:w="100" w:type="dxa"/>
            <w:vAlign w:val="bottom"/>
          </w:tcPr>
          <w:p>
            <w:pPr>
              <w:spacing w:after="0"/>
              <w:rPr>
                <w:sz w:val="21"/>
                <w:szCs w:val="21"/>
                <w:color w:val="auto"/>
              </w:rPr>
            </w:pPr>
          </w:p>
        </w:tc>
      </w:tr>
      <w:tr>
        <w:trPr>
          <w:trHeight w:val="27"/>
        </w:trPr>
        <w:tc>
          <w:tcPr>
            <w:tcW w:w="5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5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Unbilled services (unbilled revenue)</w:t>
            </w:r>
          </w:p>
        </w:tc>
        <w:tc>
          <w:tcPr>
            <w:tcW w:w="5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440,583</w:t>
            </w: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362,926</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43"/>
        </w:trPr>
        <w:tc>
          <w:tcPr>
            <w:tcW w:w="51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Trade accounts receivable and unbilled revenue</w:t>
            </w:r>
          </w:p>
        </w:tc>
        <w:tc>
          <w:tcPr>
            <w:tcW w:w="5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4"/>
          </w:tcPr>
          <w:p>
            <w:pPr>
              <w:jc w:val="right"/>
              <w:ind w:right="160"/>
              <w:spacing w:after="0"/>
              <w:rPr>
                <w:sz w:val="20"/>
                <w:szCs w:val="20"/>
                <w:color w:val="auto"/>
              </w:rPr>
            </w:pPr>
            <w:r>
              <w:rPr>
                <w:rFonts w:ascii="Arial" w:cs="Arial" w:eastAsia="Arial" w:hAnsi="Arial"/>
                <w:sz w:val="18"/>
                <w:szCs w:val="18"/>
                <w:color w:val="auto"/>
              </w:rPr>
              <w:t>864,621</w:t>
            </w:r>
          </w:p>
        </w:tc>
        <w:tc>
          <w:tcPr>
            <w:tcW w:w="22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rPr>
              <w:t>786,606</w:t>
            </w:r>
          </w:p>
        </w:tc>
        <w:tc>
          <w:tcPr>
            <w:tcW w:w="100" w:type="dxa"/>
            <w:vAlign w:val="bottom"/>
            <w:tcBorders>
              <w:top w:val="single" w:sz="8" w:color="auto"/>
            </w:tcBorders>
          </w:tcPr>
          <w:p>
            <w:pPr>
              <w:spacing w:after="0"/>
              <w:rPr>
                <w:sz w:val="21"/>
                <w:szCs w:val="21"/>
                <w:color w:val="auto"/>
              </w:rPr>
            </w:pPr>
          </w:p>
        </w:tc>
      </w:tr>
      <w:tr>
        <w:trPr>
          <w:trHeight w:val="27"/>
        </w:trPr>
        <w:tc>
          <w:tcPr>
            <w:tcW w:w="5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5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w:t>
            </w:r>
          </w:p>
        </w:tc>
        <w:tc>
          <w:tcPr>
            <w:tcW w:w="5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(8,697)</w:t>
            </w:r>
          </w:p>
        </w:tc>
        <w:tc>
          <w:tcPr>
            <w:tcW w:w="2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(8,889)</w:t>
            </w:r>
          </w:p>
        </w:tc>
      </w:tr>
      <w:tr>
        <w:trPr>
          <w:trHeight w:val="324"/>
        </w:trPr>
        <w:tc>
          <w:tcPr>
            <w:tcW w:w="5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75"/>
        </w:trPr>
        <w:tc>
          <w:tcPr>
            <w:tcW w:w="5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accounts receivable and unbilled revenue, net</w:t>
            </w:r>
          </w:p>
        </w:tc>
        <w:tc>
          <w:tcPr>
            <w:tcW w:w="5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855,924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777,717</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
        </w:trPr>
        <w:tc>
          <w:tcPr>
            <w:tcW w:w="5640" w:type="dxa"/>
            <w:vAlign w:val="bottom"/>
            <w:tcBorders>
              <w:top w:val="single" w:sz="8" w:color="auto"/>
              <w:bottom w:val="single" w:sz="8" w:color="auto"/>
            </w:tcBorders>
            <w:gridSpan w:val="2"/>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6980" w:type="dxa"/>
            <w:vAlign w:val="bottom"/>
            <w:gridSpan w:val="5"/>
          </w:tcPr>
          <w:p>
            <w:pPr>
              <w:spacing w:after="0"/>
              <w:rPr>
                <w:sz w:val="20"/>
                <w:szCs w:val="20"/>
                <w:color w:val="auto"/>
              </w:rPr>
            </w:pPr>
            <w:r>
              <w:rPr>
                <w:rFonts w:ascii="Arial" w:cs="Arial" w:eastAsia="Arial" w:hAnsi="Arial"/>
                <w:sz w:val="18"/>
                <w:szCs w:val="18"/>
                <w:color w:val="auto"/>
                <w:w w:val="95"/>
              </w:rPr>
              <w:t>Unbilled services and payments on account (contract assets and liabilities) were as follows:</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5"/>
        </w:trPr>
        <w:tc>
          <w:tcPr>
            <w:tcW w:w="5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3"/>
        </w:trPr>
        <w:tc>
          <w:tcPr>
            <w:tcW w:w="5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gridSpan w:val="4"/>
            <w:shd w:val="clear" w:color="auto" w:fill="CCEEFF"/>
          </w:tcPr>
          <w:p>
            <w:pPr>
              <w:jc w:val="right"/>
              <w:ind w:right="160"/>
              <w:spacing w:after="0" w:line="202" w:lineRule="exact"/>
              <w:rPr>
                <w:sz w:val="20"/>
                <w:szCs w:val="20"/>
                <w:color w:val="auto"/>
              </w:rPr>
            </w:pPr>
            <w:r>
              <w:rPr>
                <w:rFonts w:ascii="Arial" w:cs="Arial" w:eastAsia="Arial" w:hAnsi="Arial"/>
                <w:sz w:val="18"/>
                <w:szCs w:val="18"/>
                <w:b w:val="1"/>
                <w:bCs w:val="1"/>
                <w:color w:val="auto"/>
                <w:w w:val="92"/>
              </w:rPr>
              <w:t>December 31,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4"/>
        </w:trPr>
        <w:tc>
          <w:tcPr>
            <w:tcW w:w="5100" w:type="dxa"/>
            <w:vAlign w:val="bottom"/>
            <w:tcBorders>
              <w:top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(in thousands, except percentages)</w:t>
            </w:r>
          </w:p>
        </w:tc>
        <w:tc>
          <w:tcPr>
            <w:tcW w:w="540" w:type="dxa"/>
            <w:vAlign w:val="bottom"/>
            <w:tcBorders>
              <w:top w:val="single" w:sz="8" w:color="CCEEFF"/>
            </w:tcBorders>
            <w:shd w:val="clear" w:color="auto" w:fill="CCEEFF"/>
          </w:tcPr>
          <w:p>
            <w:pPr>
              <w:spacing w:after="0"/>
              <w:rPr>
                <w:sz w:val="21"/>
                <w:szCs w:val="21"/>
                <w:color w:val="auto"/>
              </w:rPr>
            </w:pPr>
          </w:p>
        </w:tc>
        <w:tc>
          <w:tcPr>
            <w:tcW w:w="1340" w:type="dxa"/>
            <w:vAlign w:val="bottom"/>
            <w:tcBorders>
              <w:top w:val="single" w:sz="8" w:color="CCEEFF"/>
            </w:tcBorders>
            <w:gridSpan w:val="3"/>
            <w:shd w:val="clear" w:color="auto" w:fill="CCEEFF"/>
          </w:tcPr>
          <w:p>
            <w:pPr>
              <w:jc w:val="right"/>
              <w:ind w:right="160"/>
              <w:spacing w:after="0" w:line="196" w:lineRule="exact"/>
              <w:rPr>
                <w:sz w:val="20"/>
                <w:szCs w:val="20"/>
                <w:color w:val="auto"/>
              </w:rPr>
            </w:pPr>
            <w:r>
              <w:rPr>
                <w:rFonts w:ascii="Arial" w:cs="Arial" w:eastAsia="Arial" w:hAnsi="Arial"/>
                <w:sz w:val="18"/>
                <w:szCs w:val="18"/>
                <w:b w:val="1"/>
                <w:bCs w:val="1"/>
                <w:color w:val="auto"/>
                <w:w w:val="90"/>
              </w:rPr>
              <w:t>March 31, 2019</w:t>
            </w:r>
          </w:p>
        </w:tc>
        <w:tc>
          <w:tcPr>
            <w:tcW w:w="22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CCEEFF"/>
            </w:tcBorders>
            <w:gridSpan w:val="4"/>
            <w:shd w:val="clear" w:color="auto" w:fill="CCEEFF"/>
          </w:tcPr>
          <w:p>
            <w:pPr>
              <w:jc w:val="right"/>
              <w:ind w:right="440"/>
              <w:spacing w:after="0" w:line="196" w:lineRule="exact"/>
              <w:rPr>
                <w:sz w:val="20"/>
                <w:szCs w:val="20"/>
                <w:color w:val="auto"/>
              </w:rPr>
            </w:pPr>
            <w:r>
              <w:rPr>
                <w:rFonts w:ascii="Arial" w:cs="Arial" w:eastAsia="Arial" w:hAnsi="Arial"/>
                <w:sz w:val="18"/>
                <w:szCs w:val="18"/>
                <w:b w:val="1"/>
                <w:bCs w:val="1"/>
                <w:color w:val="auto"/>
                <w:w w:val="96"/>
              </w:rPr>
              <w:t>$ Change</w:t>
            </w:r>
          </w:p>
        </w:tc>
        <w:tc>
          <w:tcPr>
            <w:tcW w:w="22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CCEEFF"/>
            </w:tcBorders>
            <w:gridSpan w:val="4"/>
            <w:shd w:val="clear" w:color="auto" w:fill="CCEEFF"/>
          </w:tcPr>
          <w:p>
            <w:pPr>
              <w:jc w:val="right"/>
              <w:ind w:right="300"/>
              <w:spacing w:after="0" w:line="196" w:lineRule="exact"/>
              <w:rPr>
                <w:sz w:val="20"/>
                <w:szCs w:val="20"/>
                <w:color w:val="auto"/>
              </w:rPr>
            </w:pPr>
            <w:r>
              <w:rPr>
                <w:rFonts w:ascii="Arial" w:cs="Arial" w:eastAsia="Arial" w:hAnsi="Arial"/>
                <w:sz w:val="18"/>
                <w:szCs w:val="18"/>
                <w:b w:val="1"/>
                <w:bCs w:val="1"/>
                <w:color w:val="auto"/>
                <w:w w:val="91"/>
              </w:rPr>
              <w:t>% Change</w:t>
            </w:r>
          </w:p>
        </w:tc>
      </w:tr>
      <w:tr>
        <w:trPr>
          <w:trHeight w:val="324"/>
        </w:trPr>
        <w:tc>
          <w:tcPr>
            <w:tcW w:w="510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services (unbilled revenue)</w:t>
            </w:r>
          </w:p>
        </w:tc>
        <w:tc>
          <w:tcPr>
            <w:tcW w:w="84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440,583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362,926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77,657</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Unearned revenue (payments on account)</w:t>
            </w: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(318,298)</w:t>
            </w:r>
          </w:p>
        </w:tc>
        <w:tc>
          <w:tcPr>
            <w:tcW w:w="220" w:type="dxa"/>
            <w:vAlign w:val="bottom"/>
          </w:tcPr>
          <w:p>
            <w:pPr>
              <w:spacing w:after="0"/>
              <w:rPr>
                <w:sz w:val="21"/>
                <w:szCs w:val="21"/>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8"/>
                <w:szCs w:val="18"/>
                <w:color w:val="auto"/>
              </w:rPr>
              <w:t>(274,468)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(43,830)</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6"/>
          </w:tcPr>
          <w:p>
            <w:pPr>
              <w:jc w:val="right"/>
              <w:ind w:right="40"/>
              <w:spacing w:after="0"/>
              <w:rPr>
                <w:sz w:val="20"/>
                <w:szCs w:val="20"/>
                <w:color w:val="auto"/>
              </w:rPr>
            </w:pPr>
            <w:r>
              <w:rPr>
                <w:rFonts w:ascii="Arial" w:cs="Arial" w:eastAsia="Arial" w:hAnsi="Arial"/>
                <w:sz w:val="18"/>
                <w:szCs w:val="18"/>
                <w:color w:val="auto"/>
              </w:rPr>
              <w:t>16.0%</w:t>
            </w:r>
          </w:p>
        </w:tc>
      </w:tr>
      <w:tr>
        <w:trPr>
          <w:trHeight w:val="34"/>
        </w:trPr>
        <w:tc>
          <w:tcPr>
            <w:tcW w:w="5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324"/>
        </w:trPr>
        <w:tc>
          <w:tcPr>
            <w:tcW w:w="5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5100" w:type="dxa"/>
            <w:vAlign w:val="bottom"/>
          </w:tcPr>
          <w:p>
            <w:pPr>
              <w:ind w:left="180"/>
              <w:spacing w:after="0"/>
              <w:rPr>
                <w:sz w:val="20"/>
                <w:szCs w:val="20"/>
                <w:color w:val="auto"/>
              </w:rPr>
            </w:pPr>
            <w:r>
              <w:rPr>
                <w:rFonts w:ascii="Arial" w:cs="Arial" w:eastAsia="Arial" w:hAnsi="Arial"/>
                <w:sz w:val="18"/>
                <w:szCs w:val="18"/>
                <w:color w:val="auto"/>
              </w:rPr>
              <w:t>Net balance</w:t>
            </w:r>
          </w:p>
        </w:tc>
        <w:tc>
          <w:tcPr>
            <w:tcW w:w="8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122,285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4"/>
          </w:tcPr>
          <w:p>
            <w:pPr>
              <w:jc w:val="right"/>
              <w:ind w:right="160"/>
              <w:spacing w:after="0"/>
              <w:rPr>
                <w:sz w:val="20"/>
                <w:szCs w:val="20"/>
                <w:color w:val="auto"/>
              </w:rPr>
            </w:pPr>
            <w:r>
              <w:rPr>
                <w:rFonts w:ascii="Arial" w:cs="Arial" w:eastAsia="Arial" w:hAnsi="Arial"/>
                <w:sz w:val="18"/>
                <w:szCs w:val="18"/>
                <w:color w:val="auto"/>
              </w:rPr>
              <w:t>88,458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33,827</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6"/>
          </w:tcPr>
          <w:p>
            <w:pPr>
              <w:jc w:val="right"/>
              <w:ind w:right="40"/>
              <w:spacing w:after="0"/>
              <w:rPr>
                <w:sz w:val="20"/>
                <w:szCs w:val="20"/>
                <w:color w:val="auto"/>
              </w:rPr>
            </w:pPr>
            <w:r>
              <w:rPr>
                <w:rFonts w:ascii="Arial" w:cs="Arial" w:eastAsia="Arial" w:hAnsi="Arial"/>
                <w:sz w:val="18"/>
                <w:szCs w:val="18"/>
                <w:color w:val="auto"/>
              </w:rPr>
              <w:t>38.2%</w:t>
            </w:r>
          </w:p>
        </w:tc>
      </w:tr>
      <w:tr>
        <w:trPr>
          <w:trHeight w:val="27"/>
        </w:trPr>
        <w:tc>
          <w:tcPr>
            <w:tcW w:w="5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5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receivables and therefore contract assets rather than accounts receivables when receipt of the consideration is conditional on something other than the passage of time. Liabilities are recorded for amounts that are collected in advance of the satisfaction of performance obligations.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2" w:right="239" w:bottom="1440" w:gutter="0" w:footer="0" w:header="0"/>
        </w:sectPr>
      </w:pPr>
    </w:p>
    <w:bookmarkStart w:id="10" w:name="page11"/>
    <w:bookmarkEnd w:id="10"/>
    <w:p>
      <w:pPr>
        <w:jc w:val="both"/>
        <w:spacing w:after="0" w:line="264" w:lineRule="auto"/>
        <w:rPr>
          <w:sz w:val="20"/>
          <w:szCs w:val="20"/>
          <w:color w:val="auto"/>
        </w:rPr>
      </w:pPr>
      <w:r>
        <w:rPr>
          <w:rFonts w:ascii="Arial" w:cs="Arial" w:eastAsia="Arial" w:hAnsi="Arial"/>
          <w:sz w:val="18"/>
          <w:szCs w:val="18"/>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Unbilled services as at March 31, 2019 increased by $77.7 million as compared to December 31, 2018. Payments on account increased by $43.8 million over the same period resulting in an increase of $33.8 million in the net balance of unbilled services and payments on account between December 31, 2018 and March 31, 2019. These fluctuations are primarily due to timing of payments and invoicing related to the Group's clinical trial management contracts.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bad debt expense recognized on the Group's receivables and unbilled services was de minimis for the three months ended March 31, 2019 and March 31, 2018.</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2019 approximately $5.5 billion of revenue is expected to be recognized in the future in respect of unsatisfied performance obligations. The Company expects to recognize revenue on approximately 40% of the unsatisfied performance obligation over the next 12 months, with the remainder recognized thereafter over the duration of the customer contracts.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00" w:type="dxa"/>
            <w:vAlign w:val="bottom"/>
            <w:tcBorders>
              <w:bottom w:val="single" w:sz="8" w:color="CCEEFF"/>
            </w:tcBorders>
            <w:shd w:val="clear" w:color="auto" w:fill="CCEEFF"/>
          </w:tcPr>
          <w:p>
            <w:pPr>
              <w:spacing w:after="0"/>
              <w:rPr>
                <w:sz w:val="17"/>
                <w:szCs w:val="17"/>
                <w:color w:val="auto"/>
              </w:rPr>
            </w:pPr>
          </w:p>
        </w:tc>
        <w:tc>
          <w:tcPr>
            <w:tcW w:w="3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Three Months</w:t>
            </w: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44"/>
        </w:trPr>
        <w:tc>
          <w:tcPr>
            <w:tcW w:w="5500" w:type="dxa"/>
            <w:vAlign w:val="bottom"/>
            <w:shd w:val="clear" w:color="auto" w:fill="CCEEFF"/>
          </w:tcPr>
          <w:p>
            <w:pPr>
              <w:spacing w:after="0"/>
              <w:rPr>
                <w:sz w:val="21"/>
                <w:szCs w:val="21"/>
                <w:color w:val="auto"/>
              </w:rPr>
            </w:pPr>
          </w:p>
        </w:tc>
        <w:tc>
          <w:tcPr>
            <w:tcW w:w="3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140"/>
              <w:spacing w:after="0" w:line="196" w:lineRule="exact"/>
              <w:rPr>
                <w:sz w:val="20"/>
                <w:szCs w:val="20"/>
                <w:color w:val="auto"/>
              </w:rPr>
            </w:pPr>
            <w:r>
              <w:rPr>
                <w:rFonts w:ascii="Arial" w:cs="Arial" w:eastAsia="Arial" w:hAnsi="Arial"/>
                <w:sz w:val="18"/>
                <w:szCs w:val="18"/>
                <w:b w:val="1"/>
                <w:bCs w:val="1"/>
                <w:color w:val="auto"/>
              </w:rPr>
              <w:t>Ended</w:t>
            </w: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3"/>
        </w:trPr>
        <w:tc>
          <w:tcPr>
            <w:tcW w:w="5500" w:type="dxa"/>
            <w:vAlign w:val="bottom"/>
            <w:tcBorders>
              <w:top w:val="single" w:sz="8" w:color="CCEEFF"/>
            </w:tcBorders>
          </w:tcPr>
          <w:p>
            <w:pPr>
              <w:spacing w:after="0"/>
              <w:rPr>
                <w:sz w:val="17"/>
                <w:szCs w:val="17"/>
                <w:color w:val="auto"/>
              </w:rPr>
            </w:pPr>
          </w:p>
        </w:tc>
        <w:tc>
          <w:tcPr>
            <w:tcW w:w="30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60" w:type="dxa"/>
            <w:vAlign w:val="bottom"/>
            <w:tcBorders>
              <w:top w:val="single" w:sz="8" w:color="CCEEFF"/>
              <w:bottom w:val="single" w:sz="8" w:color="auto"/>
            </w:tcBorders>
            <w:gridSpan w:val="3"/>
          </w:tcPr>
          <w:p>
            <w:pPr>
              <w:jc w:val="right"/>
              <w:spacing w:after="0" w:line="202"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Borders>
              <w:top w:val="single" w:sz="8" w:color="CCEEFF"/>
            </w:tcBorders>
          </w:tcPr>
          <w:p>
            <w:pPr>
              <w:spacing w:after="0"/>
              <w:rPr>
                <w:sz w:val="17"/>
                <w:szCs w:val="17"/>
                <w:color w:val="auto"/>
              </w:rPr>
            </w:pPr>
          </w:p>
        </w:tc>
      </w:tr>
      <w:tr>
        <w:trPr>
          <w:trHeight w:val="196"/>
        </w:trPr>
        <w:tc>
          <w:tcPr>
            <w:tcW w:w="55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340" w:type="dxa"/>
            <w:vAlign w:val="bottom"/>
            <w:gridSpan w:val="4"/>
          </w:tcPr>
          <w:p>
            <w:pPr>
              <w:jc w:val="right"/>
              <w:ind w:right="140"/>
              <w:spacing w:after="0" w:line="196" w:lineRule="exact"/>
              <w:rPr>
                <w:sz w:val="20"/>
                <w:szCs w:val="20"/>
                <w:color w:val="auto"/>
              </w:rPr>
            </w:pPr>
            <w:r>
              <w:rPr>
                <w:rFonts w:ascii="Arial" w:cs="Arial" w:eastAsia="Arial" w:hAnsi="Arial"/>
                <w:sz w:val="18"/>
                <w:szCs w:val="18"/>
                <w:b w:val="1"/>
                <w:bCs w:val="1"/>
                <w:color w:val="auto"/>
                <w:w w:val="92"/>
              </w:rPr>
              <w:t>March 31, 2019</w:t>
            </w:r>
          </w:p>
        </w:tc>
        <w:tc>
          <w:tcPr>
            <w:tcW w:w="280" w:type="dxa"/>
            <w:vAlign w:val="bottom"/>
          </w:tcPr>
          <w:p>
            <w:pPr>
              <w:spacing w:after="0"/>
              <w:rPr>
                <w:sz w:val="17"/>
                <w:szCs w:val="17"/>
                <w:color w:val="auto"/>
              </w:rPr>
            </w:pPr>
          </w:p>
        </w:tc>
        <w:tc>
          <w:tcPr>
            <w:tcW w:w="116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7"/>
                <w:szCs w:val="17"/>
                <w:color w:val="auto"/>
              </w:rPr>
            </w:pPr>
          </w:p>
        </w:tc>
      </w:tr>
      <w:tr>
        <w:trPr>
          <w:trHeight w:val="48"/>
        </w:trPr>
        <w:tc>
          <w:tcPr>
            <w:tcW w:w="5500" w:type="dxa"/>
            <w:vAlign w:val="bottom"/>
          </w:tcPr>
          <w:p>
            <w:pPr>
              <w:spacing w:after="0"/>
              <w:rPr>
                <w:sz w:val="4"/>
                <w:szCs w:val="4"/>
                <w:color w:val="auto"/>
              </w:rPr>
            </w:pPr>
          </w:p>
        </w:tc>
        <w:tc>
          <w:tcPr>
            <w:tcW w:w="30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550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180" w:type="dxa"/>
            <w:vAlign w:val="bottom"/>
            <w:tcBorders>
              <w:bottom w:val="single" w:sz="8" w:color="CCEEFF"/>
            </w:tcBorders>
            <w:gridSpan w:val="8"/>
            <w:shd w:val="clear" w:color="auto" w:fill="CCEEFF"/>
          </w:tcPr>
          <w:p>
            <w:pPr>
              <w:jc w:val="right"/>
              <w:ind w:right="980"/>
              <w:spacing w:after="0"/>
              <w:rPr>
                <w:sz w:val="20"/>
                <w:szCs w:val="20"/>
                <w:color w:val="auto"/>
              </w:rPr>
            </w:pPr>
            <w:r>
              <w:rPr>
                <w:rFonts w:ascii="Arial" w:cs="Arial" w:eastAsia="Arial" w:hAnsi="Arial"/>
                <w:sz w:val="18"/>
                <w:szCs w:val="18"/>
                <w:b w:val="1"/>
                <w:bCs w:val="1"/>
                <w:color w:val="auto"/>
                <w:w w:val="95"/>
              </w:rPr>
              <w:t>(in thousands)</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Opening balance</w:t>
            </w:r>
          </w:p>
        </w:tc>
        <w:tc>
          <w:tcPr>
            <w:tcW w:w="30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756,260</w:t>
            </w:r>
          </w:p>
        </w:tc>
        <w:tc>
          <w:tcPr>
            <w:tcW w:w="14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769,058</w:t>
            </w:r>
          </w:p>
        </w:tc>
        <w:tc>
          <w:tcPr>
            <w:tcW w:w="10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period acquisitions (Note 6)</w:t>
            </w:r>
          </w:p>
        </w:tc>
        <w:tc>
          <w:tcPr>
            <w:tcW w:w="30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33,894</w:t>
            </w: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Prior period acquisitions (Note 6)</w:t>
            </w:r>
          </w:p>
        </w:tc>
        <w:tc>
          <w:tcPr>
            <w:tcW w:w="3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movement</w:t>
            </w:r>
          </w:p>
        </w:tc>
        <w:tc>
          <w:tcPr>
            <w:tcW w:w="30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(2,761)</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(13,846)</w:t>
            </w:r>
          </w:p>
        </w:tc>
      </w:tr>
      <w:tr>
        <w:trPr>
          <w:trHeight w:val="297"/>
        </w:trPr>
        <w:tc>
          <w:tcPr>
            <w:tcW w:w="550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75"/>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Closing balance</w:t>
            </w:r>
          </w:p>
        </w:tc>
        <w:tc>
          <w:tcPr>
            <w:tcW w:w="3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787,393</w:t>
            </w: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756,260</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0"/>
        </w:trPr>
        <w:tc>
          <w:tcPr>
            <w:tcW w:w="5500" w:type="dxa"/>
            <w:vAlign w:val="bottom"/>
            <w:tcBorders>
              <w:top w:val="single" w:sz="8" w:color="auto"/>
              <w:bottom w:val="single" w:sz="8" w:color="auto"/>
            </w:tcBorders>
          </w:tcPr>
          <w:p>
            <w:pPr>
              <w:spacing w:after="0" w:line="20" w:lineRule="exact"/>
              <w:rPr>
                <w:sz w:val="1"/>
                <w:szCs w:val="1"/>
                <w:color w:val="auto"/>
              </w:rPr>
            </w:pPr>
          </w:p>
        </w:tc>
        <w:tc>
          <w:tcPr>
            <w:tcW w:w="3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521"/>
        </w:trPr>
        <w:tc>
          <w:tcPr>
            <w:tcW w:w="5500" w:type="dxa"/>
            <w:vAlign w:val="bottom"/>
          </w:tcPr>
          <w:p>
            <w:pPr>
              <w:spacing w:after="0"/>
              <w:rPr>
                <w:sz w:val="20"/>
                <w:szCs w:val="20"/>
                <w:color w:val="auto"/>
              </w:rPr>
            </w:pPr>
            <w:r>
              <w:rPr>
                <w:rFonts w:ascii="Arial" w:cs="Arial" w:eastAsia="Arial" w:hAnsi="Arial"/>
                <w:sz w:val="18"/>
                <w:szCs w:val="18"/>
                <w:b w:val="1"/>
                <w:bCs w:val="1"/>
                <w:color w:val="auto"/>
              </w:rPr>
              <w:t>6. Business Combinations</w:t>
            </w: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 MolecularMD Corp</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25, 2019 a subsidiary of the Company, ICON Laboratory Services Inc. acquired 100% of the share capital of MolecularMD Corp. MolecularMD is a molecular diagnostic specialty laboratory that enables the development and commercialization of precision medicines in oncology. The consideration on acquisition was $42.3 million.</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acquisition of MolecularMD has been accounted for as a business combination 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has made a provisional assessment of the fair value of assets acquired and liabilities assumed as at that date. The following table summarizes the Company’s fair values of the assets acquired and liabilities assumed: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70"/>
        </w:trPr>
        <w:tc>
          <w:tcPr>
            <w:tcW w:w="6280" w:type="dxa"/>
            <w:vAlign w:val="bottom"/>
            <w:shd w:val="clear" w:color="auto" w:fill="CCEEFF"/>
          </w:tcPr>
          <w:p>
            <w:pPr>
              <w:spacing w:after="0"/>
              <w:rPr>
                <w:sz w:val="23"/>
                <w:szCs w:val="23"/>
                <w:color w:val="auto"/>
              </w:rPr>
            </w:pPr>
          </w:p>
        </w:tc>
        <w:tc>
          <w:tcPr>
            <w:tcW w:w="38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January 25,</w:t>
            </w:r>
          </w:p>
        </w:tc>
      </w:tr>
      <w:tr>
        <w:trPr>
          <w:trHeight w:val="243"/>
        </w:trPr>
        <w:tc>
          <w:tcPr>
            <w:tcW w:w="62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spacing w:after="0"/>
              <w:rPr>
                <w:sz w:val="21"/>
                <w:szCs w:val="21"/>
                <w:color w:val="auto"/>
              </w:rPr>
            </w:pP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8"/>
              </w:rPr>
              <w:t>(in thousands)</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Cash</w:t>
            </w:r>
          </w:p>
        </w:tc>
        <w:tc>
          <w:tcPr>
            <w:tcW w:w="3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686</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1,769</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Operating right-of-use assets</w:t>
            </w:r>
          </w:p>
        </w:tc>
        <w:tc>
          <w:tcPr>
            <w:tcW w:w="3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2,866</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33,894</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Intangible asset**</w:t>
            </w:r>
          </w:p>
        </w:tc>
        <w:tc>
          <w:tcPr>
            <w:tcW w:w="3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8,061</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Unbilled revenue</w:t>
            </w:r>
          </w:p>
        </w:tc>
        <w:tc>
          <w:tcPr>
            <w:tcW w:w="3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321</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Prepayments and other current assets</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Other receivables</w:t>
            </w:r>
          </w:p>
        </w:tc>
        <w:tc>
          <w:tcPr>
            <w:tcW w:w="38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Payments on account</w:t>
            </w:r>
          </w:p>
        </w:tc>
        <w:tc>
          <w:tcPr>
            <w:tcW w:w="38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(1,437)</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Non-current lease liabilities</w:t>
            </w:r>
          </w:p>
        </w:tc>
        <w:tc>
          <w:tcPr>
            <w:tcW w:w="38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(2,167)</w:t>
            </w:r>
          </w:p>
        </w:tc>
      </w:tr>
      <w:tr>
        <w:trPr>
          <w:trHeight w:val="27"/>
        </w:trPr>
        <w:tc>
          <w:tcPr>
            <w:tcW w:w="628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other liabilities</w:t>
            </w:r>
          </w:p>
        </w:tc>
        <w:tc>
          <w:tcPr>
            <w:tcW w:w="38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Non-current deferred tax liability</w:t>
            </w:r>
          </w:p>
        </w:tc>
        <w:tc>
          <w:tcPr>
            <w:tcW w:w="38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(2,096)</w:t>
            </w:r>
          </w:p>
        </w:tc>
      </w:tr>
      <w:tr>
        <w:trPr>
          <w:trHeight w:val="34"/>
        </w:trPr>
        <w:tc>
          <w:tcPr>
            <w:tcW w:w="6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0"/>
        </w:trPr>
        <w:tc>
          <w:tcPr>
            <w:tcW w:w="6280" w:type="dxa"/>
            <w:vAlign w:val="bottom"/>
            <w:shd w:val="clear" w:color="auto" w:fill="CCEEFF"/>
          </w:tcPr>
          <w:p>
            <w:pPr>
              <w:spacing w:after="0"/>
              <w:rPr>
                <w:sz w:val="23"/>
                <w:szCs w:val="23"/>
                <w:color w:val="auto"/>
              </w:rPr>
            </w:pPr>
          </w:p>
        </w:tc>
        <w:tc>
          <w:tcPr>
            <w:tcW w:w="38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3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42,349</w:t>
            </w:r>
          </w:p>
        </w:tc>
      </w:tr>
      <w:tr>
        <w:trPr>
          <w:trHeight w:val="34"/>
        </w:trPr>
        <w:tc>
          <w:tcPr>
            <w:tcW w:w="6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0"/>
        </w:trPr>
        <w:tc>
          <w:tcPr>
            <w:tcW w:w="6280" w:type="dxa"/>
            <w:vAlign w:val="bottom"/>
            <w:shd w:val="clear" w:color="auto" w:fill="CCEEFF"/>
          </w:tcPr>
          <w:p>
            <w:pPr>
              <w:spacing w:after="0"/>
              <w:rPr>
                <w:sz w:val="23"/>
                <w:szCs w:val="23"/>
                <w:color w:val="auto"/>
              </w:rPr>
            </w:pPr>
          </w:p>
        </w:tc>
        <w:tc>
          <w:tcPr>
            <w:tcW w:w="38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Total consideration</w:t>
            </w:r>
          </w:p>
        </w:tc>
        <w:tc>
          <w:tcPr>
            <w:tcW w:w="38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42,349</w:t>
            </w:r>
          </w:p>
        </w:tc>
      </w:tr>
      <w:tr>
        <w:trPr>
          <w:trHeight w:val="34"/>
        </w:trPr>
        <w:tc>
          <w:tcPr>
            <w:tcW w:w="6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bl>
    <w:p>
      <w:pPr>
        <w:spacing w:after="0" w:line="36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*Goodwill represents the acquisition of an established workforce with experience in molecular diagnostic specialty laboratory services and commercialization of precision medicines in oncology.</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has made an initial estimate of separate intangible assets acquired of $8.1 million, being customer relationships and order book assets. This assessment is under review and will be finalized within 12 months of the date of acquisition.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Restructuring</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 restructuring charge was recognized during the three months ended March 31, 2019 or March 31, 2018.</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Restructuring charges</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restructuring charge of $12.5 million was recognized during the year ended December 31, 2018 under a restructuring plan adopted following a review of operations. The restructuring plan reflected resource rationalization across the business to improve resource utilization, resulting in a charge of $9.7 million and office consolidation resulting in the recognition of an onerous lease obligation of $2.8 million.</w:t>
      </w:r>
    </w:p>
    <w:p>
      <w:pPr>
        <w:spacing w:after="0" w:line="200" w:lineRule="exact"/>
        <w:rPr>
          <w:sz w:val="20"/>
          <w:szCs w:val="20"/>
          <w:color w:val="auto"/>
        </w:rPr>
      </w:pP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468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Workforce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1"/>
        </w:trPr>
        <w:tc>
          <w:tcPr>
            <w:tcW w:w="4680" w:type="dxa"/>
            <w:vAlign w:val="bottom"/>
            <w:tcBorders>
              <w:bottom w:val="single" w:sz="8" w:color="CCEEFF"/>
            </w:tcBorders>
            <w:shd w:val="clear" w:color="auto" w:fill="CCEEFF"/>
          </w:tcPr>
          <w:p>
            <w:pPr>
              <w:spacing w:after="0"/>
              <w:rPr>
                <w:sz w:val="20"/>
                <w:szCs w:val="20"/>
                <w:color w:val="auto"/>
              </w:rPr>
            </w:pPr>
          </w:p>
        </w:tc>
        <w:tc>
          <w:tcPr>
            <w:tcW w:w="2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reductions</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0"/>
              </w:rPr>
              <w:t>Onerous Lease</w:t>
            </w:r>
          </w:p>
        </w:tc>
        <w:tc>
          <w:tcPr>
            <w:tcW w:w="5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43"/>
        </w:trPr>
        <w:tc>
          <w:tcPr>
            <w:tcW w:w="468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(in thousands)</w:t>
            </w: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restructuring charge recorded</w:t>
            </w:r>
          </w:p>
        </w:tc>
        <w:tc>
          <w:tcPr>
            <w:tcW w:w="2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9,684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2,806</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12,490</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Utilization</w:t>
            </w:r>
          </w:p>
        </w:tc>
        <w:tc>
          <w:tcPr>
            <w:tcW w:w="2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(5,399)</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(672)</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(6,071)</w:t>
            </w:r>
          </w:p>
        </w:tc>
      </w:tr>
      <w:tr>
        <w:trPr>
          <w:trHeight w:val="34"/>
        </w:trPr>
        <w:tc>
          <w:tcPr>
            <w:tcW w:w="46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at December 31, 2018</w:t>
            </w:r>
          </w:p>
        </w:tc>
        <w:tc>
          <w:tcPr>
            <w:tcW w:w="2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4,285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2,134</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6,419</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Utilization</w:t>
            </w:r>
          </w:p>
        </w:tc>
        <w:tc>
          <w:tcPr>
            <w:tcW w:w="2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(3,300)</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(305)</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(3,605)</w:t>
            </w:r>
          </w:p>
        </w:tc>
      </w:tr>
      <w:tr>
        <w:trPr>
          <w:trHeight w:val="34"/>
        </w:trPr>
        <w:tc>
          <w:tcPr>
            <w:tcW w:w="46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5"/>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at March 31, 2019</w:t>
            </w:r>
          </w:p>
        </w:tc>
        <w:tc>
          <w:tcPr>
            <w:tcW w:w="2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1,829</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2,814</w:t>
            </w:r>
          </w:p>
        </w:tc>
      </w:tr>
      <w:tr>
        <w:trPr>
          <w:trHeight w:val="20"/>
        </w:trPr>
        <w:tc>
          <w:tcPr>
            <w:tcW w:w="468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restructuring charge of $7.8 million was recognized during the year ended December 31, 2017 under a restructuring plan adopted following a review of operations. The restructuring plan reflected resource rationalization across the business to improve resource utilization.</w:t>
      </w:r>
    </w:p>
    <w:p>
      <w:pPr>
        <w:sectPr>
          <w:pgSz w:w="11900" w:h="16838" w:orient="portrait"/>
          <w:cols w:equalWidth="0" w:num="1">
            <w:col w:w="11420"/>
          </w:cols>
          <w:pgMar w:left="240" w:top="896" w:right="239" w:bottom="1149"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896" w:right="239" w:bottom="1149"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25"/>
        </w:trPr>
        <w:tc>
          <w:tcPr>
            <w:tcW w:w="20" w:type="dxa"/>
            <w:vAlign w:val="bottom"/>
            <w:shd w:val="clear" w:color="auto" w:fill="CCEEFF"/>
          </w:tcPr>
          <w:p>
            <w:pPr>
              <w:spacing w:after="0"/>
              <w:rPr>
                <w:sz w:val="19"/>
                <w:szCs w:val="19"/>
                <w:color w:val="auto"/>
              </w:rPr>
            </w:pPr>
          </w:p>
        </w:tc>
        <w:tc>
          <w:tcPr>
            <w:tcW w:w="88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Workforce</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88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Reductions</w:t>
            </w:r>
          </w:p>
        </w:tc>
      </w:tr>
      <w:tr>
        <w:trPr>
          <w:trHeight w:val="243"/>
        </w:trPr>
        <w:tc>
          <w:tcPr>
            <w:tcW w:w="20" w:type="dxa"/>
            <w:vAlign w:val="bottom"/>
          </w:tcPr>
          <w:p>
            <w:pPr>
              <w:spacing w:after="0"/>
              <w:rPr>
                <w:sz w:val="21"/>
                <w:szCs w:val="21"/>
                <w:color w:val="auto"/>
              </w:rPr>
            </w:pPr>
          </w:p>
        </w:tc>
        <w:tc>
          <w:tcPr>
            <w:tcW w:w="8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5"/>
              </w:rPr>
              <w:t>(in thousands)</w:t>
            </w:r>
          </w:p>
        </w:tc>
      </w:tr>
      <w:tr>
        <w:trPr>
          <w:trHeight w:val="27"/>
        </w:trPr>
        <w:tc>
          <w:tcPr>
            <w:tcW w:w="20" w:type="dxa"/>
            <w:vAlign w:val="bottom"/>
          </w:tcPr>
          <w:p>
            <w:pPr>
              <w:spacing w:after="0"/>
              <w:rPr>
                <w:sz w:val="2"/>
                <w:szCs w:val="2"/>
                <w:color w:val="auto"/>
              </w:rPr>
            </w:pPr>
          </w:p>
        </w:tc>
        <w:tc>
          <w:tcPr>
            <w:tcW w:w="8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recognized</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7,753</w:t>
            </w:r>
          </w:p>
        </w:tc>
      </w:tr>
      <w:tr>
        <w:trPr>
          <w:trHeight w:val="243"/>
        </w:trPr>
        <w:tc>
          <w:tcPr>
            <w:tcW w:w="20" w:type="dxa"/>
            <w:vAlign w:val="bottom"/>
          </w:tcPr>
          <w:p>
            <w:pPr>
              <w:spacing w:after="0"/>
              <w:rPr>
                <w:sz w:val="21"/>
                <w:szCs w:val="21"/>
                <w:color w:val="auto"/>
              </w:rPr>
            </w:pPr>
          </w:p>
        </w:tc>
        <w:tc>
          <w:tcPr>
            <w:tcW w:w="8860" w:type="dxa"/>
            <w:vAlign w:val="bottom"/>
          </w:tcPr>
          <w:p>
            <w:pPr>
              <w:ind w:left="20"/>
              <w:spacing w:after="0"/>
              <w:rPr>
                <w:sz w:val="20"/>
                <w:szCs w:val="20"/>
                <w:color w:val="auto"/>
              </w:rPr>
            </w:pPr>
            <w:r>
              <w:rPr>
                <w:rFonts w:ascii="Arial" w:cs="Arial" w:eastAsia="Arial" w:hAnsi="Arial"/>
                <w:sz w:val="18"/>
                <w:szCs w:val="18"/>
                <w:color w:val="auto"/>
              </w:rPr>
              <w:t>Utilized</w:t>
            </w: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(4,656)</w:t>
            </w:r>
          </w:p>
        </w:tc>
      </w:tr>
      <w:tr>
        <w:trPr>
          <w:trHeight w:val="34"/>
        </w:trPr>
        <w:tc>
          <w:tcPr>
            <w:tcW w:w="2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at December 31, 2017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3,097</w:t>
            </w:r>
          </w:p>
        </w:tc>
      </w:tr>
      <w:tr>
        <w:trPr>
          <w:trHeight w:val="243"/>
        </w:trPr>
        <w:tc>
          <w:tcPr>
            <w:tcW w:w="20" w:type="dxa"/>
            <w:vAlign w:val="bottom"/>
          </w:tcPr>
          <w:p>
            <w:pPr>
              <w:spacing w:after="0"/>
              <w:rPr>
                <w:sz w:val="21"/>
                <w:szCs w:val="21"/>
                <w:color w:val="auto"/>
              </w:rPr>
            </w:pPr>
          </w:p>
        </w:tc>
        <w:tc>
          <w:tcPr>
            <w:tcW w:w="8860" w:type="dxa"/>
            <w:vAlign w:val="bottom"/>
          </w:tcPr>
          <w:p>
            <w:pPr>
              <w:ind w:left="20"/>
              <w:spacing w:after="0"/>
              <w:rPr>
                <w:sz w:val="20"/>
                <w:szCs w:val="20"/>
                <w:color w:val="auto"/>
              </w:rPr>
            </w:pPr>
            <w:r>
              <w:rPr>
                <w:rFonts w:ascii="Arial" w:cs="Arial" w:eastAsia="Arial" w:hAnsi="Arial"/>
                <w:sz w:val="18"/>
                <w:szCs w:val="18"/>
                <w:color w:val="auto"/>
              </w:rPr>
              <w:t>Utilized</w:t>
            </w: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(1,015)</w:t>
            </w:r>
          </w:p>
        </w:tc>
      </w:tr>
      <w:tr>
        <w:trPr>
          <w:trHeight w:val="34"/>
        </w:trPr>
        <w:tc>
          <w:tcPr>
            <w:tcW w:w="2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w:t>
            </w:r>
          </w:p>
        </w:tc>
      </w:tr>
      <w:tr>
        <w:trPr>
          <w:trHeight w:val="243"/>
        </w:trPr>
        <w:tc>
          <w:tcPr>
            <w:tcW w:w="20" w:type="dxa"/>
            <w:vAlign w:val="bottom"/>
          </w:tcPr>
          <w:p>
            <w:pPr>
              <w:spacing w:after="0"/>
              <w:rPr>
                <w:sz w:val="21"/>
                <w:szCs w:val="21"/>
                <w:color w:val="auto"/>
              </w:rPr>
            </w:pPr>
          </w:p>
        </w:tc>
        <w:tc>
          <w:tcPr>
            <w:tcW w:w="8860" w:type="dxa"/>
            <w:vAlign w:val="bottom"/>
          </w:tcPr>
          <w:p>
            <w:pPr>
              <w:ind w:left="20"/>
              <w:spacing w:after="0"/>
              <w:rPr>
                <w:sz w:val="20"/>
                <w:szCs w:val="20"/>
                <w:color w:val="auto"/>
              </w:rPr>
            </w:pPr>
            <w:r>
              <w:rPr>
                <w:rFonts w:ascii="Arial" w:cs="Arial" w:eastAsia="Arial" w:hAnsi="Arial"/>
                <w:sz w:val="18"/>
                <w:szCs w:val="18"/>
                <w:color w:val="auto"/>
              </w:rPr>
              <w:t>Utilized</w:t>
            </w: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34"/>
        </w:trPr>
        <w:tc>
          <w:tcPr>
            <w:tcW w:w="20" w:type="dxa"/>
            <w:vAlign w:val="bottom"/>
            <w:tcBorders>
              <w:bottom w:val="single" w:sz="8" w:color="auto"/>
            </w:tcBorders>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at March 31, 2019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2,082</w:t>
            </w: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88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r>
        <w:trPr>
          <w:trHeight w:val="521"/>
        </w:trPr>
        <w:tc>
          <w:tcPr>
            <w:tcW w:w="8880" w:type="dxa"/>
            <w:vAlign w:val="bottom"/>
            <w:gridSpan w:val="2"/>
          </w:tcPr>
          <w:p>
            <w:pPr>
              <w:spacing w:after="0"/>
              <w:rPr>
                <w:sz w:val="20"/>
                <w:szCs w:val="20"/>
                <w:color w:val="auto"/>
              </w:rPr>
            </w:pPr>
            <w:r>
              <w:rPr>
                <w:rFonts w:ascii="Arial" w:cs="Arial" w:eastAsia="Arial" w:hAnsi="Arial"/>
                <w:sz w:val="18"/>
                <w:szCs w:val="18"/>
                <w:color w:val="auto"/>
                <w:w w:val="97"/>
              </w:rPr>
              <w:t>At March 31, 2019, $4.4 million is included within other liabilities and $0.5 million within non-current other liabilities.</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40"/>
        </w:trPr>
        <w:tc>
          <w:tcPr>
            <w:tcW w:w="8880" w:type="dxa"/>
            <w:vAlign w:val="bottom"/>
            <w:gridSpan w:val="2"/>
          </w:tcPr>
          <w:p>
            <w:pPr>
              <w:spacing w:after="0"/>
              <w:rPr>
                <w:sz w:val="20"/>
                <w:szCs w:val="20"/>
                <w:color w:val="auto"/>
              </w:rPr>
            </w:pPr>
            <w:r>
              <w:rPr>
                <w:rFonts w:ascii="Arial" w:cs="Arial" w:eastAsia="Arial" w:hAnsi="Arial"/>
                <w:sz w:val="18"/>
                <w:szCs w:val="18"/>
                <w:b w:val="1"/>
                <w:bCs w:val="1"/>
                <w:color w:val="auto"/>
              </w:rPr>
              <w:t>8. Operating leases</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40"/>
        </w:trPr>
        <w:tc>
          <w:tcPr>
            <w:tcW w:w="8880" w:type="dxa"/>
            <w:vAlign w:val="bottom"/>
            <w:gridSpan w:val="2"/>
          </w:tcPr>
          <w:p>
            <w:pPr>
              <w:spacing w:after="0"/>
              <w:rPr>
                <w:sz w:val="20"/>
                <w:szCs w:val="20"/>
                <w:color w:val="auto"/>
              </w:rPr>
            </w:pPr>
            <w:r>
              <w:rPr>
                <w:rFonts w:ascii="Arial" w:cs="Arial" w:eastAsia="Arial" w:hAnsi="Arial"/>
                <w:sz w:val="18"/>
                <w:szCs w:val="18"/>
                <w:color w:val="auto"/>
              </w:rPr>
              <w:t>Lease costs recorded under operating leases for the three months ended March 31, 2019 were as follows:</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8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76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w w:val="90"/>
              </w:rPr>
              <w:t>Three Months Ended</w:t>
            </w:r>
          </w:p>
        </w:tc>
      </w:tr>
      <w:tr>
        <w:trPr>
          <w:trHeight w:val="48"/>
        </w:trPr>
        <w:tc>
          <w:tcPr>
            <w:tcW w:w="20" w:type="dxa"/>
            <w:vAlign w:val="bottom"/>
          </w:tcPr>
          <w:p>
            <w:pPr>
              <w:spacing w:after="0"/>
              <w:rPr>
                <w:sz w:val="4"/>
                <w:szCs w:val="4"/>
                <w:color w:val="auto"/>
              </w:rPr>
            </w:pPr>
          </w:p>
        </w:tc>
        <w:tc>
          <w:tcPr>
            <w:tcW w:w="88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auto"/>
            </w:tcBorders>
            <w:shd w:val="clear" w:color="auto" w:fill="CCEEFF"/>
          </w:tcPr>
          <w:p>
            <w:pPr>
              <w:spacing w:after="0"/>
              <w:rPr>
                <w:sz w:val="4"/>
                <w:szCs w:val="4"/>
                <w:color w:val="auto"/>
              </w:rPr>
            </w:pPr>
          </w:p>
        </w:tc>
        <w:tc>
          <w:tcPr>
            <w:tcW w:w="118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0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w w:val="90"/>
              </w:rPr>
              <w:t>March 31, 2019</w:t>
            </w:r>
          </w:p>
        </w:tc>
      </w:tr>
      <w:tr>
        <w:trPr>
          <w:trHeight w:val="48"/>
        </w:trPr>
        <w:tc>
          <w:tcPr>
            <w:tcW w:w="20" w:type="dxa"/>
            <w:vAlign w:val="bottom"/>
          </w:tcPr>
          <w:p>
            <w:pPr>
              <w:spacing w:after="0"/>
              <w:rPr>
                <w:sz w:val="4"/>
                <w:szCs w:val="4"/>
                <w:color w:val="auto"/>
              </w:rPr>
            </w:pPr>
          </w:p>
        </w:tc>
        <w:tc>
          <w:tcPr>
            <w:tcW w:w="8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50"/>
        </w:trPr>
        <w:tc>
          <w:tcPr>
            <w:tcW w:w="20" w:type="dxa"/>
            <w:vAlign w:val="bottom"/>
          </w:tcPr>
          <w:p>
            <w:pPr>
              <w:spacing w:after="0"/>
              <w:rPr>
                <w:sz w:val="21"/>
                <w:szCs w:val="21"/>
                <w:color w:val="auto"/>
              </w:rPr>
            </w:pPr>
          </w:p>
        </w:tc>
        <w:tc>
          <w:tcPr>
            <w:tcW w:w="88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w w:val="91"/>
              </w:rPr>
              <w:t>(in thousands)</w:t>
            </w:r>
          </w:p>
        </w:tc>
      </w:tr>
      <w:tr>
        <w:trPr>
          <w:trHeight w:val="324"/>
        </w:trPr>
        <w:tc>
          <w:tcPr>
            <w:tcW w:w="2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7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8,655</w:t>
            </w:r>
          </w:p>
        </w:tc>
      </w:tr>
      <w:tr>
        <w:trPr>
          <w:trHeight w:val="243"/>
        </w:trPr>
        <w:tc>
          <w:tcPr>
            <w:tcW w:w="20" w:type="dxa"/>
            <w:vAlign w:val="bottom"/>
          </w:tcPr>
          <w:p>
            <w:pPr>
              <w:spacing w:after="0"/>
              <w:rPr>
                <w:sz w:val="21"/>
                <w:szCs w:val="21"/>
                <w:color w:val="auto"/>
              </w:rPr>
            </w:pPr>
          </w:p>
        </w:tc>
        <w:tc>
          <w:tcPr>
            <w:tcW w:w="8860" w:type="dxa"/>
            <w:vAlign w:val="bottom"/>
          </w:tcPr>
          <w:p>
            <w:pPr>
              <w:ind w:left="20"/>
              <w:spacing w:after="0"/>
              <w:rPr>
                <w:sz w:val="20"/>
                <w:szCs w:val="20"/>
                <w:color w:val="auto"/>
              </w:rPr>
            </w:pPr>
            <w:r>
              <w:rPr>
                <w:rFonts w:ascii="Arial" w:cs="Arial" w:eastAsia="Arial" w:hAnsi="Arial"/>
                <w:sz w:val="18"/>
                <w:szCs w:val="18"/>
                <w:color w:val="auto"/>
              </w:rPr>
              <w:t>Income from sub-leases</w:t>
            </w: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(520)</w:t>
            </w:r>
          </w:p>
        </w:tc>
      </w:tr>
      <w:tr>
        <w:trPr>
          <w:trHeight w:val="27"/>
        </w:trPr>
        <w:tc>
          <w:tcPr>
            <w:tcW w:w="20" w:type="dxa"/>
            <w:vAlign w:val="bottom"/>
          </w:tcPr>
          <w:p>
            <w:pPr>
              <w:spacing w:after="0"/>
              <w:rPr>
                <w:sz w:val="2"/>
                <w:szCs w:val="2"/>
                <w:color w:val="auto"/>
              </w:rPr>
            </w:pPr>
          </w:p>
        </w:tc>
        <w:tc>
          <w:tcPr>
            <w:tcW w:w="88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operating lease costs</w:t>
            </w:r>
          </w:p>
        </w:tc>
        <w:tc>
          <w:tcPr>
            <w:tcW w:w="7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8,135</w:t>
            </w:r>
          </w:p>
        </w:tc>
      </w:tr>
      <w:tr>
        <w:trPr>
          <w:trHeight w:val="20"/>
        </w:trPr>
        <w:tc>
          <w:tcPr>
            <w:tcW w:w="20" w:type="dxa"/>
            <w:vAlign w:val="bottom"/>
          </w:tcPr>
          <w:p>
            <w:pPr>
              <w:spacing w:after="0" w:line="20" w:lineRule="exact"/>
              <w:rPr>
                <w:sz w:val="1"/>
                <w:szCs w:val="1"/>
                <w:color w:val="auto"/>
              </w:rPr>
            </w:pPr>
          </w:p>
        </w:tc>
        <w:tc>
          <w:tcPr>
            <w:tcW w:w="88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Of the total cost of $8.1 million, $7.2 million is recorded within selling, general and administration costs and $0.9 million is recorded within direct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2019, the Group did not incur any costs related to variable lease payments.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adoption of ASC 842 resulted in the recognition of operating right-of-use assets and lease liabilities of $106.5 million at January1, 2019. Additional right-of-use assets obtained in exchange for lease obligations during the three month ended March 31, 2019 totaled $13.0 million. The weighted average remaining lease term and weighted-average discount rate at March 31, 2019 were 5.51 years and 3.96%,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non-cancellable leases as of March 31, 2019 were as follows:</w:t>
      </w:r>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940" w:type="dxa"/>
            <w:vAlign w:val="bottom"/>
            <w:shd w:val="clear" w:color="auto" w:fill="BFE4FF"/>
          </w:tcPr>
          <w:p>
            <w:pPr>
              <w:spacing w:after="0"/>
              <w:rPr>
                <w:sz w:val="18"/>
                <w:szCs w:val="18"/>
                <w:color w:val="auto"/>
              </w:rPr>
            </w:pPr>
          </w:p>
        </w:tc>
        <w:tc>
          <w:tcPr>
            <w:tcW w:w="3540" w:type="dxa"/>
            <w:vAlign w:val="bottom"/>
            <w:shd w:val="clear" w:color="auto" w:fill="BFE4FF"/>
          </w:tcPr>
          <w:p>
            <w:pPr>
              <w:spacing w:after="0"/>
              <w:rPr>
                <w:sz w:val="18"/>
                <w:szCs w:val="18"/>
                <w:color w:val="auto"/>
              </w:rPr>
            </w:pPr>
          </w:p>
        </w:tc>
        <w:tc>
          <w:tcPr>
            <w:tcW w:w="540" w:type="dxa"/>
            <w:vAlign w:val="bottom"/>
            <w:shd w:val="clear" w:color="auto" w:fill="BFE4FF"/>
          </w:tcPr>
          <w:p>
            <w:pPr>
              <w:spacing w:after="0"/>
              <w:rPr>
                <w:sz w:val="18"/>
                <w:szCs w:val="18"/>
                <w:color w:val="auto"/>
              </w:rPr>
            </w:pPr>
          </w:p>
        </w:tc>
        <w:tc>
          <w:tcPr>
            <w:tcW w:w="1380" w:type="dxa"/>
            <w:vAlign w:val="bottom"/>
            <w:gridSpan w:val="3"/>
            <w:shd w:val="clear" w:color="auto" w:fill="BFE4FF"/>
          </w:tcPr>
          <w:p>
            <w:pPr>
              <w:jc w:val="right"/>
              <w:ind w:right="120"/>
              <w:spacing w:after="0"/>
              <w:rPr>
                <w:sz w:val="20"/>
                <w:szCs w:val="20"/>
                <w:color w:val="auto"/>
              </w:rPr>
            </w:pPr>
            <w:r>
              <w:rPr>
                <w:rFonts w:ascii="Arial" w:cs="Arial" w:eastAsia="Arial" w:hAnsi="Arial"/>
                <w:sz w:val="18"/>
                <w:szCs w:val="18"/>
                <w:b w:val="1"/>
                <w:bCs w:val="1"/>
                <w:color w:val="auto"/>
                <w:w w:val="93"/>
              </w:rPr>
              <w:t>Minimum rental</w:t>
            </w:r>
          </w:p>
        </w:tc>
      </w:tr>
      <w:tr>
        <w:trPr>
          <w:trHeight w:val="48"/>
        </w:trPr>
        <w:tc>
          <w:tcPr>
            <w:tcW w:w="5940" w:type="dxa"/>
            <w:vAlign w:val="bottom"/>
            <w:tcBorders>
              <w:top w:val="single" w:sz="8" w:color="BFE4FF"/>
            </w:tcBorders>
            <w:shd w:val="clear" w:color="auto" w:fill="BFE4FF"/>
          </w:tcPr>
          <w:p>
            <w:pPr>
              <w:spacing w:after="0"/>
              <w:rPr>
                <w:sz w:val="4"/>
                <w:szCs w:val="4"/>
                <w:color w:val="auto"/>
              </w:rPr>
            </w:pPr>
          </w:p>
        </w:tc>
        <w:tc>
          <w:tcPr>
            <w:tcW w:w="3540" w:type="dxa"/>
            <w:vAlign w:val="bottom"/>
            <w:tcBorders>
              <w:top w:val="single" w:sz="8" w:color="BFE4FF"/>
            </w:tcBorders>
            <w:shd w:val="clear" w:color="auto" w:fill="BFE4FF"/>
          </w:tcPr>
          <w:p>
            <w:pPr>
              <w:spacing w:after="0"/>
              <w:rPr>
                <w:sz w:val="4"/>
                <w:szCs w:val="4"/>
                <w:color w:val="auto"/>
              </w:rPr>
            </w:pPr>
          </w:p>
        </w:tc>
        <w:tc>
          <w:tcPr>
            <w:tcW w:w="540" w:type="dxa"/>
            <w:vAlign w:val="bottom"/>
            <w:tcBorders>
              <w:top w:val="single" w:sz="8" w:color="BFE4FF"/>
            </w:tcBorders>
            <w:shd w:val="clear" w:color="auto" w:fill="BFE4FF"/>
          </w:tcPr>
          <w:p>
            <w:pPr>
              <w:spacing w:after="0"/>
              <w:rPr>
                <w:sz w:val="4"/>
                <w:szCs w:val="4"/>
                <w:color w:val="auto"/>
              </w:rPr>
            </w:pPr>
          </w:p>
        </w:tc>
        <w:tc>
          <w:tcPr>
            <w:tcW w:w="520" w:type="dxa"/>
            <w:vAlign w:val="bottom"/>
            <w:tcBorders>
              <w:top w:val="single" w:sz="8" w:color="auto"/>
            </w:tcBorders>
            <w:shd w:val="clear" w:color="auto" w:fill="BFE4FF"/>
          </w:tcPr>
          <w:p>
            <w:pPr>
              <w:spacing w:after="0"/>
              <w:rPr>
                <w:sz w:val="4"/>
                <w:szCs w:val="4"/>
                <w:color w:val="auto"/>
              </w:rPr>
            </w:pPr>
          </w:p>
        </w:tc>
        <w:tc>
          <w:tcPr>
            <w:tcW w:w="740" w:type="dxa"/>
            <w:vAlign w:val="bottom"/>
            <w:tcBorders>
              <w:top w:val="single" w:sz="8" w:color="auto"/>
            </w:tcBorders>
            <w:shd w:val="clear" w:color="auto" w:fill="BFE4FF"/>
          </w:tcPr>
          <w:p>
            <w:pPr>
              <w:spacing w:after="0"/>
              <w:rPr>
                <w:sz w:val="4"/>
                <w:szCs w:val="4"/>
                <w:color w:val="auto"/>
              </w:rPr>
            </w:pPr>
          </w:p>
        </w:tc>
        <w:tc>
          <w:tcPr>
            <w:tcW w:w="120" w:type="dxa"/>
            <w:vAlign w:val="bottom"/>
            <w:tcBorders>
              <w:top w:val="single" w:sz="8" w:color="BFE4FF"/>
            </w:tcBorders>
            <w:shd w:val="clear" w:color="auto" w:fill="BFE4FF"/>
          </w:tcPr>
          <w:p>
            <w:pPr>
              <w:spacing w:after="0"/>
              <w:rPr>
                <w:sz w:val="4"/>
                <w:szCs w:val="4"/>
                <w:color w:val="auto"/>
              </w:rPr>
            </w:pPr>
          </w:p>
        </w:tc>
      </w:tr>
      <w:tr>
        <w:trPr>
          <w:trHeight w:val="203"/>
        </w:trPr>
        <w:tc>
          <w:tcPr>
            <w:tcW w:w="59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w w:val="85"/>
              </w:rPr>
              <w:t>payments</w:t>
            </w:r>
          </w:p>
        </w:tc>
      </w:tr>
      <w:tr>
        <w:trPr>
          <w:trHeight w:val="48"/>
        </w:trPr>
        <w:tc>
          <w:tcPr>
            <w:tcW w:w="5940" w:type="dxa"/>
            <w:vAlign w:val="bottom"/>
          </w:tcPr>
          <w:p>
            <w:pPr>
              <w:spacing w:after="0"/>
              <w:rPr>
                <w:sz w:val="4"/>
                <w:szCs w:val="4"/>
                <w:color w:val="auto"/>
              </w:rPr>
            </w:pPr>
          </w:p>
        </w:tc>
        <w:tc>
          <w:tcPr>
            <w:tcW w:w="3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50"/>
        </w:trPr>
        <w:tc>
          <w:tcPr>
            <w:tcW w:w="5940" w:type="dxa"/>
            <w:vAlign w:val="bottom"/>
            <w:tcBorders>
              <w:bottom w:val="single" w:sz="8" w:color="BFE4FF"/>
            </w:tcBorders>
            <w:shd w:val="clear" w:color="auto" w:fill="BFE4FF"/>
          </w:tcPr>
          <w:p>
            <w:pPr>
              <w:spacing w:after="0"/>
              <w:rPr>
                <w:sz w:val="21"/>
                <w:szCs w:val="21"/>
                <w:color w:val="auto"/>
              </w:rPr>
            </w:pPr>
          </w:p>
        </w:tc>
        <w:tc>
          <w:tcPr>
            <w:tcW w:w="3540" w:type="dxa"/>
            <w:vAlign w:val="bottom"/>
            <w:tcBorders>
              <w:bottom w:val="single" w:sz="8" w:color="BFE4FF"/>
            </w:tcBorders>
            <w:shd w:val="clear" w:color="auto" w:fill="BFE4FF"/>
          </w:tcPr>
          <w:p>
            <w:pPr>
              <w:spacing w:after="0"/>
              <w:rPr>
                <w:sz w:val="21"/>
                <w:szCs w:val="21"/>
                <w:color w:val="auto"/>
              </w:rPr>
            </w:pPr>
          </w:p>
        </w:tc>
        <w:tc>
          <w:tcPr>
            <w:tcW w:w="1920" w:type="dxa"/>
            <w:vAlign w:val="bottom"/>
            <w:tcBorders>
              <w:bottom w:val="single" w:sz="8" w:color="BFE4FF"/>
            </w:tcBorders>
            <w:gridSpan w:val="4"/>
            <w:shd w:val="clear" w:color="auto" w:fill="BFE4FF"/>
          </w:tcPr>
          <w:p>
            <w:pPr>
              <w:jc w:val="right"/>
              <w:ind w:right="600"/>
              <w:spacing w:after="0"/>
              <w:rPr>
                <w:sz w:val="20"/>
                <w:szCs w:val="20"/>
                <w:color w:val="auto"/>
              </w:rPr>
            </w:pPr>
            <w:r>
              <w:rPr>
                <w:rFonts w:ascii="Arial" w:cs="Arial" w:eastAsia="Arial" w:hAnsi="Arial"/>
                <w:sz w:val="18"/>
                <w:szCs w:val="18"/>
                <w:b w:val="1"/>
                <w:bCs w:val="1"/>
                <w:color w:val="auto"/>
              </w:rPr>
              <w:t>(in thousands)</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Due within 1 year</w:t>
            </w:r>
          </w:p>
        </w:tc>
        <w:tc>
          <w:tcPr>
            <w:tcW w:w="35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920" w:type="dxa"/>
            <w:vAlign w:val="bottom"/>
            <w:gridSpan w:val="4"/>
          </w:tcPr>
          <w:p>
            <w:pPr>
              <w:jc w:val="right"/>
              <w:ind w:right="120"/>
              <w:spacing w:after="0"/>
              <w:rPr>
                <w:sz w:val="20"/>
                <w:szCs w:val="20"/>
                <w:color w:val="auto"/>
              </w:rPr>
            </w:pPr>
            <w:r>
              <w:rPr>
                <w:rFonts w:ascii="Arial" w:cs="Arial" w:eastAsia="Arial" w:hAnsi="Arial"/>
                <w:sz w:val="18"/>
                <w:szCs w:val="18"/>
                <w:color w:val="auto"/>
              </w:rPr>
              <w:t>29,453</w:t>
            </w:r>
          </w:p>
        </w:tc>
      </w:tr>
      <w:tr>
        <w:trPr>
          <w:trHeight w:val="27"/>
        </w:trPr>
        <w:tc>
          <w:tcPr>
            <w:tcW w:w="59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0"/>
        </w:trPr>
        <w:tc>
          <w:tcPr>
            <w:tcW w:w="59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Due between 1 and 5 years</w:t>
            </w:r>
          </w:p>
        </w:tc>
        <w:tc>
          <w:tcPr>
            <w:tcW w:w="3540" w:type="dxa"/>
            <w:vAlign w:val="bottom"/>
            <w:tcBorders>
              <w:bottom w:val="single" w:sz="8" w:color="BFE4FF"/>
            </w:tcBorders>
            <w:shd w:val="clear" w:color="auto" w:fill="BFE4FF"/>
          </w:tcPr>
          <w:p>
            <w:pPr>
              <w:spacing w:after="0"/>
              <w:rPr>
                <w:sz w:val="21"/>
                <w:szCs w:val="21"/>
                <w:color w:val="auto"/>
              </w:rPr>
            </w:pPr>
          </w:p>
        </w:tc>
        <w:tc>
          <w:tcPr>
            <w:tcW w:w="1920" w:type="dxa"/>
            <w:vAlign w:val="bottom"/>
            <w:tcBorders>
              <w:bottom w:val="single" w:sz="8" w:color="BFE4FF"/>
            </w:tcBorders>
            <w:gridSpan w:val="4"/>
            <w:shd w:val="clear" w:color="auto" w:fill="BFE4FF"/>
          </w:tcPr>
          <w:p>
            <w:pPr>
              <w:jc w:val="right"/>
              <w:ind w:right="120"/>
              <w:spacing w:after="0"/>
              <w:rPr>
                <w:sz w:val="20"/>
                <w:szCs w:val="20"/>
                <w:color w:val="auto"/>
              </w:rPr>
            </w:pPr>
            <w:r>
              <w:rPr>
                <w:rFonts w:ascii="Arial" w:cs="Arial" w:eastAsia="Arial" w:hAnsi="Arial"/>
                <w:sz w:val="18"/>
                <w:szCs w:val="18"/>
                <w:color w:val="auto"/>
              </w:rPr>
              <w:t>67,499</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540" w:type="dxa"/>
            <w:vAlign w:val="bottom"/>
          </w:tcPr>
          <w:p>
            <w:pPr>
              <w:spacing w:after="0"/>
              <w:rPr>
                <w:sz w:val="21"/>
                <w:szCs w:val="21"/>
                <w:color w:val="auto"/>
              </w:rPr>
            </w:pPr>
          </w:p>
        </w:tc>
        <w:tc>
          <w:tcPr>
            <w:tcW w:w="1920" w:type="dxa"/>
            <w:vAlign w:val="bottom"/>
            <w:gridSpan w:val="4"/>
          </w:tcPr>
          <w:p>
            <w:pPr>
              <w:jc w:val="right"/>
              <w:ind w:right="120"/>
              <w:spacing w:after="0"/>
              <w:rPr>
                <w:sz w:val="20"/>
                <w:szCs w:val="20"/>
                <w:color w:val="auto"/>
              </w:rPr>
            </w:pPr>
            <w:r>
              <w:rPr>
                <w:rFonts w:ascii="Arial" w:cs="Arial" w:eastAsia="Arial" w:hAnsi="Arial"/>
                <w:sz w:val="18"/>
                <w:szCs w:val="18"/>
                <w:color w:val="auto"/>
              </w:rPr>
              <w:t>18,660</w:t>
            </w:r>
          </w:p>
        </w:tc>
      </w:tr>
      <w:tr>
        <w:trPr>
          <w:trHeight w:val="34"/>
        </w:trPr>
        <w:tc>
          <w:tcPr>
            <w:tcW w:w="59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50"/>
        </w:trPr>
        <w:tc>
          <w:tcPr>
            <w:tcW w:w="59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future minimum lease payments</w:t>
            </w:r>
          </w:p>
        </w:tc>
        <w:tc>
          <w:tcPr>
            <w:tcW w:w="3540" w:type="dxa"/>
            <w:vAlign w:val="bottom"/>
            <w:tcBorders>
              <w:bottom w:val="single" w:sz="8" w:color="BFE4FF"/>
            </w:tcBorders>
            <w:shd w:val="clear" w:color="auto" w:fill="BFE4FF"/>
          </w:tcPr>
          <w:p>
            <w:pPr>
              <w:spacing w:after="0"/>
              <w:rPr>
                <w:sz w:val="21"/>
                <w:szCs w:val="21"/>
                <w:color w:val="auto"/>
              </w:rPr>
            </w:pPr>
          </w:p>
        </w:tc>
        <w:tc>
          <w:tcPr>
            <w:tcW w:w="1920" w:type="dxa"/>
            <w:vAlign w:val="bottom"/>
            <w:tcBorders>
              <w:bottom w:val="single" w:sz="8" w:color="BFE4FF"/>
            </w:tcBorders>
            <w:gridSpan w:val="4"/>
            <w:shd w:val="clear" w:color="auto" w:fill="BFE4FF"/>
          </w:tcPr>
          <w:p>
            <w:pPr>
              <w:jc w:val="right"/>
              <w:ind w:right="120"/>
              <w:spacing w:after="0"/>
              <w:rPr>
                <w:sz w:val="20"/>
                <w:szCs w:val="20"/>
                <w:color w:val="auto"/>
              </w:rPr>
            </w:pPr>
            <w:r>
              <w:rPr>
                <w:rFonts w:ascii="Arial" w:cs="Arial" w:eastAsia="Arial" w:hAnsi="Arial"/>
                <w:sz w:val="18"/>
                <w:szCs w:val="18"/>
                <w:color w:val="auto"/>
              </w:rPr>
              <w:t>115,612</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Lease imputed interest</w:t>
            </w:r>
          </w:p>
        </w:tc>
        <w:tc>
          <w:tcPr>
            <w:tcW w:w="3540" w:type="dxa"/>
            <w:vAlign w:val="bottom"/>
          </w:tcPr>
          <w:p>
            <w:pPr>
              <w:spacing w:after="0"/>
              <w:rPr>
                <w:sz w:val="21"/>
                <w:szCs w:val="21"/>
                <w:color w:val="auto"/>
              </w:rPr>
            </w:pPr>
          </w:p>
        </w:tc>
        <w:tc>
          <w:tcPr>
            <w:tcW w:w="1920" w:type="dxa"/>
            <w:vAlign w:val="bottom"/>
            <w:gridSpan w:val="4"/>
          </w:tcPr>
          <w:p>
            <w:pPr>
              <w:jc w:val="right"/>
              <w:ind w:right="60"/>
              <w:spacing w:after="0"/>
              <w:rPr>
                <w:sz w:val="20"/>
                <w:szCs w:val="20"/>
                <w:color w:val="auto"/>
              </w:rPr>
            </w:pPr>
            <w:r>
              <w:rPr>
                <w:rFonts w:ascii="Arial" w:cs="Arial" w:eastAsia="Arial" w:hAnsi="Arial"/>
                <w:sz w:val="18"/>
                <w:szCs w:val="18"/>
                <w:color w:val="auto"/>
              </w:rPr>
              <w:t>(3,502)</w:t>
            </w:r>
          </w:p>
        </w:tc>
      </w:tr>
      <w:tr>
        <w:trPr>
          <w:trHeight w:val="34"/>
        </w:trPr>
        <w:tc>
          <w:tcPr>
            <w:tcW w:w="59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75"/>
        </w:trPr>
        <w:tc>
          <w:tcPr>
            <w:tcW w:w="594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w:t>
            </w:r>
          </w:p>
        </w:tc>
        <w:tc>
          <w:tcPr>
            <w:tcW w:w="3540" w:type="dxa"/>
            <w:vAlign w:val="bottom"/>
            <w:tcBorders>
              <w:bottom w:val="single" w:sz="8" w:color="BFE4FF"/>
            </w:tcBorders>
            <w:shd w:val="clear" w:color="auto" w:fill="BFE4FF"/>
          </w:tcPr>
          <w:p>
            <w:pPr>
              <w:jc w:val="right"/>
              <w:ind w:right="15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BFE4FF"/>
            </w:tcBorders>
            <w:gridSpan w:val="4"/>
            <w:shd w:val="clear" w:color="auto" w:fill="BFE4FF"/>
          </w:tcPr>
          <w:p>
            <w:pPr>
              <w:jc w:val="right"/>
              <w:ind w:right="120"/>
              <w:spacing w:after="0"/>
              <w:rPr>
                <w:sz w:val="20"/>
                <w:szCs w:val="20"/>
                <w:color w:val="auto"/>
              </w:rPr>
            </w:pPr>
            <w:r>
              <w:rPr>
                <w:rFonts w:ascii="Arial" w:cs="Arial" w:eastAsia="Arial" w:hAnsi="Arial"/>
                <w:sz w:val="18"/>
                <w:szCs w:val="18"/>
                <w:color w:val="auto"/>
              </w:rPr>
              <w:t>112,110</w:t>
            </w:r>
          </w:p>
        </w:tc>
      </w:tr>
      <w:tr>
        <w:trPr>
          <w:trHeight w:val="20"/>
        </w:trPr>
        <w:tc>
          <w:tcPr>
            <w:tcW w:w="5940" w:type="dxa"/>
            <w:vAlign w:val="bottom"/>
            <w:tcBorders>
              <w:top w:val="single" w:sz="8" w:color="auto"/>
              <w:bottom w:val="single" w:sz="8" w:color="auto"/>
            </w:tcBorders>
          </w:tcPr>
          <w:p>
            <w:pPr>
              <w:spacing w:after="0" w:line="20" w:lineRule="exact"/>
              <w:rPr>
                <w:sz w:val="1"/>
                <w:szCs w:val="1"/>
                <w:color w:val="auto"/>
              </w:rPr>
            </w:pPr>
          </w:p>
        </w:tc>
        <w:tc>
          <w:tcPr>
            <w:tcW w:w="3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lease liabilities are presented as current and non-current. Operating lease liabilities of $28.1 million have been included in other liabilities as at March 31, 2019.</w:t>
      </w:r>
    </w:p>
    <w:p>
      <w:pPr>
        <w:sectPr>
          <w:pgSz w:w="11900" w:h="16838" w:orient="portrait"/>
          <w:cols w:equalWidth="0" w:num="1">
            <w:col w:w="11420"/>
          </w:cols>
          <w:pgMar w:left="240" w:top="8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896"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9. Income Taxes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Income taxes recognized during the three months ended March 31, 2019 and March 31, 2018, comprise: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9200"/>
        <w:spacing w:after="0"/>
        <w:rPr>
          <w:sz w:val="20"/>
          <w:szCs w:val="20"/>
          <w:color w:val="auto"/>
        </w:rPr>
      </w:pPr>
      <w:r>
        <w:rPr>
          <w:rFonts w:ascii="Arial" w:cs="Arial" w:eastAsia="Arial" w:hAnsi="Arial"/>
          <w:sz w:val="18"/>
          <w:szCs w:val="18"/>
          <w:b w:val="1"/>
          <w:bCs w:val="1"/>
          <w:u w:val="single" w:color="auto"/>
          <w:color w:val="auto"/>
        </w:rPr>
        <w:t>Three Months Ended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468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March 31, 2019</w:t>
            </w:r>
          </w:p>
        </w:tc>
        <w:tc>
          <w:tcPr>
            <w:tcW w:w="160" w:type="dxa"/>
            <w:vAlign w:val="bottom"/>
          </w:tcPr>
          <w:p>
            <w:pPr>
              <w:spacing w:after="0"/>
              <w:rPr>
                <w:sz w:val="17"/>
                <w:szCs w:val="17"/>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2"/>
              </w:rPr>
              <w:t>March 31, 2018</w:t>
            </w:r>
          </w:p>
        </w:tc>
      </w:tr>
      <w:tr>
        <w:trPr>
          <w:trHeight w:val="48"/>
        </w:trPr>
        <w:tc>
          <w:tcPr>
            <w:tcW w:w="5280" w:type="dxa"/>
            <w:vAlign w:val="bottom"/>
          </w:tcPr>
          <w:p>
            <w:pPr>
              <w:spacing w:after="0"/>
              <w:rPr>
                <w:sz w:val="4"/>
                <w:szCs w:val="4"/>
                <w:color w:val="auto"/>
              </w:rPr>
            </w:pPr>
          </w:p>
        </w:tc>
        <w:tc>
          <w:tcPr>
            <w:tcW w:w="336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5280" w:type="dxa"/>
            <w:vAlign w:val="bottom"/>
            <w:tcBorders>
              <w:bottom w:val="single" w:sz="8" w:color="CCEEFF"/>
            </w:tcBorders>
            <w:shd w:val="clear" w:color="auto" w:fill="CCEEFF"/>
          </w:tcPr>
          <w:p>
            <w:pPr>
              <w:spacing w:after="0"/>
              <w:rPr>
                <w:sz w:val="21"/>
                <w:szCs w:val="21"/>
                <w:color w:val="auto"/>
              </w:rPr>
            </w:pPr>
          </w:p>
        </w:tc>
        <w:tc>
          <w:tcPr>
            <w:tcW w:w="33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12,040</w:t>
            </w:r>
          </w:p>
        </w:tc>
        <w:tc>
          <w:tcPr>
            <w:tcW w:w="72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10,650</w:t>
            </w:r>
          </w:p>
        </w:tc>
      </w:tr>
      <w:tr>
        <w:trPr>
          <w:trHeight w:val="27"/>
        </w:trPr>
        <w:tc>
          <w:tcPr>
            <w:tcW w:w="52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at March 31, 2019 the Company maintains a $22.8 million liability (December 31, 2018: $22.5 million) for unrecognized tax benefit, which is comprised of $21.7 million (December 31, 2018: $21.4 million) related to items generating unrecognized tax benefits and $1.1 million (December 31, 2018: $1.1 million) for interest and related penalties to such items. The Company recognizes interest accrued on unrecognized tax benefits as an additional income tax expense.</w:t>
      </w:r>
    </w:p>
    <w:p>
      <w:pPr>
        <w:spacing w:after="0" w:line="29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analyzed the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2014 through 2018 tax years. The Company does not believe that the outcome of any examination will have a material impact on its 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income per ordinary share</w:t>
      </w:r>
    </w:p>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number of shares used in the computation of basic and diluted net income per ordinary share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18629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295" cy="1714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9100"/>
        <w:spacing w:after="0"/>
        <w:rPr>
          <w:sz w:val="20"/>
          <w:szCs w:val="20"/>
          <w:color w:val="auto"/>
        </w:rPr>
      </w:pPr>
      <w:r>
        <w:rPr>
          <w:rFonts w:ascii="Arial" w:cs="Arial" w:eastAsia="Arial" w:hAnsi="Arial"/>
          <w:sz w:val="18"/>
          <w:szCs w:val="18"/>
          <w:b w:val="1"/>
          <w:bCs w:val="1"/>
          <w:u w:val="single" w:color="auto"/>
          <w:color w:val="auto"/>
        </w:rPr>
        <w:t>Three Months Ended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60" w:type="dxa"/>
            <w:vAlign w:val="bottom"/>
          </w:tcPr>
          <w:p>
            <w:pPr>
              <w:spacing w:after="0"/>
              <w:rPr>
                <w:sz w:val="18"/>
                <w:szCs w:val="18"/>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March 31, 2019</w:t>
            </w: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w w:val="99"/>
              </w:rPr>
              <w:t>March 31, 2018</w:t>
            </w:r>
          </w:p>
        </w:tc>
      </w:tr>
      <w:tr>
        <w:trPr>
          <w:trHeight w:val="48"/>
        </w:trPr>
        <w:tc>
          <w:tcPr>
            <w:tcW w:w="856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ordinary shares outstanding for basic net income per ordinary share</w:t>
            </w: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53,845,407</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53,925,560</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Effect of dilutive share options outstanding</w:t>
            </w:r>
          </w:p>
        </w:tc>
        <w:tc>
          <w:tcPr>
            <w:tcW w:w="1200" w:type="dxa"/>
            <w:vAlign w:val="bottom"/>
          </w:tcPr>
          <w:p>
            <w:pPr>
              <w:jc w:val="right"/>
              <w:spacing w:after="0"/>
              <w:rPr>
                <w:sz w:val="20"/>
                <w:szCs w:val="20"/>
                <w:color w:val="auto"/>
              </w:rPr>
            </w:pPr>
            <w:r>
              <w:rPr>
                <w:rFonts w:ascii="Arial" w:cs="Arial" w:eastAsia="Arial" w:hAnsi="Arial"/>
                <w:sz w:val="18"/>
                <w:szCs w:val="18"/>
                <w:color w:val="auto"/>
              </w:rPr>
              <w:t>297,103</w:t>
            </w:r>
          </w:p>
        </w:tc>
        <w:tc>
          <w:tcPr>
            <w:tcW w:w="26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1,060,230</w:t>
            </w:r>
          </w:p>
        </w:tc>
      </w:tr>
      <w:tr>
        <w:trPr>
          <w:trHeight w:val="34"/>
        </w:trPr>
        <w:tc>
          <w:tcPr>
            <w:tcW w:w="8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75"/>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ordinary shares outstanding for diluted net income per ordinary share</w:t>
            </w: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54,142,510</w:t>
            </w: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54,985,790</w:t>
            </w:r>
          </w:p>
        </w:tc>
      </w:tr>
      <w:tr>
        <w:trPr>
          <w:trHeight w:val="20"/>
        </w:trPr>
        <w:tc>
          <w:tcPr>
            <w:tcW w:w="85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602"/>
        </w:trPr>
        <w:tc>
          <w:tcPr>
            <w:tcW w:w="8560" w:type="dxa"/>
            <w:vAlign w:val="bottom"/>
          </w:tcPr>
          <w:p>
            <w:pPr>
              <w:jc w:val="right"/>
              <w:ind w:right="2670"/>
              <w:spacing w:after="0"/>
              <w:rPr>
                <w:sz w:val="20"/>
                <w:szCs w:val="20"/>
                <w:color w:val="auto"/>
              </w:rPr>
            </w:pPr>
            <w:r>
              <w:rPr>
                <w:rFonts w:ascii="Arial" w:cs="Arial" w:eastAsia="Arial" w:hAnsi="Arial"/>
                <w:sz w:val="18"/>
                <w:szCs w:val="18"/>
                <w:color w:val="auto"/>
              </w:rPr>
              <w:t>13</w:t>
            </w: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11. Share-based Awards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33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2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14, 2017, both the 2008 Employee Plan and the 2008 Consultants Plan (together the “2008 Option Plans”) were amended and restated in order to increase the number of options that can be issued under the 2008 Consultants Plan from 400,000 to 1.0 million and to extend the date for options to be granted under the 2008 Option Plans.</w:t>
      </w:r>
    </w:p>
    <w:p>
      <w:pPr>
        <w:spacing w:after="0" w:line="2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1.0 million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February 14, 2027.</w:t>
      </w:r>
    </w:p>
    <w:p>
      <w:pPr>
        <w:spacing w:after="0" w:line="2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option granted under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2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Prior to 2018, share options typically vest over a period of five years from date of grant and expire eight years from date of grant. Share options granted to non-executive directors since 2018 vest over 12 months and expire eight years from the date of grant. The maximum contractual term of options outstanding at March 31, 2019 is eight years.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option activity for the three months ended March 31, 2019:</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06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4060" w:type="dxa"/>
            <w:vAlign w:val="bottom"/>
            <w:shd w:val="clear" w:color="auto" w:fill="CCEEFF"/>
          </w:tcPr>
          <w:p>
            <w:pPr>
              <w:spacing w:after="0"/>
              <w:rPr>
                <w:sz w:val="18"/>
                <w:szCs w:val="18"/>
                <w:color w:val="auto"/>
              </w:rPr>
            </w:pPr>
          </w:p>
        </w:tc>
        <w:tc>
          <w:tcPr>
            <w:tcW w:w="26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Options</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Weighted</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Weighted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Average</w:t>
            </w:r>
          </w:p>
        </w:tc>
      </w:tr>
      <w:tr>
        <w:trPr>
          <w:trHeight w:val="216"/>
        </w:trPr>
        <w:tc>
          <w:tcPr>
            <w:tcW w:w="4060" w:type="dxa"/>
            <w:vAlign w:val="bottom"/>
            <w:shd w:val="clear" w:color="auto" w:fill="CCEEFF"/>
          </w:tcPr>
          <w:p>
            <w:pPr>
              <w:spacing w:after="0"/>
              <w:rPr>
                <w:sz w:val="18"/>
                <w:szCs w:val="18"/>
                <w:color w:val="auto"/>
              </w:rPr>
            </w:pPr>
          </w:p>
        </w:tc>
        <w:tc>
          <w:tcPr>
            <w:tcW w:w="26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Outstanding</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Average</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5"/>
              </w:rPr>
              <w:t>Average Grant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Remaining</w:t>
            </w:r>
          </w:p>
        </w:tc>
      </w:tr>
      <w:tr>
        <w:trPr>
          <w:trHeight w:val="216"/>
        </w:trPr>
        <w:tc>
          <w:tcPr>
            <w:tcW w:w="4060" w:type="dxa"/>
            <w:vAlign w:val="bottom"/>
            <w:shd w:val="clear" w:color="auto" w:fill="CCEEFF"/>
          </w:tcPr>
          <w:p>
            <w:pPr>
              <w:spacing w:after="0"/>
              <w:rPr>
                <w:sz w:val="18"/>
                <w:szCs w:val="18"/>
                <w:color w:val="auto"/>
              </w:rPr>
            </w:pPr>
          </w:p>
        </w:tc>
        <w:tc>
          <w:tcPr>
            <w:tcW w:w="26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Number of</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Exercise</w:t>
            </w:r>
          </w:p>
        </w:tc>
        <w:tc>
          <w:tcPr>
            <w:tcW w:w="2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Date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Contractual</w:t>
            </w:r>
          </w:p>
        </w:tc>
      </w:tr>
      <w:tr>
        <w:trPr>
          <w:trHeight w:val="241"/>
        </w:trPr>
        <w:tc>
          <w:tcPr>
            <w:tcW w:w="4060" w:type="dxa"/>
            <w:vAlign w:val="bottom"/>
            <w:tcBorders>
              <w:bottom w:val="single" w:sz="8" w:color="CCEEFF"/>
            </w:tcBorders>
            <w:shd w:val="clear" w:color="auto" w:fill="CCEEFF"/>
          </w:tcPr>
          <w:p>
            <w:pPr>
              <w:spacing w:after="0"/>
              <w:rPr>
                <w:sz w:val="20"/>
                <w:szCs w:val="20"/>
                <w:color w:val="auto"/>
              </w:rPr>
            </w:pPr>
          </w:p>
        </w:tc>
        <w:tc>
          <w:tcPr>
            <w:tcW w:w="26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4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Price</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Fair Value</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Life</w:t>
            </w: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Outstanding at December 31, 2018</w:t>
            </w:r>
          </w:p>
        </w:tc>
        <w:tc>
          <w:tcPr>
            <w:tcW w:w="2640" w:type="dxa"/>
            <w:vAlign w:val="bottom"/>
          </w:tcPr>
          <w:p>
            <w:pPr>
              <w:jc w:val="right"/>
              <w:ind w:right="70"/>
              <w:spacing w:after="0"/>
              <w:rPr>
                <w:sz w:val="20"/>
                <w:szCs w:val="20"/>
                <w:color w:val="auto"/>
              </w:rPr>
            </w:pPr>
            <w:r>
              <w:rPr>
                <w:rFonts w:ascii="Arial" w:cs="Arial" w:eastAsia="Arial" w:hAnsi="Arial"/>
                <w:sz w:val="18"/>
                <w:szCs w:val="18"/>
                <w:color w:val="auto"/>
              </w:rPr>
              <w:t>920,746</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74.32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22.39</w:t>
            </w:r>
          </w:p>
        </w:tc>
        <w:tc>
          <w:tcPr>
            <w:tcW w:w="1320" w:type="dxa"/>
            <w:vAlign w:val="bottom"/>
          </w:tcPr>
          <w:p>
            <w:pPr>
              <w:spacing w:after="0"/>
              <w:rPr>
                <w:sz w:val="21"/>
                <w:szCs w:val="21"/>
                <w:color w:val="auto"/>
              </w:rPr>
            </w:pPr>
          </w:p>
        </w:tc>
      </w:tr>
      <w:tr>
        <w:trPr>
          <w:trHeight w:val="34"/>
        </w:trPr>
        <w:tc>
          <w:tcPr>
            <w:tcW w:w="40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2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88,734</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140.38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43.59</w:t>
            </w: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Exercised</w:t>
            </w:r>
          </w:p>
        </w:tc>
        <w:tc>
          <w:tcPr>
            <w:tcW w:w="2640" w:type="dxa"/>
            <w:vAlign w:val="bottom"/>
          </w:tcPr>
          <w:p>
            <w:pPr>
              <w:jc w:val="right"/>
              <w:ind w:right="10"/>
              <w:spacing w:after="0"/>
              <w:rPr>
                <w:sz w:val="20"/>
                <w:szCs w:val="20"/>
                <w:color w:val="auto"/>
              </w:rPr>
            </w:pPr>
            <w:r>
              <w:rPr>
                <w:rFonts w:ascii="Arial" w:cs="Arial" w:eastAsia="Arial" w:hAnsi="Arial"/>
                <w:sz w:val="18"/>
                <w:szCs w:val="18"/>
                <w:color w:val="auto"/>
              </w:rPr>
              <w:t>(62,015)</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54.52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16.77</w:t>
            </w:r>
          </w:p>
        </w:tc>
        <w:tc>
          <w:tcPr>
            <w:tcW w:w="1320" w:type="dxa"/>
            <w:vAlign w:val="bottom"/>
          </w:tcPr>
          <w:p>
            <w:pPr>
              <w:spacing w:after="0"/>
              <w:rPr>
                <w:sz w:val="21"/>
                <w:szCs w:val="21"/>
                <w:color w:val="auto"/>
              </w:rPr>
            </w:pPr>
          </w:p>
        </w:tc>
      </w:tr>
      <w:tr>
        <w:trPr>
          <w:trHeight w:val="27"/>
        </w:trPr>
        <w:tc>
          <w:tcPr>
            <w:tcW w:w="40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82"/>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2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(18,696)</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79.71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24.22</w:t>
            </w:r>
          </w:p>
        </w:tc>
        <w:tc>
          <w:tcPr>
            <w:tcW w:w="1320" w:type="dxa"/>
            <w:vAlign w:val="bottom"/>
            <w:tcBorders>
              <w:bottom w:val="single" w:sz="8" w:color="CCEEFF"/>
            </w:tcBorders>
            <w:shd w:val="clear" w:color="auto" w:fill="CCEEFF"/>
          </w:tcPr>
          <w:p>
            <w:pPr>
              <w:spacing w:after="0"/>
              <w:rPr>
                <w:sz w:val="24"/>
                <w:szCs w:val="24"/>
                <w:color w:val="auto"/>
              </w:rPr>
            </w:pPr>
          </w:p>
        </w:tc>
      </w:tr>
      <w:tr>
        <w:trPr>
          <w:trHeight w:val="297"/>
        </w:trPr>
        <w:tc>
          <w:tcPr>
            <w:tcW w:w="406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r>
      <w:tr>
        <w:trPr>
          <w:trHeight w:val="275"/>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2019</w:t>
            </w:r>
          </w:p>
        </w:tc>
        <w:tc>
          <w:tcPr>
            <w:tcW w:w="2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928,769</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81.84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24.75</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0"/>
        </w:trPr>
        <w:tc>
          <w:tcPr>
            <w:tcW w:w="406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0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5"/>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March 31, 2019</w:t>
            </w:r>
          </w:p>
        </w:tc>
        <w:tc>
          <w:tcPr>
            <w:tcW w:w="26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448,235</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61.79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18.65</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0"/>
        </w:trPr>
        <w:tc>
          <w:tcPr>
            <w:tcW w:w="4060" w:type="dxa"/>
            <w:vAlign w:val="bottom"/>
            <w:tcBorders>
              <w:top w:val="single" w:sz="8" w:color="auto"/>
              <w:bottom w:val="single" w:sz="8" w:color="auto"/>
            </w:tcBorders>
          </w:tcPr>
          <w:p>
            <w:pPr>
              <w:spacing w:after="0" w:line="20" w:lineRule="exact"/>
              <w:rPr>
                <w:sz w:val="1"/>
                <w:szCs w:val="1"/>
                <w:color w:val="auto"/>
              </w:rPr>
            </w:pPr>
          </w:p>
        </w:tc>
        <w:tc>
          <w:tcPr>
            <w:tcW w:w="2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742" w:right="239" w:bottom="1440" w:gutter="0" w:footer="0" w:header="0"/>
          <w:type w:val="continuous"/>
        </w:sectPr>
      </w:pPr>
    </w:p>
    <w:bookmarkStart w:id="15" w:name="page16"/>
    <w:bookmarkEnd w:id="15"/>
    <w:p>
      <w:pPr>
        <w:jc w:val="both"/>
        <w:spacing w:after="0" w:line="257" w:lineRule="auto"/>
        <w:rPr>
          <w:sz w:val="20"/>
          <w:szCs w:val="20"/>
          <w:color w:val="auto"/>
        </w:rPr>
      </w:pPr>
      <w:r>
        <w:rPr>
          <w:rFonts w:ascii="Arial" w:cs="Arial" w:eastAsia="Arial" w:hAnsi="Arial"/>
          <w:sz w:val="18"/>
          <w:szCs w:val="18"/>
          <w:color w:val="auto"/>
        </w:rPr>
        <w:t>The Company has outstanding options with fair values ranging from $9.72 to $43.59 per option or a weighted average fair value of $17.83 per option. The Company issues ordinary shares for all options exercised. The total amount of fully vested share options which remained outstanding at March 31, 2019 was 448,235. Fully vested share options at March 31, 2019 have an average remaining contractual term of 3.98 years, an average exercise price of $61.79 and a total intrinsic value of $33.5 million. The total intrinsic value of options exercised during the three months ended March 31, 2019 was $5.4 million (March 31, 2018: $1.8 million).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movement in non-vested share options for the three months ended March 31, 2019:</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280" w:type="dxa"/>
            <w:vAlign w:val="bottom"/>
            <w:shd w:val="clear" w:color="auto" w:fill="CCEEFF"/>
          </w:tcPr>
          <w:p>
            <w:pPr>
              <w:spacing w:after="0"/>
              <w:rPr>
                <w:sz w:val="19"/>
                <w:szCs w:val="19"/>
                <w:color w:val="auto"/>
              </w:rPr>
            </w:pPr>
          </w:p>
        </w:tc>
        <w:tc>
          <w:tcPr>
            <w:tcW w:w="30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Options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5280" w:type="dxa"/>
            <w:vAlign w:val="bottom"/>
            <w:shd w:val="clear" w:color="auto" w:fill="CCEEFF"/>
          </w:tcPr>
          <w:p>
            <w:pPr>
              <w:spacing w:after="0"/>
              <w:rPr>
                <w:sz w:val="18"/>
                <w:szCs w:val="18"/>
                <w:color w:val="auto"/>
              </w:rPr>
            </w:pPr>
          </w:p>
        </w:tc>
        <w:tc>
          <w:tcPr>
            <w:tcW w:w="30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Outstanding</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Weighted</w:t>
            </w: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Average</w:t>
            </w:r>
          </w:p>
        </w:tc>
      </w:tr>
      <w:tr>
        <w:trPr>
          <w:trHeight w:val="216"/>
        </w:trPr>
        <w:tc>
          <w:tcPr>
            <w:tcW w:w="5280" w:type="dxa"/>
            <w:vAlign w:val="bottom"/>
            <w:shd w:val="clear" w:color="auto" w:fill="CCEEFF"/>
          </w:tcPr>
          <w:p>
            <w:pPr>
              <w:spacing w:after="0"/>
              <w:rPr>
                <w:sz w:val="18"/>
                <w:szCs w:val="18"/>
                <w:color w:val="auto"/>
              </w:rPr>
            </w:pPr>
          </w:p>
        </w:tc>
        <w:tc>
          <w:tcPr>
            <w:tcW w:w="30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Number of</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Average</w:t>
            </w: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Grant Date Fair</w:t>
            </w:r>
          </w:p>
        </w:tc>
      </w:tr>
      <w:tr>
        <w:trPr>
          <w:trHeight w:val="241"/>
        </w:trPr>
        <w:tc>
          <w:tcPr>
            <w:tcW w:w="5280" w:type="dxa"/>
            <w:vAlign w:val="bottom"/>
            <w:tcBorders>
              <w:bottom w:val="single" w:sz="8" w:color="CCEEFF"/>
            </w:tcBorders>
            <w:shd w:val="clear" w:color="auto" w:fill="CCEEFF"/>
          </w:tcPr>
          <w:p>
            <w:pPr>
              <w:spacing w:after="0"/>
              <w:rPr>
                <w:sz w:val="20"/>
                <w:szCs w:val="20"/>
                <w:color w:val="auto"/>
              </w:rPr>
            </w:pPr>
          </w:p>
        </w:tc>
        <w:tc>
          <w:tcPr>
            <w:tcW w:w="3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2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4"/>
              </w:rPr>
              <w:t>Exercise Price</w:t>
            </w:r>
          </w:p>
        </w:tc>
        <w:tc>
          <w:tcPr>
            <w:tcW w:w="4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Value</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Non-vested outstanding at December 31, 2018</w:t>
            </w:r>
          </w:p>
        </w:tc>
        <w:tc>
          <w:tcPr>
            <w:tcW w:w="3000" w:type="dxa"/>
            <w:vAlign w:val="bottom"/>
          </w:tcPr>
          <w:p>
            <w:pPr>
              <w:jc w:val="right"/>
              <w:ind w:right="70"/>
              <w:spacing w:after="0"/>
              <w:rPr>
                <w:sz w:val="20"/>
                <w:szCs w:val="20"/>
                <w:color w:val="auto"/>
              </w:rPr>
            </w:pPr>
            <w:r>
              <w:rPr>
                <w:rFonts w:ascii="Arial" w:cs="Arial" w:eastAsia="Arial" w:hAnsi="Arial"/>
                <w:sz w:val="18"/>
                <w:szCs w:val="18"/>
                <w:color w:val="auto"/>
              </w:rPr>
              <w:t>522,823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88.18</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26.41</w:t>
            </w:r>
          </w:p>
        </w:tc>
      </w:tr>
      <w:tr>
        <w:trPr>
          <w:trHeight w:val="34"/>
        </w:trPr>
        <w:tc>
          <w:tcPr>
            <w:tcW w:w="52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0"/>
        </w:trPr>
        <w:tc>
          <w:tcPr>
            <w:tcW w:w="528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Granted</w:t>
            </w:r>
          </w:p>
        </w:tc>
        <w:tc>
          <w:tcPr>
            <w:tcW w:w="3000" w:type="dxa"/>
            <w:vAlign w:val="bottom"/>
          </w:tcPr>
          <w:p>
            <w:pPr>
              <w:jc w:val="right"/>
              <w:ind w:right="70"/>
              <w:spacing w:after="0"/>
              <w:rPr>
                <w:sz w:val="20"/>
                <w:szCs w:val="20"/>
                <w:color w:val="auto"/>
              </w:rPr>
            </w:pPr>
            <w:r>
              <w:rPr>
                <w:rFonts w:ascii="Arial" w:cs="Arial" w:eastAsia="Arial" w:hAnsi="Arial"/>
                <w:sz w:val="18"/>
                <w:szCs w:val="18"/>
                <w:color w:val="auto"/>
              </w:rPr>
              <w:t>88,734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140.38</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43.59</w:t>
            </w:r>
          </w:p>
        </w:tc>
      </w:tr>
      <w:tr>
        <w:trPr>
          <w:trHeight w:val="27"/>
        </w:trPr>
        <w:tc>
          <w:tcPr>
            <w:tcW w:w="52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3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(115,564)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76.30</w:t>
            </w:r>
          </w:p>
        </w:tc>
        <w:tc>
          <w:tcPr>
            <w:tcW w:w="4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22.69</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3000" w:type="dxa"/>
            <w:vAlign w:val="bottom"/>
          </w:tcPr>
          <w:p>
            <w:pPr>
              <w:jc w:val="right"/>
              <w:ind w:right="10"/>
              <w:spacing w:after="0"/>
              <w:rPr>
                <w:sz w:val="20"/>
                <w:szCs w:val="20"/>
                <w:color w:val="auto"/>
              </w:rPr>
            </w:pPr>
            <w:r>
              <w:rPr>
                <w:rFonts w:ascii="Arial" w:cs="Arial" w:eastAsia="Arial" w:hAnsi="Arial"/>
                <w:sz w:val="18"/>
                <w:szCs w:val="18"/>
                <w:color w:val="auto"/>
              </w:rPr>
              <w:t>(15,459)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92.16</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27.51</w:t>
            </w:r>
          </w:p>
        </w:tc>
      </w:tr>
      <w:tr>
        <w:trPr>
          <w:trHeight w:val="34"/>
        </w:trPr>
        <w:tc>
          <w:tcPr>
            <w:tcW w:w="52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70"/>
        </w:trPr>
        <w:tc>
          <w:tcPr>
            <w:tcW w:w="528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Non-vested outstanding at March 31, 2019</w:t>
            </w:r>
          </w:p>
        </w:tc>
        <w:tc>
          <w:tcPr>
            <w:tcW w:w="3000" w:type="dxa"/>
            <w:vAlign w:val="bottom"/>
          </w:tcPr>
          <w:p>
            <w:pPr>
              <w:jc w:val="right"/>
              <w:ind w:right="70"/>
              <w:spacing w:after="0"/>
              <w:rPr>
                <w:sz w:val="20"/>
                <w:szCs w:val="20"/>
                <w:color w:val="auto"/>
              </w:rPr>
            </w:pPr>
            <w:r>
              <w:rPr>
                <w:rFonts w:ascii="Arial" w:cs="Arial" w:eastAsia="Arial" w:hAnsi="Arial"/>
                <w:sz w:val="18"/>
                <w:szCs w:val="18"/>
                <w:color w:val="auto"/>
              </w:rPr>
              <w:t>480,534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100.55</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30.44</w:t>
            </w:r>
          </w:p>
        </w:tc>
      </w:tr>
      <w:tr>
        <w:trPr>
          <w:trHeight w:val="27"/>
        </w:trPr>
        <w:tc>
          <w:tcPr>
            <w:tcW w:w="528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Stock Options Assumptions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fair value of options granted during the three months ended March 31, 2019 and March 31, 2018 was calculated using the Black-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Scholes option pricing model. The weighted average grant date fair values and assumptions used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9000"/>
        <w:spacing w:after="0"/>
        <w:rPr>
          <w:sz w:val="20"/>
          <w:szCs w:val="20"/>
          <w:color w:val="auto"/>
        </w:rPr>
      </w:pPr>
      <w:r>
        <w:rPr>
          <w:rFonts w:ascii="Arial" w:cs="Arial" w:eastAsia="Arial" w:hAnsi="Arial"/>
          <w:sz w:val="18"/>
          <w:szCs w:val="18"/>
          <w:b w:val="1"/>
          <w:bCs w:val="1"/>
          <w:u w:val="single" w:color="auto"/>
          <w:color w:val="auto"/>
        </w:rPr>
        <w:t>Three Months Ended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March 31, 2019</w:t>
            </w:r>
          </w:p>
        </w:tc>
        <w:tc>
          <w:tcPr>
            <w:tcW w:w="220" w:type="dxa"/>
            <w:vAlign w:val="bottom"/>
          </w:tcPr>
          <w:p>
            <w:pPr>
              <w:spacing w:after="0"/>
              <w:rPr>
                <w:sz w:val="18"/>
                <w:szCs w:val="18"/>
                <w:color w:val="auto"/>
              </w:rPr>
            </w:pPr>
          </w:p>
        </w:tc>
        <w:tc>
          <w:tcPr>
            <w:tcW w:w="14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3"/>
              </w:rPr>
              <w:t>March 31, 2018</w:t>
            </w:r>
          </w:p>
        </w:tc>
      </w:tr>
      <w:tr>
        <w:trPr>
          <w:trHeight w:val="48"/>
        </w:trPr>
        <w:tc>
          <w:tcPr>
            <w:tcW w:w="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50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r>
      <w:tr>
        <w:trPr>
          <w:trHeight w:val="282"/>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w:t>
            </w:r>
          </w:p>
        </w:tc>
        <w:tc>
          <w:tcPr>
            <w:tcW w:w="2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43.59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35.10</w:t>
            </w:r>
          </w:p>
        </w:tc>
      </w:tr>
      <w:tr>
        <w:trPr>
          <w:trHeight w:val="203"/>
        </w:trPr>
        <w:tc>
          <w:tcPr>
            <w:tcW w:w="5520" w:type="dxa"/>
            <w:vAlign w:val="bottom"/>
            <w:tcBorders>
              <w:top w:val="single" w:sz="8" w:color="auto"/>
            </w:tcBorders>
            <w:gridSpan w:val="3"/>
          </w:tcPr>
          <w:p>
            <w:pPr>
              <w:ind w:left="40"/>
              <w:spacing w:after="0" w:line="202" w:lineRule="exact"/>
              <w:rPr>
                <w:sz w:val="20"/>
                <w:szCs w:val="20"/>
                <w:color w:val="auto"/>
              </w:rPr>
            </w:pPr>
            <w:r>
              <w:rPr>
                <w:rFonts w:ascii="Arial" w:cs="Arial" w:eastAsia="Arial" w:hAnsi="Arial"/>
                <w:sz w:val="18"/>
                <w:szCs w:val="18"/>
                <w:color w:val="auto"/>
              </w:rPr>
              <w:t>Assumptions:</w:t>
            </w:r>
          </w:p>
        </w:tc>
        <w:tc>
          <w:tcPr>
            <w:tcW w:w="28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450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2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Dividend yield</w:t>
            </w:r>
          </w:p>
        </w:tc>
        <w:tc>
          <w:tcPr>
            <w:tcW w:w="2860" w:type="dxa"/>
            <w:vAlign w:val="bottom"/>
          </w:tcPr>
          <w:p>
            <w:pPr>
              <w:spacing w:after="0"/>
              <w:rPr>
                <w:sz w:val="21"/>
                <w:szCs w:val="21"/>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5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2.63%</w:t>
            </w:r>
          </w:p>
        </w:tc>
      </w:tr>
      <w:tr>
        <w:trPr>
          <w:trHeight w:val="243"/>
        </w:trPr>
        <w:tc>
          <w:tcPr>
            <w:tcW w:w="5520" w:type="dxa"/>
            <w:vAlign w:val="bottom"/>
            <w:gridSpan w:val="3"/>
          </w:tcPr>
          <w:p>
            <w:pPr>
              <w:ind w:left="40"/>
              <w:spacing w:after="0"/>
              <w:rPr>
                <w:sz w:val="20"/>
                <w:szCs w:val="20"/>
                <w:color w:val="auto"/>
              </w:rPr>
            </w:pPr>
            <w:r>
              <w:rPr>
                <w:rFonts w:ascii="Arial" w:cs="Arial" w:eastAsia="Arial" w:hAnsi="Arial"/>
                <w:sz w:val="18"/>
                <w:szCs w:val="18"/>
                <w:color w:val="auto"/>
              </w:rPr>
              <w:t>Expected life</w:t>
            </w:r>
          </w:p>
        </w:tc>
        <w:tc>
          <w:tcPr>
            <w:tcW w:w="286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5 years</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 years</w:t>
            </w:r>
          </w:p>
        </w:tc>
      </w:tr>
      <w:tr>
        <w:trPr>
          <w:trHeight w:val="27"/>
        </w:trPr>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 and Performance Share Units</w:t>
      </w:r>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2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April 23, 2013, the Company adopted the 2013 Employees Restricted Share Unit and Performance Share Unit Plan (the “2013 RSU Plan”) pursuant to which the Compensation and Organization Committee of the Company’s Board of Directors may select any employee, or any Director holding a salaried office or employment with the Company, or a Subsidiary to receive an award under the plan. On May 11, 2015, the 2013 RSU Plan was amended and restated in order to increase the number of shares that can be issued under the RSU Plan by 2.5 million shares. Accordingly, an aggregate of 4.1 million ordinary shares have been reserved for issuance under the 2013 RSU Plan. The shares are awarded at par value and vest over a service period. Awards under the 2013 RSU Plan may be settled in cash or shares at the option of the Company.</w:t>
      </w:r>
    </w:p>
    <w:p>
      <w:pPr>
        <w:sectPr>
          <w:pgSz w:w="11900" w:h="16838" w:orient="portrait"/>
          <w:cols w:equalWidth="0" w:num="1">
            <w:col w:w="11420"/>
          </w:cols>
          <w:pgMar w:left="240" w:top="746" w:right="239" w:bottom="1440" w:gutter="0" w:footer="0" w:header="0"/>
        </w:sect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746" w:right="239" w:bottom="1440" w:gutter="0" w:footer="0" w:header="0"/>
          <w:type w:val="continuous"/>
        </w:sectPr>
      </w:pPr>
    </w:p>
    <w:bookmarkStart w:id="16" w:name="page17"/>
    <w:bookmarkEnd w:id="16"/>
    <w:p>
      <w:pPr>
        <w:ind w:right="400"/>
        <w:spacing w:after="0" w:line="277" w:lineRule="auto"/>
        <w:rPr>
          <w:sz w:val="20"/>
          <w:szCs w:val="20"/>
          <w:color w:val="auto"/>
        </w:rPr>
      </w:pPr>
      <w:r>
        <w:rPr>
          <w:rFonts w:ascii="Arial" w:cs="Arial" w:eastAsia="Arial" w:hAnsi="Arial"/>
          <w:sz w:val="18"/>
          <w:szCs w:val="18"/>
          <w:color w:val="auto"/>
        </w:rPr>
        <w:t>The Company has awarded RSUs and PSUs to certain key individuals of the Group. The following table summarizes RSU and PSU activity for the three months ended March 31, 2019:</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0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PSU</w:t>
            </w: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RSU</w:t>
            </w:r>
          </w:p>
        </w:tc>
      </w:tr>
      <w:tr>
        <w:trPr>
          <w:trHeight w:val="203"/>
        </w:trPr>
        <w:tc>
          <w:tcPr>
            <w:tcW w:w="30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PSU</w:t>
            </w: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Weighted</w:t>
            </w: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RSU</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Weighted</w:t>
            </w:r>
          </w:p>
        </w:tc>
      </w:tr>
      <w:tr>
        <w:trPr>
          <w:trHeight w:val="203"/>
        </w:trPr>
        <w:tc>
          <w:tcPr>
            <w:tcW w:w="30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72"/>
              <w:spacing w:after="0"/>
              <w:rPr>
                <w:sz w:val="20"/>
                <w:szCs w:val="20"/>
                <w:color w:val="auto"/>
              </w:rPr>
            </w:pPr>
            <w:r>
              <w:rPr>
                <w:rFonts w:ascii="Arial" w:cs="Arial" w:eastAsia="Arial" w:hAnsi="Arial"/>
                <w:sz w:val="17"/>
                <w:szCs w:val="17"/>
                <w:b w:val="1"/>
                <w:bCs w:val="1"/>
                <w:color w:val="auto"/>
              </w:rPr>
              <w:t>PSU</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Weighted</w:t>
            </w: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Average</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7"/>
                <w:szCs w:val="17"/>
                <w:b w:val="1"/>
                <w:bCs w:val="1"/>
                <w:color w:val="auto"/>
              </w:rPr>
              <w:t>RSU</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Weighted</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Average</w:t>
            </w:r>
          </w:p>
        </w:tc>
      </w:tr>
      <w:tr>
        <w:trPr>
          <w:trHeight w:val="203"/>
        </w:trPr>
        <w:tc>
          <w:tcPr>
            <w:tcW w:w="30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72"/>
              <w:spacing w:after="0"/>
              <w:rPr>
                <w:sz w:val="20"/>
                <w:szCs w:val="20"/>
                <w:color w:val="auto"/>
              </w:rPr>
            </w:pPr>
            <w:r>
              <w:rPr>
                <w:rFonts w:ascii="Arial" w:cs="Arial" w:eastAsia="Arial" w:hAnsi="Arial"/>
                <w:sz w:val="17"/>
                <w:szCs w:val="17"/>
                <w:b w:val="1"/>
                <w:bCs w:val="1"/>
                <w:color w:val="auto"/>
              </w:rPr>
              <w:t>Outstanding</w:t>
            </w:r>
          </w:p>
        </w:tc>
        <w:tc>
          <w:tcPr>
            <w:tcW w:w="1540" w:type="dxa"/>
            <w:vAlign w:val="bottom"/>
            <w:gridSpan w:val="2"/>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Average Grant</w:t>
            </w: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Remaining</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7"/>
                <w:szCs w:val="17"/>
                <w:b w:val="1"/>
                <w:bCs w:val="1"/>
                <w:color w:val="auto"/>
              </w:rPr>
              <w:t>Outstanding</w:t>
            </w:r>
          </w:p>
        </w:tc>
        <w:tc>
          <w:tcPr>
            <w:tcW w:w="1500" w:type="dxa"/>
            <w:vAlign w:val="bottom"/>
            <w:gridSpan w:val="2"/>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Average Grant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Remaining</w:t>
            </w:r>
          </w:p>
        </w:tc>
      </w:tr>
      <w:tr>
        <w:trPr>
          <w:trHeight w:val="203"/>
        </w:trPr>
        <w:tc>
          <w:tcPr>
            <w:tcW w:w="30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72"/>
              <w:spacing w:after="0"/>
              <w:rPr>
                <w:sz w:val="20"/>
                <w:szCs w:val="20"/>
                <w:color w:val="auto"/>
              </w:rPr>
            </w:pPr>
            <w:r>
              <w:rPr>
                <w:rFonts w:ascii="Arial" w:cs="Arial" w:eastAsia="Arial" w:hAnsi="Arial"/>
                <w:sz w:val="17"/>
                <w:szCs w:val="17"/>
                <w:b w:val="1"/>
                <w:bCs w:val="1"/>
                <w:color w:val="auto"/>
              </w:rPr>
              <w:t>Number of</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Date</w:t>
            </w:r>
          </w:p>
        </w:tc>
        <w:tc>
          <w:tcPr>
            <w:tcW w:w="1340" w:type="dxa"/>
            <w:vAlign w:val="bottom"/>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Contractual</w:t>
            </w: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7"/>
                <w:szCs w:val="17"/>
                <w:b w:val="1"/>
                <w:bCs w:val="1"/>
                <w:color w:val="auto"/>
              </w:rPr>
              <w:t>Number of</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Date</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Contractual</w:t>
            </w:r>
          </w:p>
        </w:tc>
      </w:tr>
      <w:tr>
        <w:trPr>
          <w:trHeight w:val="233"/>
        </w:trPr>
        <w:tc>
          <w:tcPr>
            <w:tcW w:w="30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7"/>
                <w:szCs w:val="17"/>
                <w:b w:val="1"/>
                <w:bCs w:val="1"/>
                <w:color w:val="auto"/>
              </w:rPr>
              <w:t>Shares</w:t>
            </w:r>
          </w:p>
        </w:tc>
        <w:tc>
          <w:tcPr>
            <w:tcW w:w="3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Fair Value</w:t>
            </w:r>
          </w:p>
        </w:tc>
        <w:tc>
          <w:tcPr>
            <w:tcW w:w="13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7"/>
                <w:szCs w:val="17"/>
                <w:b w:val="1"/>
                <w:bCs w:val="1"/>
                <w:color w:val="auto"/>
              </w:rPr>
              <w:t>Life</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7"/>
                <w:szCs w:val="17"/>
                <w:b w:val="1"/>
                <w:bCs w:val="1"/>
                <w:color w:val="auto"/>
              </w:rPr>
              <w:t>Shares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7"/>
                <w:szCs w:val="17"/>
                <w:b w:val="1"/>
                <w:bCs w:val="1"/>
                <w:color w:val="auto"/>
              </w:rPr>
              <w:t>Fair Value</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Life</w:t>
            </w: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Outstanding at December 31, 2018</w:t>
            </w: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251,053</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89.95</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0.96</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534,677</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89.50</w:t>
            </w:r>
          </w:p>
        </w:tc>
        <w:tc>
          <w:tcPr>
            <w:tcW w:w="11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4"/>
        </w:trPr>
        <w:tc>
          <w:tcPr>
            <w:tcW w:w="3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7"/>
        </w:trPr>
        <w:tc>
          <w:tcPr>
            <w:tcW w:w="30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55,102</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140.38</w:t>
            </w:r>
          </w:p>
        </w:tc>
        <w:tc>
          <w:tcPr>
            <w:tcW w:w="134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27,697</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140.38</w:t>
            </w:r>
          </w:p>
        </w:tc>
        <w:tc>
          <w:tcPr>
            <w:tcW w:w="1180" w:type="dxa"/>
            <w:vAlign w:val="bottom"/>
          </w:tcPr>
          <w:p>
            <w:pPr>
              <w:spacing w:after="0"/>
              <w:rPr>
                <w:sz w:val="21"/>
                <w:szCs w:val="21"/>
                <w:color w:val="auto"/>
              </w:rPr>
            </w:pPr>
          </w:p>
        </w:tc>
      </w:tr>
      <w:tr>
        <w:trPr>
          <w:trHeight w:val="27"/>
        </w:trPr>
        <w:tc>
          <w:tcPr>
            <w:tcW w:w="30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vested</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(109,359)</w:t>
            </w:r>
          </w:p>
        </w:tc>
        <w:tc>
          <w:tcPr>
            <w:tcW w:w="3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71.95</w:t>
            </w:r>
          </w:p>
        </w:tc>
        <w:tc>
          <w:tcPr>
            <w:tcW w:w="1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(33,540)</w:t>
            </w:r>
          </w:p>
        </w:tc>
        <w:tc>
          <w:tcPr>
            <w:tcW w:w="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86.91</w:t>
            </w: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(5,807)</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84.65</w:t>
            </w:r>
          </w:p>
        </w:tc>
        <w:tc>
          <w:tcPr>
            <w:tcW w:w="1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(17,856)</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90.18</w:t>
            </w:r>
          </w:p>
        </w:tc>
        <w:tc>
          <w:tcPr>
            <w:tcW w:w="1180" w:type="dxa"/>
            <w:vAlign w:val="bottom"/>
          </w:tcPr>
          <w:p>
            <w:pPr>
              <w:spacing w:after="0"/>
              <w:rPr>
                <w:sz w:val="21"/>
                <w:szCs w:val="21"/>
                <w:color w:val="auto"/>
              </w:rPr>
            </w:pPr>
          </w:p>
        </w:tc>
      </w:tr>
      <w:tr>
        <w:trPr>
          <w:trHeight w:val="34"/>
        </w:trPr>
        <w:tc>
          <w:tcPr>
            <w:tcW w:w="3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97"/>
        </w:trPr>
        <w:tc>
          <w:tcPr>
            <w:tcW w:w="30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3060" w:type="dxa"/>
            <w:vAlign w:val="bottom"/>
          </w:tcPr>
          <w:p>
            <w:pPr>
              <w:ind w:left="40"/>
              <w:spacing w:after="0"/>
              <w:rPr>
                <w:sz w:val="20"/>
                <w:szCs w:val="20"/>
                <w:color w:val="auto"/>
              </w:rPr>
            </w:pPr>
            <w:r>
              <w:rPr>
                <w:rFonts w:ascii="Arial" w:cs="Arial" w:eastAsia="Arial" w:hAnsi="Arial"/>
                <w:sz w:val="18"/>
                <w:szCs w:val="18"/>
                <w:color w:val="auto"/>
              </w:rPr>
              <w:t>Outstanding at March 31, 2019</w:t>
            </w: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190,989</w:t>
            </w:r>
          </w:p>
        </w:tc>
        <w:tc>
          <w:tcPr>
            <w:tcW w:w="3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106.20</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1.67</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510,978</w:t>
            </w:r>
          </w:p>
        </w:tc>
        <w:tc>
          <w:tcPr>
            <w:tcW w:w="3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2"/>
              <w:spacing w:after="0"/>
              <w:rPr>
                <w:sz w:val="20"/>
                <w:szCs w:val="20"/>
                <w:color w:val="auto"/>
              </w:rPr>
            </w:pPr>
            <w:r>
              <w:rPr>
                <w:rFonts w:ascii="Arial" w:cs="Arial" w:eastAsia="Arial" w:hAnsi="Arial"/>
                <w:sz w:val="18"/>
                <w:szCs w:val="18"/>
                <w:color w:val="auto"/>
              </w:rPr>
              <w:t>92.40</w:t>
            </w:r>
          </w:p>
        </w:tc>
        <w:tc>
          <w:tcPr>
            <w:tcW w:w="11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30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30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PSUs vested for the three months ended March 31, 2019 totaled $7.9 million (full year 2018: $14.7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RSUs vested for the three months ended March 31, 2019 totaled $2.9 million (full year 2018: $18.8 million).</w:t>
      </w:r>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PSUs vest based on service and specified EPS targets over the period 2016 – 2019, 2017 – 2020, 2018 – 2021 and 2019 – 2022. Depending on the amount of EPS from 2016 to 2022, up to an additional 79,384 PSUs may also be granted.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stock compensation expense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Non-cash stock compensation expense for the three months ended March 31, 2019 and March 31, 2018 has been allocated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9200"/>
        <w:spacing w:after="0"/>
        <w:rPr>
          <w:sz w:val="20"/>
          <w:szCs w:val="20"/>
          <w:color w:val="auto"/>
        </w:rPr>
      </w:pPr>
      <w:r>
        <w:rPr>
          <w:rFonts w:ascii="Arial" w:cs="Arial" w:eastAsia="Arial" w:hAnsi="Arial"/>
          <w:sz w:val="18"/>
          <w:szCs w:val="18"/>
          <w:b w:val="1"/>
          <w:bCs w:val="1"/>
          <w:u w:val="single" w:color="auto"/>
          <w:color w:val="auto"/>
        </w:rPr>
        <w:t>Three Months Ended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tcPr>
          <w:p>
            <w:pPr>
              <w:spacing w:after="0"/>
              <w:rPr>
                <w:sz w:val="18"/>
                <w:szCs w:val="18"/>
                <w:color w:val="auto"/>
              </w:rPr>
            </w:pPr>
          </w:p>
        </w:tc>
        <w:tc>
          <w:tcPr>
            <w:tcW w:w="438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March 31, 2019</w:t>
            </w:r>
          </w:p>
        </w:tc>
        <w:tc>
          <w:tcPr>
            <w:tcW w:w="16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92"/>
              </w:rPr>
              <w:t>March 31, 2018</w:t>
            </w:r>
          </w:p>
        </w:tc>
      </w:tr>
      <w:tr>
        <w:trPr>
          <w:trHeight w:val="48"/>
        </w:trPr>
        <w:tc>
          <w:tcPr>
            <w:tcW w:w="5580" w:type="dxa"/>
            <w:vAlign w:val="bottom"/>
          </w:tcPr>
          <w:p>
            <w:pPr>
              <w:spacing w:after="0"/>
              <w:rPr>
                <w:sz w:val="4"/>
                <w:szCs w:val="4"/>
                <w:color w:val="auto"/>
              </w:rPr>
            </w:pPr>
          </w:p>
        </w:tc>
        <w:tc>
          <w:tcPr>
            <w:tcW w:w="306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558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4"/>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Direct costs</w:t>
            </w:r>
          </w:p>
        </w:tc>
        <w:tc>
          <w:tcPr>
            <w:tcW w:w="34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3,901</w:t>
            </w:r>
          </w:p>
        </w:tc>
        <w:tc>
          <w:tcPr>
            <w:tcW w:w="7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5,175</w:t>
            </w:r>
          </w:p>
        </w:tc>
      </w:tr>
      <w:tr>
        <w:trPr>
          <w:trHeight w:val="27"/>
        </w:trPr>
        <w:tc>
          <w:tcPr>
            <w:tcW w:w="55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0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3,178</w:t>
            </w:r>
          </w:p>
        </w:tc>
        <w:tc>
          <w:tcPr>
            <w:tcW w:w="1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4,217</w:t>
            </w:r>
          </w:p>
        </w:tc>
      </w:tr>
      <w:tr>
        <w:trPr>
          <w:trHeight w:val="297"/>
        </w:trPr>
        <w:tc>
          <w:tcPr>
            <w:tcW w:w="5580" w:type="dxa"/>
            <w:vAlign w:val="bottom"/>
            <w:tcBorders>
              <w:top w:val="single" w:sz="8" w:color="auto"/>
            </w:tcBorders>
          </w:tcPr>
          <w:p>
            <w:pPr>
              <w:spacing w:after="0"/>
              <w:rPr>
                <w:sz w:val="24"/>
                <w:szCs w:val="24"/>
                <w:color w:val="auto"/>
              </w:rPr>
            </w:pPr>
          </w:p>
        </w:tc>
        <w:tc>
          <w:tcPr>
            <w:tcW w:w="30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75"/>
        </w:trPr>
        <w:tc>
          <w:tcPr>
            <w:tcW w:w="5580" w:type="dxa"/>
            <w:vAlign w:val="bottom"/>
            <w:tcBorders>
              <w:bottom w:val="single" w:sz="8" w:color="CCEEFF"/>
            </w:tcBorders>
            <w:shd w:val="clear" w:color="auto" w:fill="CCEEFF"/>
          </w:tcPr>
          <w:p>
            <w:pPr>
              <w:spacing w:after="0"/>
              <w:rPr>
                <w:sz w:val="23"/>
                <w:szCs w:val="23"/>
                <w:color w:val="auto"/>
              </w:rPr>
            </w:pPr>
          </w:p>
        </w:tc>
        <w:tc>
          <w:tcPr>
            <w:tcW w:w="34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7,079</w:t>
            </w:r>
          </w:p>
        </w:tc>
        <w:tc>
          <w:tcPr>
            <w:tcW w:w="780" w:type="dxa"/>
            <w:vAlign w:val="bottom"/>
            <w:tcBorders>
              <w:bottom w:val="single" w:sz="8" w:color="CCEEFF"/>
            </w:tcBorders>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9,392</w:t>
            </w:r>
          </w:p>
        </w:tc>
      </w:tr>
      <w:tr>
        <w:trPr>
          <w:trHeight w:val="20"/>
        </w:trPr>
        <w:tc>
          <w:tcPr>
            <w:tcW w:w="5580" w:type="dxa"/>
            <w:vAlign w:val="bottom"/>
            <w:tcBorders>
              <w:top w:val="single" w:sz="8" w:color="auto"/>
              <w:bottom w:val="single" w:sz="8" w:color="auto"/>
            </w:tcBorders>
          </w:tcPr>
          <w:p>
            <w:pPr>
              <w:spacing w:after="0" w:line="20" w:lineRule="exact"/>
              <w:rPr>
                <w:sz w:val="1"/>
                <w:szCs w:val="1"/>
                <w:color w:val="auto"/>
              </w:rPr>
            </w:pPr>
          </w:p>
        </w:tc>
        <w:tc>
          <w:tcPr>
            <w:tcW w:w="3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non-cash stock compensation expense not yet recognized at March 31, 2019 amounted to $49.6 million. The weighted average period over which this is expected to be recognized is 2.48 years.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amendments required by Accounting Standards Update (‘ASU’) 2016-09 ‘Improvements to Employee Share-Based Payment Accounting’ require the Company to record all tax effects related to share-based payments through the income statement rather than additional paid in capital. The Company applied the updated standard prospectively during the year ended December 31, 2017.</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12. Share Capital</w:t>
      </w:r>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8, 2019, the Company commenced a share buyback program of up to $1 million shares. The Company can acquire up to 10% of its outstanding ordinary shares (by way of redemption), in accordance with Irish law, the United States securities laws, and the Company’s constitutional documents through open market share acquisitions.</w:t>
      </w:r>
    </w:p>
    <w:p>
      <w:pPr>
        <w:spacing w:after="0" w:line="2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buyback program gives a broker authority to acquire the Company’s ordinary shares from time to time on the open market in accordance with agreed terms and limitations. The acquisition of shares pursuant to the buyback program was effected by way of redemption and cancellation of the shares, in accordance with the Constitution of the Company.</w:t>
      </w:r>
    </w:p>
    <w:p>
      <w:pPr>
        <w:spacing w:after="0" w:line="2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months ended March 31, 2019 200,253 ordinary shares were redeemed by the Company under this buyback program for a total consideration of $25.0 million. All ordinary shares that were redeemed under the buyback program were canceled in accordance with the Constitution of the Company and the nominal value of these shares transferred to an other undenominated capital reserve as required under Irish Company Law.</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Segment Information</w:t>
      </w:r>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determines and presents operating segments based on the information that is internally provided to the chief operating decision maker, together the (‘CODM’) in accordance with FASB ASC 280-10 </w:t>
      </w:r>
      <w:r>
        <w:rPr>
          <w:rFonts w:ascii="Arial" w:cs="Arial" w:eastAsia="Arial" w:hAnsi="Arial"/>
          <w:sz w:val="18"/>
          <w:szCs w:val="18"/>
          <w:i w:val="1"/>
          <w:iCs w:val="1"/>
          <w:color w:val="auto"/>
        </w:rPr>
        <w:t>Disclosures about Segments of an Enterprises and Related Information</w:t>
      </w:r>
      <w:r>
        <w:rPr>
          <w:rFonts w:ascii="Arial" w:cs="Arial" w:eastAsia="Arial" w:hAnsi="Arial"/>
          <w:sz w:val="18"/>
          <w:szCs w:val="18"/>
          <w:color w:val="auto"/>
        </w:rPr>
        <w:t>. The Company determined that the CODM was comprised of the Chief Executive Officer and the Chief Financial Officer.</w:t>
      </w:r>
    </w:p>
    <w:p>
      <w:pPr>
        <w:spacing w:after="0" w:line="2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determines and presents operating segments based on the information that is provided to the CODM. The Company operates as one single business segment, which is the provision of outsourced development services on a global basis to the pharmaceutical, biotechnology and medical devices industries. There have been no changes to the basis of segmentation or the measurement basis for the segment results in the period.</w:t>
      </w:r>
    </w:p>
    <w:p>
      <w:pPr>
        <w:spacing w:after="0" w:line="2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 clinical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w:t>
      </w:r>
    </w:p>
    <w:p>
      <w:pPr>
        <w:spacing w:after="0" w:line="2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generally awarded projects based upon responses to requests for proposals received from companies in the pharmaceutical, biotechnology and medical device industries or work orders executed under our strategic partnership arrangements. Contracts with customers are generally entered into centrally, in most cases with ICON Clinical Research Limited (“ICON Ireland”), the Company’s principal operating subsidiary in Ireland. Revenues, which consist primarily of fees earned under these contracts, are allocated to individual entities within the Group, based on where the work is performed in accordance with the Company’s global transfer pricing model.</w:t>
      </w:r>
    </w:p>
    <w:p>
      <w:pPr>
        <w:spacing w:after="0" w:line="29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27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ICON Ireland remunerates other operating entities in the ICON Group on the basis of a guaranteed cost plus mark up for the services they perform in each of their local territories. The cost plus mark up for each ICON entity is established to ensure that each of ICON Ireland and the ICON entities that are involved in the conduct of services for customers, earn an appropriate arms-length return having regard to the assets owned, risks borne, and functions performed by each entity from these intercompany transactions. The cost plus mark up policy is reviewed annually to ensure that it is market appropriate.</w:t>
      </w:r>
    </w:p>
    <w:p>
      <w:pPr>
        <w:spacing w:after="0" w:line="2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geographic split of revenue disclosed for each region outside Ireland is the cost plus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revenues of the Group after deducting the cost plus revenues attributable to the activities performed outside Ireland.</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areas of operation outside of Ireland include the United States, United Kingdom, Belgium, France, Germany, Italy, Spain, The Netherlands, Sweden, Turkey, Poland, Czech Republic, Latvia, Russia, Ukraine, Hungary, Israel, Romania,</w:t>
      </w:r>
    </w:p>
    <w:p>
      <w:pPr>
        <w:sectPr>
          <w:pgSz w:w="11900" w:h="16838" w:orient="portrait"/>
          <w:cols w:equalWidth="0" w:num="1">
            <w:col w:w="11420"/>
          </w:cols>
          <w:pgMar w:left="240" w:top="74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742" w:right="239" w:bottom="1440" w:gutter="0" w:footer="0" w:header="0"/>
          <w:type w:val="continuous"/>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Canada, Mexico, Brazil, Colombia, Argentina, Chile, Peru, India, China (including Hong Kong), South Korea, Japan, Thailand, Taiwan, Singapore, The Philippines, Australia, New Zealand, and South Africa.</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geographical distribution of the Company’s segment measures as at March 31, 2019 and December 31, 2018 and for the three months ended March 31, 2019 and March 31, 2018 is as follows: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The distribution of revenue by geographical area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9300"/>
        <w:spacing w:after="0"/>
        <w:rPr>
          <w:sz w:val="20"/>
          <w:szCs w:val="20"/>
          <w:color w:val="auto"/>
        </w:rPr>
      </w:pPr>
      <w:r>
        <w:rPr>
          <w:rFonts w:ascii="Arial" w:cs="Arial" w:eastAsia="Arial" w:hAnsi="Arial"/>
          <w:sz w:val="18"/>
          <w:szCs w:val="18"/>
          <w:b w:val="1"/>
          <w:bCs w:val="1"/>
          <w:u w:val="single" w:color="auto"/>
          <w:color w:val="auto"/>
        </w:rPr>
        <w:t>Three Months Ended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March 31,</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7"/>
                <w:szCs w:val="17"/>
                <w:color w:val="auto"/>
              </w:rPr>
            </w:pPr>
          </w:p>
        </w:tc>
      </w:tr>
      <w:tr>
        <w:trPr>
          <w:trHeight w:val="196"/>
        </w:trPr>
        <w:tc>
          <w:tcPr>
            <w:tcW w:w="49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9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17"/>
                <w:szCs w:val="17"/>
                <w:color w:val="auto"/>
              </w:rPr>
            </w:pPr>
          </w:p>
        </w:tc>
        <w:tc>
          <w:tcPr>
            <w:tcW w:w="102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2018</w:t>
            </w:r>
          </w:p>
        </w:tc>
      </w:tr>
      <w:tr>
        <w:trPr>
          <w:trHeight w:val="48"/>
        </w:trPr>
        <w:tc>
          <w:tcPr>
            <w:tcW w:w="4980" w:type="dxa"/>
            <w:vAlign w:val="bottom"/>
          </w:tcPr>
          <w:p>
            <w:pPr>
              <w:spacing w:after="0"/>
              <w:rPr>
                <w:sz w:val="4"/>
                <w:szCs w:val="4"/>
                <w:color w:val="auto"/>
              </w:rPr>
            </w:pPr>
          </w:p>
        </w:tc>
        <w:tc>
          <w:tcPr>
            <w:tcW w:w="4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4980" w:type="dxa"/>
            <w:vAlign w:val="bottom"/>
            <w:tcBorders>
              <w:bottom w:val="single" w:sz="8" w:color="CCEEFF"/>
            </w:tcBorders>
            <w:shd w:val="clear" w:color="auto" w:fill="CCEEFF"/>
          </w:tcPr>
          <w:p>
            <w:pPr>
              <w:spacing w:after="0"/>
              <w:rPr>
                <w:sz w:val="21"/>
                <w:szCs w:val="21"/>
                <w:color w:val="auto"/>
              </w:rPr>
            </w:pPr>
          </w:p>
        </w:tc>
        <w:tc>
          <w:tcPr>
            <w:tcW w:w="4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7"/>
            <w:shd w:val="clear" w:color="auto" w:fill="CCEEFF"/>
          </w:tcPr>
          <w:p>
            <w:pPr>
              <w:ind w:left="420"/>
              <w:spacing w:after="0"/>
              <w:rPr>
                <w:sz w:val="20"/>
                <w:szCs w:val="20"/>
                <w:color w:val="auto"/>
              </w:rPr>
            </w:pPr>
            <w:r>
              <w:rPr>
                <w:rFonts w:ascii="Arial" w:cs="Arial" w:eastAsia="Arial" w:hAnsi="Arial"/>
                <w:sz w:val="18"/>
                <w:szCs w:val="18"/>
                <w:b w:val="1"/>
                <w:bCs w:val="1"/>
                <w:color w:val="auto"/>
              </w:rPr>
              <w:t>(in thousands)</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Ireland</w:t>
            </w:r>
          </w:p>
        </w:tc>
        <w:tc>
          <w:tcPr>
            <w:tcW w:w="4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298,483</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235,110</w:t>
            </w:r>
          </w:p>
        </w:tc>
      </w:tr>
      <w:tr>
        <w:trPr>
          <w:trHeight w:val="27"/>
        </w:trPr>
        <w:tc>
          <w:tcPr>
            <w:tcW w:w="49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Europe</w:t>
            </w:r>
          </w:p>
        </w:tc>
        <w:tc>
          <w:tcPr>
            <w:tcW w:w="40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90,445</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95,040</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U.S.</w:t>
            </w:r>
          </w:p>
        </w:tc>
        <w:tc>
          <w:tcPr>
            <w:tcW w:w="406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218,540</w:t>
            </w:r>
          </w:p>
        </w:tc>
        <w:tc>
          <w:tcPr>
            <w:tcW w:w="460" w:type="dxa"/>
            <w:vAlign w:val="bottom"/>
          </w:tcPr>
          <w:p>
            <w:pPr>
              <w:spacing w:after="0"/>
              <w:rPr>
                <w:sz w:val="21"/>
                <w:szCs w:val="21"/>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225,670</w:t>
            </w:r>
          </w:p>
        </w:tc>
      </w:tr>
      <w:tr>
        <w:trPr>
          <w:trHeight w:val="27"/>
        </w:trPr>
        <w:tc>
          <w:tcPr>
            <w:tcW w:w="49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40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67,384</w:t>
            </w:r>
          </w:p>
        </w:tc>
        <w:tc>
          <w:tcPr>
            <w:tcW w:w="4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64,305</w:t>
            </w:r>
          </w:p>
        </w:tc>
      </w:tr>
      <w:tr>
        <w:trPr>
          <w:trHeight w:val="297"/>
        </w:trPr>
        <w:tc>
          <w:tcPr>
            <w:tcW w:w="4980" w:type="dxa"/>
            <w:vAlign w:val="bottom"/>
            <w:tcBorders>
              <w:top w:val="single" w:sz="8" w:color="auto"/>
            </w:tcBorders>
          </w:tcPr>
          <w:p>
            <w:pPr>
              <w:spacing w:after="0"/>
              <w:rPr>
                <w:sz w:val="24"/>
                <w:szCs w:val="24"/>
                <w:color w:val="auto"/>
              </w:rPr>
            </w:pPr>
          </w:p>
        </w:tc>
        <w:tc>
          <w:tcPr>
            <w:tcW w:w="40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75"/>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674,852</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620,125</w:t>
            </w:r>
          </w:p>
        </w:tc>
      </w:tr>
      <w:tr>
        <w:trPr>
          <w:trHeight w:val="20"/>
        </w:trPr>
        <w:tc>
          <w:tcPr>
            <w:tcW w:w="4980" w:type="dxa"/>
            <w:vAlign w:val="bottom"/>
            <w:tcBorders>
              <w:top w:val="single" w:sz="8" w:color="auto"/>
              <w:bottom w:val="single" w:sz="8" w:color="auto"/>
            </w:tcBorders>
          </w:tcPr>
          <w:p>
            <w:pPr>
              <w:spacing w:after="0" w:line="20" w:lineRule="exact"/>
              <w:rPr>
                <w:sz w:val="1"/>
                <w:szCs w:val="1"/>
                <w:color w:val="auto"/>
              </w:rPr>
            </w:pPr>
          </w:p>
        </w:tc>
        <w:tc>
          <w:tcPr>
            <w:tcW w:w="4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40" w:hanging="132"/>
        <w:spacing w:after="0"/>
        <w:tabs>
          <w:tab w:leader="none" w:pos="640" w:val="left"/>
        </w:tabs>
        <w:numPr>
          <w:ilvl w:val="1"/>
          <w:numId w:val="1"/>
        </w:numPr>
        <w:rPr>
          <w:rFonts w:ascii="Arial" w:cs="Arial" w:eastAsia="Arial" w:hAnsi="Arial"/>
          <w:sz w:val="18"/>
          <w:szCs w:val="18"/>
          <w:color w:val="auto"/>
        </w:rPr>
      </w:pPr>
      <w:r>
        <w:rPr>
          <w:rFonts w:ascii="Arial" w:cs="Arial" w:eastAsia="Arial" w:hAnsi="Arial"/>
          <w:sz w:val="18"/>
          <w:szCs w:val="18"/>
          <w:color w:val="auto"/>
        </w:rPr>
        <w:t>All sales shown for Ireland are export sales.</w:t>
      </w:r>
    </w:p>
    <w:p>
      <w:pPr>
        <w:spacing w:after="0" w:line="333" w:lineRule="exact"/>
        <w:rPr>
          <w:rFonts w:ascii="Arial" w:cs="Arial" w:eastAsia="Arial" w:hAnsi="Arial"/>
          <w:sz w:val="18"/>
          <w:szCs w:val="18"/>
          <w:color w:val="auto"/>
        </w:rPr>
      </w:pPr>
    </w:p>
    <w:p>
      <w:pPr>
        <w:ind w:left="520" w:hanging="188"/>
        <w:spacing w:after="0"/>
        <w:tabs>
          <w:tab w:leader="none" w:pos="5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distribution of income from operations by geographical area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9300"/>
        <w:spacing w:after="0"/>
        <w:rPr>
          <w:sz w:val="20"/>
          <w:szCs w:val="20"/>
          <w:color w:val="auto"/>
        </w:rPr>
      </w:pPr>
      <w:r>
        <w:rPr>
          <w:rFonts w:ascii="Arial" w:cs="Arial" w:eastAsia="Arial" w:hAnsi="Arial"/>
          <w:sz w:val="18"/>
          <w:szCs w:val="18"/>
          <w:b w:val="1"/>
          <w:bCs w:val="1"/>
          <w:u w:val="single" w:color="auto"/>
          <w:color w:val="auto"/>
        </w:rPr>
        <w:t>Three Months Ended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March 31,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8"/>
                <w:szCs w:val="18"/>
                <w:color w:val="auto"/>
              </w:rPr>
            </w:pPr>
          </w:p>
        </w:tc>
      </w:tr>
      <w:tr>
        <w:trPr>
          <w:trHeight w:val="196"/>
        </w:trPr>
        <w:tc>
          <w:tcPr>
            <w:tcW w:w="336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90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17"/>
                <w:szCs w:val="17"/>
                <w:color w:val="auto"/>
              </w:rPr>
            </w:pPr>
          </w:p>
        </w:tc>
        <w:tc>
          <w:tcPr>
            <w:tcW w:w="102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2018</w:t>
            </w:r>
          </w:p>
        </w:tc>
      </w:tr>
      <w:tr>
        <w:trPr>
          <w:trHeight w:val="48"/>
        </w:trPr>
        <w:tc>
          <w:tcPr>
            <w:tcW w:w="3360" w:type="dxa"/>
            <w:vAlign w:val="bottom"/>
          </w:tcPr>
          <w:p>
            <w:pPr>
              <w:spacing w:after="0"/>
              <w:rPr>
                <w:sz w:val="4"/>
                <w:szCs w:val="4"/>
                <w:color w:val="auto"/>
              </w:rPr>
            </w:pPr>
          </w:p>
        </w:tc>
        <w:tc>
          <w:tcPr>
            <w:tcW w:w="5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336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7"/>
            <w:shd w:val="clear" w:color="auto" w:fill="CCEEFF"/>
          </w:tcPr>
          <w:p>
            <w:pPr>
              <w:ind w:left="420"/>
              <w:spacing w:after="0"/>
              <w:rPr>
                <w:sz w:val="20"/>
                <w:szCs w:val="20"/>
                <w:color w:val="auto"/>
              </w:rPr>
            </w:pPr>
            <w:r>
              <w:rPr>
                <w:rFonts w:ascii="Arial" w:cs="Arial" w:eastAsia="Arial" w:hAnsi="Arial"/>
                <w:sz w:val="18"/>
                <w:szCs w:val="18"/>
                <w:b w:val="1"/>
                <w:bCs w:val="1"/>
                <w:color w:val="auto"/>
              </w:rPr>
              <w:t>(in thousands)</w:t>
            </w: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Ireland</w:t>
            </w:r>
          </w:p>
        </w:tc>
        <w:tc>
          <w:tcPr>
            <w:tcW w:w="5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70,621</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69,810</w:t>
            </w:r>
          </w:p>
        </w:tc>
      </w:tr>
      <w:tr>
        <w:trPr>
          <w:trHeight w:val="27"/>
        </w:trPr>
        <w:tc>
          <w:tcPr>
            <w:tcW w:w="33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Europe</w:t>
            </w:r>
          </w:p>
        </w:tc>
        <w:tc>
          <w:tcPr>
            <w:tcW w:w="56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5,850</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5,168</w:t>
            </w:r>
          </w:p>
        </w:tc>
      </w:tr>
      <w:tr>
        <w:trPr>
          <w:trHeight w:val="243"/>
        </w:trPr>
        <w:tc>
          <w:tcPr>
            <w:tcW w:w="3360" w:type="dxa"/>
            <w:vAlign w:val="bottom"/>
          </w:tcPr>
          <w:p>
            <w:pPr>
              <w:ind w:left="40"/>
              <w:spacing w:after="0"/>
              <w:rPr>
                <w:sz w:val="20"/>
                <w:szCs w:val="20"/>
                <w:color w:val="auto"/>
              </w:rPr>
            </w:pPr>
            <w:r>
              <w:rPr>
                <w:rFonts w:ascii="Arial" w:cs="Arial" w:eastAsia="Arial" w:hAnsi="Arial"/>
                <w:sz w:val="18"/>
                <w:szCs w:val="18"/>
                <w:color w:val="auto"/>
              </w:rPr>
              <w:t>U.S.</w:t>
            </w:r>
          </w:p>
        </w:tc>
        <w:tc>
          <w:tcPr>
            <w:tcW w:w="568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17,107</w:t>
            </w:r>
          </w:p>
        </w:tc>
        <w:tc>
          <w:tcPr>
            <w:tcW w:w="460" w:type="dxa"/>
            <w:vAlign w:val="bottom"/>
          </w:tcPr>
          <w:p>
            <w:pPr>
              <w:spacing w:after="0"/>
              <w:rPr>
                <w:sz w:val="21"/>
                <w:szCs w:val="21"/>
                <w:color w:val="auto"/>
              </w:rPr>
            </w:pP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11,802</w:t>
            </w:r>
          </w:p>
        </w:tc>
      </w:tr>
      <w:tr>
        <w:trPr>
          <w:trHeight w:val="27"/>
        </w:trPr>
        <w:tc>
          <w:tcPr>
            <w:tcW w:w="3360" w:type="dxa"/>
            <w:vAlign w:val="bottom"/>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56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8,368</w:t>
            </w:r>
          </w:p>
        </w:tc>
        <w:tc>
          <w:tcPr>
            <w:tcW w:w="4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4,940</w:t>
            </w:r>
          </w:p>
        </w:tc>
      </w:tr>
      <w:tr>
        <w:trPr>
          <w:trHeight w:val="297"/>
        </w:trPr>
        <w:tc>
          <w:tcPr>
            <w:tcW w:w="3360" w:type="dxa"/>
            <w:vAlign w:val="bottom"/>
            <w:tcBorders>
              <w:top w:val="single" w:sz="8" w:color="auto"/>
            </w:tcBorders>
          </w:tcPr>
          <w:p>
            <w:pPr>
              <w:spacing w:after="0"/>
              <w:rPr>
                <w:sz w:val="24"/>
                <w:szCs w:val="24"/>
                <w:color w:val="auto"/>
              </w:rPr>
            </w:pPr>
          </w:p>
        </w:tc>
        <w:tc>
          <w:tcPr>
            <w:tcW w:w="56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75"/>
        </w:trPr>
        <w:tc>
          <w:tcPr>
            <w:tcW w:w="3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101,946</w:t>
            </w: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91,720</w:t>
            </w:r>
          </w:p>
        </w:tc>
      </w:tr>
      <w:tr>
        <w:trPr>
          <w:trHeight w:val="20"/>
        </w:trPr>
        <w:tc>
          <w:tcPr>
            <w:tcW w:w="3360" w:type="dxa"/>
            <w:vAlign w:val="bottom"/>
            <w:tcBorders>
              <w:top w:val="single" w:sz="8" w:color="auto"/>
              <w:bottom w:val="single" w:sz="8" w:color="auto"/>
            </w:tcBorders>
          </w:tcPr>
          <w:p>
            <w:pPr>
              <w:spacing w:after="0" w:line="20" w:lineRule="exact"/>
              <w:rPr>
                <w:sz w:val="1"/>
                <w:szCs w:val="1"/>
                <w:color w:val="auto"/>
              </w:rPr>
            </w:pPr>
          </w:p>
        </w:tc>
        <w:tc>
          <w:tcPr>
            <w:tcW w:w="5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818"/>
        </w:trPr>
        <w:tc>
          <w:tcPr>
            <w:tcW w:w="3360" w:type="dxa"/>
            <w:vAlign w:val="bottom"/>
          </w:tcPr>
          <w:p>
            <w:pPr>
              <w:spacing w:after="0"/>
              <w:rPr>
                <w:sz w:val="24"/>
                <w:szCs w:val="24"/>
                <w:color w:val="auto"/>
              </w:rPr>
            </w:pPr>
          </w:p>
        </w:tc>
        <w:tc>
          <w:tcPr>
            <w:tcW w:w="5680" w:type="dxa"/>
            <w:vAlign w:val="bottom"/>
          </w:tcPr>
          <w:p>
            <w:pPr>
              <w:jc w:val="right"/>
              <w:ind w:right="315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60" w:type="dxa"/>
            <w:vAlign w:val="bottom"/>
          </w:tcPr>
          <w:p>
            <w:pPr>
              <w:ind w:left="340"/>
              <w:spacing w:after="0"/>
              <w:rPr>
                <w:sz w:val="20"/>
                <w:szCs w:val="20"/>
                <w:color w:val="auto"/>
              </w:rPr>
            </w:pPr>
            <w:r>
              <w:rPr>
                <w:rFonts w:ascii="Arial" w:cs="Arial" w:eastAsia="Arial" w:hAnsi="Arial"/>
                <w:sz w:val="18"/>
                <w:szCs w:val="18"/>
                <w:color w:val="auto"/>
              </w:rPr>
              <w:t>c) The distribution of property, plant and equipment, net, by geographical area was as follows:</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6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CCEEFF"/>
            </w:tcBorders>
            <w:gridSpan w:val="4"/>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March 31, 2019</w:t>
            </w: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7860" w:type="dxa"/>
            <w:vAlign w:val="bottom"/>
            <w:shd w:val="clear" w:color="auto" w:fill="CCEEFF"/>
          </w:tcPr>
          <w:p>
            <w:pPr>
              <w:spacing w:after="0"/>
              <w:rPr>
                <w:sz w:val="7"/>
                <w:szCs w:val="7"/>
                <w:color w:val="auto"/>
              </w:rPr>
            </w:pPr>
          </w:p>
        </w:tc>
        <w:tc>
          <w:tcPr>
            <w:tcW w:w="2100" w:type="dxa"/>
            <w:vAlign w:val="bottom"/>
            <w:gridSpan w:val="4"/>
            <w:vMerge w:val="continue"/>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60" w:type="dxa"/>
            <w:vAlign w:val="bottom"/>
            <w:gridSpan w:val="3"/>
            <w:vMerge w:val="restart"/>
            <w:shd w:val="clear" w:color="auto" w:fill="CCEEFF"/>
          </w:tcPr>
          <w:p>
            <w:pPr>
              <w:jc w:val="right"/>
              <w:ind w:right="100"/>
              <w:spacing w:after="0" w:line="196" w:lineRule="exact"/>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136"/>
        </w:trPr>
        <w:tc>
          <w:tcPr>
            <w:tcW w:w="78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gridSpan w:val="3"/>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786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1980" w:type="dxa"/>
            <w:vAlign w:val="bottom"/>
            <w:tcBorders>
              <w:top w:val="single" w:sz="8" w:color="CCEEFF"/>
            </w:tcBorders>
            <w:gridSpan w:val="4"/>
          </w:tcPr>
          <w:p>
            <w:pPr>
              <w:ind w:left="48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Borders>
              <w:top w:val="single" w:sz="8" w:color="auto"/>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5"/>
        </w:trPr>
        <w:tc>
          <w:tcPr>
            <w:tcW w:w="7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11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100,915</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106,206</w:t>
            </w:r>
          </w:p>
        </w:tc>
        <w:tc>
          <w:tcPr>
            <w:tcW w:w="0" w:type="dxa"/>
            <w:vAlign w:val="bottom"/>
          </w:tcPr>
          <w:p>
            <w:pPr>
              <w:spacing w:after="0"/>
              <w:rPr>
                <w:sz w:val="1"/>
                <w:szCs w:val="1"/>
                <w:color w:val="auto"/>
              </w:rPr>
            </w:pPr>
          </w:p>
        </w:tc>
      </w:tr>
      <w:tr>
        <w:trPr>
          <w:trHeight w:val="169"/>
        </w:trPr>
        <w:tc>
          <w:tcPr>
            <w:tcW w:w="786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gridSpan w:val="2"/>
            <w:vMerge w:val="continue"/>
            <w:shd w:val="clear" w:color="auto" w:fill="CCEEFF"/>
          </w:tcPr>
          <w:p>
            <w:pPr>
              <w:spacing w:after="0"/>
              <w:rPr>
                <w:sz w:val="14"/>
                <w:szCs w:val="14"/>
                <w:color w:val="auto"/>
              </w:rPr>
            </w:pPr>
          </w:p>
        </w:tc>
        <w:tc>
          <w:tcPr>
            <w:tcW w:w="980" w:type="dxa"/>
            <w:vAlign w:val="bottom"/>
            <w:tcBorders>
              <w:bottom w:val="single" w:sz="8" w:color="CCEEFF"/>
            </w:tcBorders>
            <w:gridSpan w:val="2"/>
            <w:vMerge w:val="continue"/>
            <w:shd w:val="clear" w:color="auto" w:fill="CCEEFF"/>
          </w:tcPr>
          <w:p>
            <w:pPr>
              <w:spacing w:after="0"/>
              <w:rPr>
                <w:sz w:val="14"/>
                <w:szCs w:val="14"/>
                <w:color w:val="auto"/>
              </w:rPr>
            </w:pPr>
          </w:p>
        </w:tc>
        <w:tc>
          <w:tcPr>
            <w:tcW w:w="300" w:type="dxa"/>
            <w:vAlign w:val="bottom"/>
            <w:tcBorders>
              <w:bottom w:val="single" w:sz="8" w:color="CCEEFF"/>
            </w:tcBorders>
            <w:vMerge w:val="continue"/>
            <w:shd w:val="clear" w:color="auto" w:fill="CCEEFF"/>
          </w:tcPr>
          <w:p>
            <w:pPr>
              <w:spacing w:after="0"/>
              <w:rPr>
                <w:sz w:val="14"/>
                <w:szCs w:val="14"/>
                <w:color w:val="auto"/>
              </w:rPr>
            </w:pPr>
          </w:p>
        </w:tc>
        <w:tc>
          <w:tcPr>
            <w:tcW w:w="1160" w:type="dxa"/>
            <w:vAlign w:val="bottom"/>
            <w:tcBorders>
              <w:bottom w:val="single" w:sz="8" w:color="CCEEFF"/>
            </w:tcBorders>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Rest of Europe</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9,450</w:t>
            </w:r>
          </w:p>
        </w:tc>
        <w:tc>
          <w:tcPr>
            <w:tcW w:w="30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9,807</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26,340</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25,535</w:t>
            </w: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18,048</w:t>
            </w:r>
          </w:p>
        </w:tc>
        <w:tc>
          <w:tcPr>
            <w:tcW w:w="30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17,121</w:t>
            </w:r>
          </w:p>
        </w:tc>
        <w:tc>
          <w:tcPr>
            <w:tcW w:w="0" w:type="dxa"/>
            <w:vAlign w:val="bottom"/>
          </w:tcPr>
          <w:p>
            <w:pPr>
              <w:spacing w:after="0"/>
              <w:rPr>
                <w:sz w:val="1"/>
                <w:szCs w:val="1"/>
                <w:color w:val="auto"/>
              </w:rPr>
            </w:pPr>
          </w:p>
        </w:tc>
      </w:tr>
      <w:tr>
        <w:trPr>
          <w:trHeight w:val="34"/>
        </w:trPr>
        <w:tc>
          <w:tcPr>
            <w:tcW w:w="78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4"/>
        </w:trPr>
        <w:tc>
          <w:tcPr>
            <w:tcW w:w="78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Total</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154,753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158,669</w:t>
            </w:r>
          </w:p>
        </w:tc>
        <w:tc>
          <w:tcPr>
            <w:tcW w:w="0" w:type="dxa"/>
            <w:vAlign w:val="bottom"/>
          </w:tcPr>
          <w:p>
            <w:pPr>
              <w:spacing w:after="0"/>
              <w:rPr>
                <w:sz w:val="1"/>
                <w:szCs w:val="1"/>
                <w:color w:val="auto"/>
              </w:rPr>
            </w:pPr>
          </w:p>
        </w:tc>
      </w:tr>
      <w:tr>
        <w:trPr>
          <w:trHeight w:val="67"/>
        </w:trPr>
        <w:tc>
          <w:tcPr>
            <w:tcW w:w="78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78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The distribution of depreciation and amortization by geographical area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9200"/>
        <w:spacing w:after="0"/>
        <w:rPr>
          <w:sz w:val="20"/>
          <w:szCs w:val="20"/>
          <w:color w:val="auto"/>
        </w:rPr>
      </w:pPr>
      <w:r>
        <w:rPr>
          <w:rFonts w:ascii="Arial" w:cs="Arial" w:eastAsia="Arial" w:hAnsi="Arial"/>
          <w:sz w:val="18"/>
          <w:szCs w:val="18"/>
          <w:b w:val="1"/>
          <w:bCs w:val="1"/>
          <w:u w:val="single" w:color="auto"/>
          <w:color w:val="auto"/>
        </w:rPr>
        <w:t>Three Months Ended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8"/>
                <w:szCs w:val="18"/>
                <w:color w:val="auto"/>
              </w:rPr>
            </w:pPr>
          </w:p>
        </w:tc>
        <w:tc>
          <w:tcPr>
            <w:tcW w:w="510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March 31, 2019</w:t>
            </w:r>
          </w:p>
        </w:tc>
        <w:tc>
          <w:tcPr>
            <w:tcW w:w="16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99"/>
              </w:rPr>
              <w:t>March 31, 2018</w:t>
            </w:r>
          </w:p>
        </w:tc>
      </w:tr>
      <w:tr>
        <w:trPr>
          <w:trHeight w:val="48"/>
        </w:trPr>
        <w:tc>
          <w:tcPr>
            <w:tcW w:w="4860" w:type="dxa"/>
            <w:vAlign w:val="bottom"/>
          </w:tcPr>
          <w:p>
            <w:pPr>
              <w:spacing w:after="0"/>
              <w:rPr>
                <w:sz w:val="4"/>
                <w:szCs w:val="4"/>
                <w:color w:val="auto"/>
              </w:rPr>
            </w:pPr>
          </w:p>
        </w:tc>
        <w:tc>
          <w:tcPr>
            <w:tcW w:w="378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50"/>
        </w:trPr>
        <w:tc>
          <w:tcPr>
            <w:tcW w:w="486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4"/>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(in thousands)</w:t>
            </w: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Ireland</w:t>
            </w:r>
          </w:p>
        </w:tc>
        <w:tc>
          <w:tcPr>
            <w:tcW w:w="4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7,732</w:t>
            </w:r>
          </w:p>
        </w:tc>
        <w:tc>
          <w:tcPr>
            <w:tcW w:w="72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7,885</w:t>
            </w:r>
          </w:p>
        </w:tc>
      </w:tr>
      <w:tr>
        <w:trPr>
          <w:trHeight w:val="27"/>
        </w:trPr>
        <w:tc>
          <w:tcPr>
            <w:tcW w:w="48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Europe</w:t>
            </w:r>
          </w:p>
        </w:tc>
        <w:tc>
          <w:tcPr>
            <w:tcW w:w="37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1,204</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1,539</w:t>
            </w: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U.S.</w:t>
            </w:r>
          </w:p>
        </w:tc>
        <w:tc>
          <w:tcPr>
            <w:tcW w:w="3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5,412</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6,299</w:t>
            </w:r>
          </w:p>
        </w:tc>
      </w:tr>
      <w:tr>
        <w:trPr>
          <w:trHeight w:val="27"/>
        </w:trPr>
        <w:tc>
          <w:tcPr>
            <w:tcW w:w="48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82"/>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37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1,149</w:t>
            </w:r>
          </w:p>
        </w:tc>
        <w:tc>
          <w:tcPr>
            <w:tcW w:w="1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1,175</w:t>
            </w:r>
          </w:p>
        </w:tc>
      </w:tr>
      <w:tr>
        <w:trPr>
          <w:trHeight w:val="297"/>
        </w:trPr>
        <w:tc>
          <w:tcPr>
            <w:tcW w:w="486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275"/>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15,497</w:t>
            </w:r>
          </w:p>
        </w:tc>
        <w:tc>
          <w:tcPr>
            <w:tcW w:w="720" w:type="dxa"/>
            <w:vAlign w:val="bottom"/>
            <w:tcBorders>
              <w:bottom w:val="single" w:sz="8" w:color="CCEEFF"/>
            </w:tcBorders>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16,898</w:t>
            </w:r>
          </w:p>
        </w:tc>
      </w:tr>
      <w:tr>
        <w:trPr>
          <w:trHeight w:val="20"/>
        </w:trPr>
        <w:tc>
          <w:tcPr>
            <w:tcW w:w="4860" w:type="dxa"/>
            <w:vAlign w:val="bottom"/>
            <w:tcBorders>
              <w:top w:val="single" w:sz="8" w:color="auto"/>
              <w:bottom w:val="single" w:sz="8" w:color="auto"/>
            </w:tcBorders>
          </w:tcPr>
          <w:p>
            <w:pPr>
              <w:spacing w:after="0" w:line="20" w:lineRule="exact"/>
              <w:rPr>
                <w:sz w:val="1"/>
                <w:szCs w:val="1"/>
                <w:color w:val="auto"/>
              </w:rPr>
            </w:pPr>
          </w:p>
        </w:tc>
        <w:tc>
          <w:tcPr>
            <w:tcW w:w="3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ind w:left="340"/>
              <w:spacing w:after="0"/>
              <w:rPr>
                <w:sz w:val="20"/>
                <w:szCs w:val="20"/>
                <w:color w:val="auto"/>
              </w:rPr>
            </w:pPr>
            <w:r>
              <w:rPr>
                <w:rFonts w:ascii="Arial" w:cs="Arial" w:eastAsia="Arial" w:hAnsi="Arial"/>
                <w:sz w:val="18"/>
                <w:szCs w:val="18"/>
                <w:color w:val="auto"/>
              </w:rPr>
              <w:t>e) The distribution of total assets by geographical area was as follows:</w:t>
            </w: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7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70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70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2"/>
              </w:rPr>
              <w:t>March 31, 2019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2018</w:t>
            </w:r>
          </w:p>
        </w:tc>
        <w:tc>
          <w:tcPr>
            <w:tcW w:w="100" w:type="dxa"/>
            <w:vAlign w:val="bottom"/>
            <w:shd w:val="clear" w:color="auto" w:fill="CCEEFF"/>
          </w:tcPr>
          <w:p>
            <w:pPr>
              <w:spacing w:after="0"/>
              <w:rPr>
                <w:sz w:val="17"/>
                <w:szCs w:val="17"/>
                <w:color w:val="auto"/>
              </w:rPr>
            </w:pPr>
          </w:p>
        </w:tc>
      </w:tr>
      <w:tr>
        <w:trPr>
          <w:trHeight w:val="48"/>
        </w:trPr>
        <w:tc>
          <w:tcPr>
            <w:tcW w:w="700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94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r>
      <w:tr>
        <w:trPr>
          <w:trHeight w:val="243"/>
        </w:trPr>
        <w:tc>
          <w:tcPr>
            <w:tcW w:w="70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20" w:type="dxa"/>
            <w:vAlign w:val="bottom"/>
            <w:gridSpan w:val="7"/>
          </w:tcPr>
          <w:p>
            <w:pPr>
              <w:ind w:left="56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7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19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1,171,368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1,073,411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Rest of Europe</w:t>
            </w:r>
          </w:p>
        </w:tc>
        <w:tc>
          <w:tcPr>
            <w:tcW w:w="1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564,312</w:t>
            </w:r>
          </w:p>
        </w:tc>
        <w:tc>
          <w:tcPr>
            <w:tcW w:w="2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514,010</w:t>
            </w:r>
          </w:p>
        </w:tc>
        <w:tc>
          <w:tcPr>
            <w:tcW w:w="100" w:type="dxa"/>
            <w:vAlign w:val="bottom"/>
          </w:tcPr>
          <w:p>
            <w:pPr>
              <w:spacing w:after="0"/>
              <w:rPr>
                <w:sz w:val="21"/>
                <w:szCs w:val="21"/>
                <w:color w:val="auto"/>
              </w:rPr>
            </w:pPr>
          </w:p>
        </w:tc>
      </w:tr>
      <w:tr>
        <w:trPr>
          <w:trHeight w:val="27"/>
        </w:trPr>
        <w:tc>
          <w:tcPr>
            <w:tcW w:w="70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16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727,520</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646,512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Rest of World</w:t>
            </w:r>
          </w:p>
        </w:tc>
        <w:tc>
          <w:tcPr>
            <w:tcW w:w="1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144,058</w:t>
            </w:r>
          </w:p>
        </w:tc>
        <w:tc>
          <w:tcPr>
            <w:tcW w:w="2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120,322</w:t>
            </w:r>
          </w:p>
        </w:tc>
        <w:tc>
          <w:tcPr>
            <w:tcW w:w="100" w:type="dxa"/>
            <w:vAlign w:val="bottom"/>
          </w:tcPr>
          <w:p>
            <w:pPr>
              <w:spacing w:after="0"/>
              <w:rPr>
                <w:sz w:val="21"/>
                <w:szCs w:val="21"/>
                <w:color w:val="auto"/>
              </w:rPr>
            </w:pPr>
          </w:p>
        </w:tc>
      </w:tr>
      <w:tr>
        <w:trPr>
          <w:trHeight w:val="34"/>
        </w:trPr>
        <w:tc>
          <w:tcPr>
            <w:tcW w:w="7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97"/>
        </w:trPr>
        <w:tc>
          <w:tcPr>
            <w:tcW w:w="70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Total</w:t>
            </w:r>
          </w:p>
        </w:tc>
        <w:tc>
          <w:tcPr>
            <w:tcW w:w="19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2,607,258</w:t>
            </w:r>
          </w:p>
        </w:tc>
        <w:tc>
          <w:tcPr>
            <w:tcW w:w="1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2,354,255</w:t>
            </w:r>
          </w:p>
        </w:tc>
        <w:tc>
          <w:tcPr>
            <w:tcW w:w="100" w:type="dxa"/>
            <w:vAlign w:val="bottom"/>
          </w:tcPr>
          <w:p>
            <w:pPr>
              <w:spacing w:after="0"/>
              <w:rPr>
                <w:sz w:val="21"/>
                <w:szCs w:val="21"/>
                <w:color w:val="auto"/>
              </w:rPr>
            </w:pPr>
          </w:p>
        </w:tc>
      </w:tr>
      <w:tr>
        <w:trPr>
          <w:trHeight w:val="27"/>
        </w:trPr>
        <w:tc>
          <w:tcPr>
            <w:tcW w:w="70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70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87"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87" w:right="2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14.  Impact of change in accounting policies</w:t>
      </w:r>
    </w:p>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new leasing standard (ASU No. 2016-02 ‘</w:t>
      </w:r>
      <w:r>
        <w:rPr>
          <w:rFonts w:ascii="Arial" w:cs="Arial" w:eastAsia="Arial" w:hAnsi="Arial"/>
          <w:sz w:val="16"/>
          <w:szCs w:val="16"/>
          <w:i w:val="1"/>
          <w:iCs w:val="1"/>
          <w:color w:val="auto"/>
        </w:rPr>
        <w:t>Leases</w:t>
      </w:r>
      <w:r>
        <w:rPr>
          <w:rFonts w:ascii="Arial" w:cs="Arial" w:eastAsia="Arial" w:hAnsi="Arial"/>
          <w:sz w:val="16"/>
          <w:szCs w:val="16"/>
          <w:color w:val="auto"/>
        </w:rPr>
        <w:t>’) was issued in February 2016. ASC 842 ‘</w:t>
      </w:r>
      <w:r>
        <w:rPr>
          <w:rFonts w:ascii="Arial" w:cs="Arial" w:eastAsia="Arial" w:hAnsi="Arial"/>
          <w:sz w:val="16"/>
          <w:szCs w:val="16"/>
          <w:i w:val="1"/>
          <w:iCs w:val="1"/>
          <w:color w:val="auto"/>
        </w:rPr>
        <w:t>Leases</w:t>
      </w:r>
      <w:r>
        <w:rPr>
          <w:rFonts w:ascii="Arial" w:cs="Arial" w:eastAsia="Arial" w:hAnsi="Arial"/>
          <w:sz w:val="16"/>
          <w:szCs w:val="16"/>
          <w:color w:val="auto"/>
        </w:rPr>
        <w:t>’ supersedes the current requirements in ASC 840 '</w:t>
      </w:r>
      <w:r>
        <w:rPr>
          <w:rFonts w:ascii="Arial" w:cs="Arial" w:eastAsia="Arial" w:hAnsi="Arial"/>
          <w:sz w:val="16"/>
          <w:szCs w:val="16"/>
          <w:i w:val="1"/>
          <w:iCs w:val="1"/>
          <w:color w:val="auto"/>
        </w:rPr>
        <w:t>Leases</w:t>
      </w:r>
      <w:r>
        <w:rPr>
          <w:rFonts w:ascii="Arial" w:cs="Arial" w:eastAsia="Arial" w:hAnsi="Arial"/>
          <w:sz w:val="16"/>
          <w:szCs w:val="16"/>
          <w:color w:val="auto"/>
        </w:rPr>
        <w:t>' and requires that lessees recognize rights and obligations from virtually all leases (other than leases that meet the definition of a short-term lease) on their balance sheets as right-of-use assets with corresponding lease liabilities. The ASU also provides additional guidance on how to classify leases and how to determine the lease term for accounting purposes. In July 2018, the Financial Accounting Standards Board (FASB) issued ASU No. 2018-11 '</w:t>
      </w:r>
      <w:r>
        <w:rPr>
          <w:rFonts w:ascii="Arial" w:cs="Arial" w:eastAsia="Arial" w:hAnsi="Arial"/>
          <w:sz w:val="16"/>
          <w:szCs w:val="16"/>
          <w:i w:val="1"/>
          <w:iCs w:val="1"/>
          <w:color w:val="auto"/>
        </w:rPr>
        <w:t>Leases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842): Targeted Improvements</w:t>
      </w:r>
      <w:r>
        <w:rPr>
          <w:rFonts w:ascii="Arial" w:cs="Arial" w:eastAsia="Arial" w:hAnsi="Arial"/>
          <w:sz w:val="16"/>
          <w:szCs w:val="16"/>
          <w:color w:val="auto"/>
        </w:rPr>
        <w:t>', which provides the option to adopt the standard retrospectively for each prior period presented, as initially set out in ASU No.</w:t>
      </w:r>
      <w:r>
        <w:rPr>
          <w:rFonts w:ascii="Arial" w:cs="Arial" w:eastAsia="Arial" w:hAnsi="Arial"/>
          <w:sz w:val="16"/>
          <w:szCs w:val="16"/>
          <w:i w:val="1"/>
          <w:iCs w:val="1"/>
          <w:color w:val="auto"/>
        </w:rPr>
        <w:t xml:space="preserve"> </w:t>
      </w:r>
      <w:r>
        <w:rPr>
          <w:rFonts w:ascii="Arial" w:cs="Arial" w:eastAsia="Arial" w:hAnsi="Arial"/>
          <w:sz w:val="16"/>
          <w:szCs w:val="16"/>
          <w:color w:val="auto"/>
        </w:rPr>
        <w:t>2016-02, or as of the adoption date with a cumulative-effect adjustment to the opening balance of retained earnings.</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ASC 842 became effective for ICON Plc with effect from January 1, 2019. ICON adopted the new standard as of January 1, 2019 under the cumulative effect adjustment approach. Under this transition method, the new standard is applied from January 1, 2019 without restatement of comparative period amounts. Results for the three months ended March 31, 2018 are therefore presented under the previous leasing accounting principles, ASC 840: '</w:t>
      </w:r>
      <w:r>
        <w:rPr>
          <w:rFonts w:ascii="Arial" w:cs="Arial" w:eastAsia="Arial" w:hAnsi="Arial"/>
          <w:sz w:val="16"/>
          <w:szCs w:val="16"/>
          <w:i w:val="1"/>
          <w:iCs w:val="1"/>
          <w:color w:val="auto"/>
        </w:rPr>
        <w:t>Leases</w:t>
      </w:r>
      <w:r>
        <w:rPr>
          <w:rFonts w:ascii="Arial" w:cs="Arial" w:eastAsia="Arial" w:hAnsi="Arial"/>
          <w:sz w:val="16"/>
          <w:szCs w:val="16"/>
          <w:color w:val="auto"/>
        </w:rPr>
        <w:t>'. Operating lease liabilities and right-of-use assets have been recorded on the consolidated balance sheet as at January 1, 2019 of $106.5 million.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There is no impact of adopting ASC 842 on opening retained earnings at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2"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ICON plc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2018. The Consolidated Financial Statements have been prepared in accordance with accounting principles generally accepted in the United States.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delivering best in class information, solutions and performance in clinical and outcomes research.</w:t>
      </w:r>
    </w:p>
    <w:p>
      <w:pPr>
        <w:spacing w:after="0" w:line="2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March 31, 2019 we employed approximately 13,920 employees, in 90 locations in 37 countries. During the three months ended March 31, 2019 we derived approximately 32.4%, 57.6% and 10% of our revenue in the United States, Europe and Rest of World respectively.</w:t>
      </w:r>
    </w:p>
    <w:p>
      <w:pPr>
        <w:spacing w:after="0" w:line="2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our business involves the management of projects having a typical duration of a few weeks to several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clients from year to year.</w:t>
      </w:r>
    </w:p>
    <w:p>
      <w:pPr>
        <w:spacing w:after="0" w:line="29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Our backlog consists of potential revenue yet to be earned from projects awarded by clients. At March 31, 2019 we had unsatisfied performance obligations of approximately $5.2 billion (see </w:t>
      </w:r>
      <w:r>
        <w:rPr>
          <w:rFonts w:ascii="Arial" w:cs="Arial" w:eastAsia="Arial" w:hAnsi="Arial"/>
          <w:sz w:val="18"/>
          <w:szCs w:val="18"/>
          <w:i w:val="1"/>
          <w:iCs w:val="1"/>
          <w:color w:val="auto"/>
        </w:rPr>
        <w:t>note 4 Trade accounts receivable, unbilled services (contract assets) and payments on account (contract liabilities)</w:t>
      </w:r>
      <w:r>
        <w:rPr>
          <w:rFonts w:ascii="Arial" w:cs="Arial" w:eastAsia="Arial" w:hAnsi="Arial"/>
          <w:sz w:val="18"/>
          <w:szCs w:val="18"/>
          <w:color w:val="auto"/>
        </w:rPr>
        <w:t xml:space="preserve"> for further details</w:t>
      </w:r>
      <w:r>
        <w:rPr>
          <w:rFonts w:ascii="Arial" w:cs="Arial" w:eastAsia="Arial" w:hAnsi="Arial"/>
          <w:sz w:val="18"/>
          <w:szCs w:val="18"/>
          <w:i w:val="1"/>
          <w:iCs w:val="1"/>
          <w:color w:val="auto"/>
        </w:rPr>
        <w:t>)</w:t>
      </w:r>
      <w:r>
        <w:rPr>
          <w:rFonts w:ascii="Arial" w:cs="Arial" w:eastAsia="Arial" w:hAnsi="Arial"/>
          <w:sz w:val="18"/>
          <w:szCs w:val="18"/>
          <w:color w:val="auto"/>
        </w:rPr>
        <w:t>. We believe that our remaining or unrealized performance obligations as of any date is not necessarily a meaningful predictor of future results, due to the potential for cancellation or delay of revenue.</w:t>
      </w:r>
    </w:p>
    <w:p>
      <w:pPr>
        <w:spacing w:after="0" w:line="29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3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to translation exposures, we are also subject to transaction exposures when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of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w:t>
      </w:r>
    </w:p>
    <w:p>
      <w:pPr>
        <w:spacing w:after="0" w:line="2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we conduct operations on a global basis, our effective tax rate depends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42"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2019 compared with Three Months Ended March 31, 2018</w:t>
      </w:r>
    </w:p>
    <w:p>
      <w:pPr>
        <w:spacing w:after="0" w:line="3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960" w:type="dxa"/>
            <w:vAlign w:val="bottom"/>
            <w:gridSpan w:val="8"/>
            <w:shd w:val="clear" w:color="auto" w:fill="CCEEFF"/>
          </w:tcPr>
          <w:p>
            <w:pPr>
              <w:jc w:val="center"/>
              <w:ind w:right="120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52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1480" w:type="dxa"/>
            <w:vAlign w:val="bottom"/>
            <w:gridSpan w:val="4"/>
          </w:tcPr>
          <w:p>
            <w:pPr>
              <w:jc w:val="right"/>
              <w:ind w:right="300"/>
              <w:spacing w:after="0" w:line="202" w:lineRule="exact"/>
              <w:rPr>
                <w:sz w:val="20"/>
                <w:szCs w:val="20"/>
                <w:color w:val="auto"/>
              </w:rPr>
            </w:pPr>
            <w:r>
              <w:rPr>
                <w:rFonts w:ascii="Arial" w:cs="Arial" w:eastAsia="Arial" w:hAnsi="Arial"/>
                <w:sz w:val="18"/>
                <w:szCs w:val="18"/>
                <w:b w:val="1"/>
                <w:bCs w:val="1"/>
                <w:color w:val="auto"/>
                <w:w w:val="90"/>
              </w:rPr>
              <w:t>March 31, 2019</w:t>
            </w:r>
          </w:p>
        </w:tc>
        <w:tc>
          <w:tcPr>
            <w:tcW w:w="2040" w:type="dxa"/>
            <w:vAlign w:val="bottom"/>
            <w:gridSpan w:val="5"/>
          </w:tcPr>
          <w:p>
            <w:pPr>
              <w:jc w:val="right"/>
              <w:ind w:right="700"/>
              <w:spacing w:after="0" w:line="202" w:lineRule="exact"/>
              <w:rPr>
                <w:sz w:val="20"/>
                <w:szCs w:val="20"/>
                <w:color w:val="auto"/>
              </w:rPr>
            </w:pPr>
            <w:r>
              <w:rPr>
                <w:rFonts w:ascii="Arial" w:cs="Arial" w:eastAsia="Arial" w:hAnsi="Arial"/>
                <w:sz w:val="18"/>
                <w:szCs w:val="18"/>
                <w:b w:val="1"/>
                <w:bCs w:val="1"/>
                <w:color w:val="auto"/>
              </w:rPr>
              <w:t>March 31, 2018</w:t>
            </w:r>
          </w:p>
        </w:tc>
        <w:tc>
          <w:tcPr>
            <w:tcW w:w="1200" w:type="dxa"/>
            <w:vAlign w:val="bottom"/>
            <w:gridSpan w:val="5"/>
          </w:tcPr>
          <w:p>
            <w:pPr>
              <w:jc w:val="right"/>
              <w:ind w:right="240"/>
              <w:spacing w:after="0" w:line="202" w:lineRule="exact"/>
              <w:rPr>
                <w:sz w:val="20"/>
                <w:szCs w:val="20"/>
                <w:color w:val="auto"/>
              </w:rPr>
            </w:pPr>
            <w:r>
              <w:rPr>
                <w:rFonts w:ascii="Arial" w:cs="Arial" w:eastAsia="Arial" w:hAnsi="Arial"/>
                <w:sz w:val="18"/>
                <w:szCs w:val="18"/>
                <w:b w:val="1"/>
                <w:bCs w:val="1"/>
                <w:color w:val="auto"/>
                <w:w w:val="87"/>
              </w:rPr>
              <w:t>2019 to 2018</w:t>
            </w:r>
          </w:p>
        </w:tc>
      </w:tr>
      <w:tr>
        <w:trPr>
          <w:trHeight w:val="48"/>
        </w:trPr>
        <w:tc>
          <w:tcPr>
            <w:tcW w:w="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22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52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200" w:type="dxa"/>
            <w:vAlign w:val="bottom"/>
            <w:gridSpan w:val="5"/>
            <w:shd w:val="clear" w:color="auto" w:fill="CCEEFF"/>
          </w:tcPr>
          <w:p>
            <w:pPr>
              <w:jc w:val="right"/>
              <w:ind w:right="240"/>
              <w:spacing w:after="0" w:line="202" w:lineRule="exact"/>
              <w:rPr>
                <w:sz w:val="20"/>
                <w:szCs w:val="20"/>
                <w:color w:val="auto"/>
              </w:rPr>
            </w:pPr>
            <w:r>
              <w:rPr>
                <w:rFonts w:ascii="Arial" w:cs="Arial" w:eastAsia="Arial" w:hAnsi="Arial"/>
                <w:sz w:val="18"/>
                <w:szCs w:val="18"/>
                <w:b w:val="1"/>
                <w:bCs w:val="1"/>
                <w:color w:val="auto"/>
                <w:w w:val="96"/>
              </w:rPr>
              <w:t>Percentage</w:t>
            </w:r>
          </w:p>
        </w:tc>
      </w:tr>
      <w:tr>
        <w:trPr>
          <w:trHeight w:val="203"/>
        </w:trPr>
        <w:tc>
          <w:tcPr>
            <w:tcW w:w="40" w:type="dxa"/>
            <w:vAlign w:val="bottom"/>
            <w:tcBorders>
              <w:top w:val="single" w:sz="8" w:color="CCEEFF"/>
            </w:tcBorders>
          </w:tcPr>
          <w:p>
            <w:pPr>
              <w:spacing w:after="0"/>
              <w:rPr>
                <w:sz w:val="17"/>
                <w:szCs w:val="17"/>
                <w:color w:val="auto"/>
              </w:rPr>
            </w:pPr>
          </w:p>
        </w:tc>
        <w:tc>
          <w:tcPr>
            <w:tcW w:w="1440" w:type="dxa"/>
            <w:vAlign w:val="bottom"/>
            <w:tcBorders>
              <w:top w:val="single" w:sz="8" w:color="CCEEFF"/>
            </w:tcBorders>
          </w:tcPr>
          <w:p>
            <w:pPr>
              <w:spacing w:after="0"/>
              <w:rPr>
                <w:sz w:val="17"/>
                <w:szCs w:val="17"/>
                <w:color w:val="auto"/>
              </w:rPr>
            </w:pPr>
          </w:p>
        </w:tc>
        <w:tc>
          <w:tcPr>
            <w:tcW w:w="52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760" w:type="dxa"/>
            <w:vAlign w:val="bottom"/>
            <w:tcBorders>
              <w:top w:val="single" w:sz="8" w:color="CCEEFF"/>
              <w:bottom w:val="single" w:sz="8" w:color="auto"/>
            </w:tcBorders>
            <w:gridSpan w:val="6"/>
          </w:tcPr>
          <w:p>
            <w:pPr>
              <w:jc w:val="center"/>
              <w:spacing w:after="0" w:line="202" w:lineRule="exact"/>
              <w:rPr>
                <w:sz w:val="20"/>
                <w:szCs w:val="20"/>
                <w:color w:val="auto"/>
              </w:rPr>
            </w:pPr>
            <w:r>
              <w:rPr>
                <w:rFonts w:ascii="Arial" w:cs="Arial" w:eastAsia="Arial" w:hAnsi="Arial"/>
                <w:sz w:val="18"/>
                <w:szCs w:val="18"/>
                <w:b w:val="1"/>
                <w:bCs w:val="1"/>
                <w:color w:val="auto"/>
                <w:w w:val="88"/>
              </w:rPr>
              <w:t>Percentage of Revenue</w:t>
            </w:r>
          </w:p>
        </w:tc>
        <w:tc>
          <w:tcPr>
            <w:tcW w:w="1200" w:type="dxa"/>
            <w:vAlign w:val="bottom"/>
            <w:tcBorders>
              <w:top w:val="single" w:sz="8" w:color="CCEEFF"/>
            </w:tcBorders>
            <w:gridSpan w:val="2"/>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w w:val="87"/>
              </w:rPr>
              <w:t>Increase/</w:t>
            </w:r>
          </w:p>
        </w:tc>
        <w:tc>
          <w:tcPr>
            <w:tcW w:w="240" w:type="dxa"/>
            <w:vAlign w:val="bottom"/>
            <w:tcBorders>
              <w:top w:val="single" w:sz="8" w:color="CCEEFF"/>
            </w:tcBorders>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3"/>
          </w:tcPr>
          <w:p>
            <w:pPr>
              <w:jc w:val="right"/>
              <w:ind w:right="240"/>
              <w:spacing w:after="0" w:line="196" w:lineRule="exact"/>
              <w:rPr>
                <w:sz w:val="20"/>
                <w:szCs w:val="20"/>
                <w:color w:val="auto"/>
              </w:rPr>
            </w:pPr>
            <w:r>
              <w:rPr>
                <w:rFonts w:ascii="Arial" w:cs="Arial" w:eastAsia="Arial" w:hAnsi="Arial"/>
                <w:sz w:val="18"/>
                <w:szCs w:val="18"/>
                <w:b w:val="1"/>
                <w:bCs w:val="1"/>
                <w:color w:val="auto"/>
                <w:w w:val="84"/>
              </w:rPr>
              <w:t>(Decrease)</w:t>
            </w:r>
          </w:p>
        </w:tc>
      </w:tr>
      <w:tr>
        <w:trPr>
          <w:trHeight w:val="48"/>
        </w:trPr>
        <w:tc>
          <w:tcPr>
            <w:tcW w:w="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5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r>
      <w:tr>
        <w:trPr>
          <w:trHeight w:val="282"/>
        </w:trPr>
        <w:tc>
          <w:tcPr>
            <w:tcW w:w="6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2040" w:type="dxa"/>
            <w:vAlign w:val="bottom"/>
            <w:tcBorders>
              <w:bottom w:val="single" w:sz="8" w:color="CCEEFF"/>
            </w:tcBorders>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8.8 %</w:t>
            </w:r>
          </w:p>
        </w:tc>
      </w:tr>
      <w:tr>
        <w:trPr>
          <w:trHeight w:val="270"/>
        </w:trPr>
        <w:tc>
          <w:tcPr>
            <w:tcW w:w="40" w:type="dxa"/>
            <w:vAlign w:val="bottom"/>
            <w:tcBorders>
              <w:top w:val="single" w:sz="8" w:color="auto"/>
            </w:tcBorders>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522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r>
      <w:tr>
        <w:trPr>
          <w:trHeight w:val="203"/>
        </w:trPr>
        <w:tc>
          <w:tcPr>
            <w:tcW w:w="670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Costs and expenses:</w:t>
            </w: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52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43"/>
        </w:trPr>
        <w:tc>
          <w:tcPr>
            <w:tcW w:w="6700" w:type="dxa"/>
            <w:vAlign w:val="bottom"/>
            <w:gridSpan w:val="3"/>
          </w:tcPr>
          <w:p>
            <w:pPr>
              <w:ind w:left="40"/>
              <w:spacing w:after="0"/>
              <w:rPr>
                <w:sz w:val="20"/>
                <w:szCs w:val="20"/>
                <w:color w:val="auto"/>
              </w:rPr>
            </w:pPr>
            <w:r>
              <w:rPr>
                <w:rFonts w:ascii="Arial" w:cs="Arial" w:eastAsia="Arial" w:hAnsi="Arial"/>
                <w:sz w:val="18"/>
                <w:szCs w:val="18"/>
                <w:color w:val="auto"/>
              </w:rPr>
              <w:t>Direct costs</w:t>
            </w:r>
          </w:p>
        </w:tc>
        <w:tc>
          <w:tcPr>
            <w:tcW w:w="1480" w:type="dxa"/>
            <w:vAlign w:val="bottom"/>
            <w:gridSpan w:val="4"/>
          </w:tcPr>
          <w:p>
            <w:pPr>
              <w:jc w:val="right"/>
              <w:ind w:right="140"/>
              <w:spacing w:after="0"/>
              <w:rPr>
                <w:sz w:val="20"/>
                <w:szCs w:val="20"/>
                <w:color w:val="auto"/>
              </w:rPr>
            </w:pPr>
            <w:r>
              <w:rPr>
                <w:rFonts w:ascii="Arial" w:cs="Arial" w:eastAsia="Arial" w:hAnsi="Arial"/>
                <w:sz w:val="18"/>
                <w:szCs w:val="18"/>
                <w:color w:val="auto"/>
              </w:rPr>
              <w:t>70.5%</w:t>
            </w:r>
          </w:p>
        </w:tc>
        <w:tc>
          <w:tcPr>
            <w:tcW w:w="2040" w:type="dxa"/>
            <w:vAlign w:val="bottom"/>
            <w:gridSpan w:val="5"/>
          </w:tcPr>
          <w:p>
            <w:pPr>
              <w:jc w:val="right"/>
              <w:ind w:right="540"/>
              <w:spacing w:after="0"/>
              <w:rPr>
                <w:sz w:val="20"/>
                <w:szCs w:val="20"/>
                <w:color w:val="auto"/>
              </w:rPr>
            </w:pPr>
            <w:r>
              <w:rPr>
                <w:rFonts w:ascii="Arial" w:cs="Arial" w:eastAsia="Arial" w:hAnsi="Arial"/>
                <w:sz w:val="18"/>
                <w:szCs w:val="18"/>
                <w:color w:val="auto"/>
              </w:rPr>
              <w:t>69.4%</w:t>
            </w:r>
          </w:p>
        </w:tc>
        <w:tc>
          <w:tcPr>
            <w:tcW w:w="1200" w:type="dxa"/>
            <w:vAlign w:val="bottom"/>
            <w:gridSpan w:val="5"/>
          </w:tcPr>
          <w:p>
            <w:pPr>
              <w:jc w:val="right"/>
              <w:ind w:right="40"/>
              <w:spacing w:after="0"/>
              <w:rPr>
                <w:sz w:val="20"/>
                <w:szCs w:val="20"/>
                <w:color w:val="auto"/>
              </w:rPr>
            </w:pPr>
            <w:r>
              <w:rPr>
                <w:rFonts w:ascii="Arial" w:cs="Arial" w:eastAsia="Arial" w:hAnsi="Arial"/>
                <w:sz w:val="18"/>
                <w:szCs w:val="18"/>
                <w:color w:val="auto"/>
              </w:rPr>
              <w:t>10.4 %</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4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2040" w:type="dxa"/>
            <w:vAlign w:val="bottom"/>
            <w:tcBorders>
              <w:bottom w:val="single" w:sz="8" w:color="CCEEFF"/>
            </w:tcBorders>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13.1%</w:t>
            </w:r>
          </w:p>
        </w:tc>
        <w:tc>
          <w:tcPr>
            <w:tcW w:w="12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1.2 %</w:t>
            </w:r>
          </w:p>
        </w:tc>
      </w:tr>
      <w:tr>
        <w:trPr>
          <w:trHeight w:val="243"/>
        </w:trPr>
        <w:tc>
          <w:tcPr>
            <w:tcW w:w="6700" w:type="dxa"/>
            <w:vAlign w:val="bottom"/>
            <w:gridSpan w:val="3"/>
          </w:tcPr>
          <w:p>
            <w:pPr>
              <w:ind w:left="40"/>
              <w:spacing w:after="0"/>
              <w:rPr>
                <w:sz w:val="20"/>
                <w:szCs w:val="20"/>
                <w:color w:val="auto"/>
              </w:rPr>
            </w:pPr>
            <w:r>
              <w:rPr>
                <w:rFonts w:ascii="Arial" w:cs="Arial" w:eastAsia="Arial" w:hAnsi="Arial"/>
                <w:sz w:val="18"/>
                <w:szCs w:val="18"/>
                <w:color w:val="auto"/>
              </w:rPr>
              <w:t>Depreciation</w:t>
            </w:r>
          </w:p>
        </w:tc>
        <w:tc>
          <w:tcPr>
            <w:tcW w:w="1480" w:type="dxa"/>
            <w:vAlign w:val="bottom"/>
            <w:gridSpan w:val="4"/>
          </w:tcPr>
          <w:p>
            <w:pPr>
              <w:jc w:val="right"/>
              <w:ind w:right="140"/>
              <w:spacing w:after="0"/>
              <w:rPr>
                <w:sz w:val="20"/>
                <w:szCs w:val="20"/>
                <w:color w:val="auto"/>
              </w:rPr>
            </w:pPr>
            <w:r>
              <w:rPr>
                <w:rFonts w:ascii="Arial" w:cs="Arial" w:eastAsia="Arial" w:hAnsi="Arial"/>
                <w:sz w:val="18"/>
                <w:szCs w:val="18"/>
                <w:color w:val="auto"/>
              </w:rPr>
              <w:t>1.7%</w:t>
            </w:r>
          </w:p>
        </w:tc>
        <w:tc>
          <w:tcPr>
            <w:tcW w:w="2040" w:type="dxa"/>
            <w:vAlign w:val="bottom"/>
            <w:gridSpan w:val="5"/>
          </w:tcPr>
          <w:p>
            <w:pPr>
              <w:jc w:val="right"/>
              <w:ind w:right="540"/>
              <w:spacing w:after="0"/>
              <w:rPr>
                <w:sz w:val="20"/>
                <w:szCs w:val="20"/>
                <w:color w:val="auto"/>
              </w:rPr>
            </w:pPr>
            <w:r>
              <w:rPr>
                <w:rFonts w:ascii="Arial" w:cs="Arial" w:eastAsia="Arial" w:hAnsi="Arial"/>
                <w:sz w:val="18"/>
                <w:szCs w:val="18"/>
                <w:color w:val="auto"/>
              </w:rPr>
              <w:t>1.9%</w:t>
            </w:r>
          </w:p>
        </w:tc>
        <w:tc>
          <w:tcPr>
            <w:tcW w:w="1200" w:type="dxa"/>
            <w:vAlign w:val="bottom"/>
            <w:gridSpan w:val="5"/>
          </w:tcPr>
          <w:p>
            <w:pPr>
              <w:jc w:val="right"/>
              <w:ind w:right="40"/>
              <w:spacing w:after="0"/>
              <w:rPr>
                <w:sz w:val="20"/>
                <w:szCs w:val="20"/>
                <w:color w:val="auto"/>
              </w:rPr>
            </w:pPr>
            <w:r>
              <w:rPr>
                <w:rFonts w:ascii="Arial" w:cs="Arial" w:eastAsia="Arial" w:hAnsi="Arial"/>
                <w:sz w:val="18"/>
                <w:szCs w:val="18"/>
                <w:color w:val="auto"/>
              </w:rPr>
              <w:t>(2.3)%</w:t>
            </w: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82"/>
        </w:trPr>
        <w:tc>
          <w:tcPr>
            <w:tcW w:w="6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14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2040" w:type="dxa"/>
            <w:vAlign w:val="bottom"/>
            <w:tcBorders>
              <w:bottom w:val="single" w:sz="8" w:color="CCEEFF"/>
            </w:tcBorders>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0.8%</w:t>
            </w:r>
          </w:p>
        </w:tc>
        <w:tc>
          <w:tcPr>
            <w:tcW w:w="12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r>
      <w:tr>
        <w:trPr>
          <w:trHeight w:val="270"/>
        </w:trPr>
        <w:tc>
          <w:tcPr>
            <w:tcW w:w="40" w:type="dxa"/>
            <w:vAlign w:val="bottom"/>
            <w:tcBorders>
              <w:top w:val="single" w:sz="8" w:color="auto"/>
            </w:tcBorders>
          </w:tcPr>
          <w:p>
            <w:pPr>
              <w:spacing w:after="0"/>
              <w:rPr>
                <w:sz w:val="23"/>
                <w:szCs w:val="23"/>
                <w:color w:val="auto"/>
              </w:rPr>
            </w:pPr>
          </w:p>
        </w:tc>
        <w:tc>
          <w:tcPr>
            <w:tcW w:w="1440" w:type="dxa"/>
            <w:vAlign w:val="bottom"/>
            <w:tcBorders>
              <w:top w:val="single" w:sz="8" w:color="auto"/>
            </w:tcBorders>
          </w:tcPr>
          <w:p>
            <w:pPr>
              <w:spacing w:after="0"/>
              <w:rPr>
                <w:sz w:val="23"/>
                <w:szCs w:val="23"/>
                <w:color w:val="auto"/>
              </w:rPr>
            </w:pPr>
          </w:p>
        </w:tc>
        <w:tc>
          <w:tcPr>
            <w:tcW w:w="522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r>
      <w:tr>
        <w:trPr>
          <w:trHeight w:val="275"/>
        </w:trPr>
        <w:tc>
          <w:tcPr>
            <w:tcW w:w="6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4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c>
          <w:tcPr>
            <w:tcW w:w="2040" w:type="dxa"/>
            <w:vAlign w:val="bottom"/>
            <w:tcBorders>
              <w:bottom w:val="single" w:sz="8" w:color="CCEEFF"/>
            </w:tcBorders>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14.8%</w:t>
            </w:r>
          </w:p>
        </w:tc>
        <w:tc>
          <w:tcPr>
            <w:tcW w:w="120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11.1 %</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for the period increased by $54.7 million, or 8.8%, from $620.1 million for the three months ended March 31, 2018 to $674.9 million for the three months ended March 31, 2019. Revenue increased by 11.1% in constant currency and increased by 10.6% in constant dollar organic terms. The increase in revenues in the three months ended March 31, 2019 can be explained by both continued organic growth and additional revenues from the acquisition of MMD on January 25, 2019.</w:t>
      </w:r>
    </w:p>
    <w:p>
      <w:pPr>
        <w:spacing w:after="0" w:line="29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three months ended March 31, 2019 we derived approximately 32.4%, 57.6% and 10.0% of our revenue in the United States, Europe and Rest of World respectively. During the three months ended March 31, 2019, $269.3 million or 39.9% of our revenues were derived from our top 5 customers. The largest of these customers related to a Strategic Partnership with a large global pharmaceutical company. Revenue from this customer contributed 14.8% of revenue for the quarter. Revenue from our second largest customer contributed 10.6% for the quarter. The addition of new customer accounts, particularly mid-tier pharma customers and biotech customers continues to result in a reduction in concentration of revenues from our top 5 customers.</w:t>
      </w:r>
    </w:p>
    <w:p>
      <w:pPr>
        <w:spacing w:after="0" w:line="2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Revenue in Ireland increased from $235.1 million for the three months ended March 31, 2018 to $298.5 million for the three months ended March 31, 2019. Revenue in Ireland is principally a function of the Company’s global transfer pricing model (see </w:t>
      </w:r>
      <w:r>
        <w:rPr>
          <w:rFonts w:ascii="Arial" w:cs="Arial" w:eastAsia="Arial" w:hAnsi="Arial"/>
          <w:sz w:val="18"/>
          <w:szCs w:val="18"/>
          <w:i w:val="1"/>
          <w:iCs w:val="1"/>
          <w:color w:val="auto"/>
        </w:rPr>
        <w:t>note 13 - Business Segmental Information</w:t>
      </w:r>
      <w:r>
        <w:rPr>
          <w:rFonts w:ascii="Arial" w:cs="Arial" w:eastAsia="Arial" w:hAnsi="Arial"/>
          <w:sz w:val="18"/>
          <w:szCs w:val="18"/>
          <w:color w:val="auto"/>
        </w:rPr>
        <w:t xml:space="preserve"> for further details). Revenue in our Rest of Europe region decreased from $95.0 million for the three months ended March 31, 2018 to $90.4 million for the three months ended March 31, 2019. Revenue in the Rest of World region increased from $64.3 million for the three months ended March 31, 2018 to $67.4 million for the three months ended March 31, 2019. Revenue in the U.S. region decreased from $225.7 million for the three months ended March 31, 2018 to $218.5 million for the three months ended March 31, 2019.</w:t>
      </w:r>
    </w:p>
    <w:p>
      <w:pPr>
        <w:spacing w:after="0" w:line="30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Direct costs for the period increased by $44.9 million, or 10.4%, from $430.6 million for the three months ended March 31, 2018 to $475.5 million for the three months ended March 31, 2019. Direct costs consist primarily of investigator and other reimbursable costs, compensation, associated fringe benefits and share based compensation expense for project-related employees and other direct project driven costs. The increase in direct costs during the period relates to increases in third party investigator and other reimbursable costs, an increase in direct project related costs and personnel related expenditure, which was partly offset by a decrease in laboratory costs during the period. As a percentage of revenue, direct costs have increased from 69.4% for the three months ended March 31, 2018 to 70.5% for the three months ended March 31, 2019.</w:t>
      </w:r>
    </w:p>
    <w:p>
      <w:pPr>
        <w:spacing w:after="0" w:line="2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for the period increased by $1.0 million, or 1.2%, from $80.9 million for the three months ended March 31, 2018 to $81.9 million for the three months ended March 31, 2019.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As a percentage of revenue, selling, general and administrative expenses, decreased from 13.1% for the three</w:t>
      </w:r>
    </w:p>
    <w:p>
      <w:pPr>
        <w:sectPr>
          <w:pgSz w:w="11900" w:h="16838" w:orient="portrait"/>
          <w:cols w:equalWidth="0" w:num="1">
            <w:col w:w="11420"/>
          </w:cols>
          <w:pgMar w:left="240" w:top="742"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742" w:right="239" w:bottom="1440" w:gutter="0" w:footer="0" w:header="0"/>
          <w:type w:val="continuous"/>
        </w:sectPr>
      </w:pPr>
    </w:p>
    <w:bookmarkStart w:id="23" w:name="page24"/>
    <w:bookmarkEnd w:id="23"/>
    <w:p>
      <w:pPr>
        <w:jc w:val="both"/>
        <w:ind w:right="20"/>
        <w:spacing w:after="0" w:line="277" w:lineRule="auto"/>
        <w:rPr>
          <w:sz w:val="20"/>
          <w:szCs w:val="20"/>
          <w:color w:val="auto"/>
        </w:rPr>
      </w:pPr>
      <w:r>
        <w:rPr>
          <w:rFonts w:ascii="Arial" w:cs="Arial" w:eastAsia="Arial" w:hAnsi="Arial"/>
          <w:sz w:val="18"/>
          <w:szCs w:val="18"/>
          <w:color w:val="auto"/>
        </w:rPr>
        <w:t>months ended March 31, 2018 to 12.1% for the three months ended March 31, 2019. This decrease reflects a continued focus on personnel related expenditure and facilities and related costs.</w:t>
      </w:r>
    </w:p>
    <w:p>
      <w:pPr>
        <w:spacing w:after="0" w:line="2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Depreciation expense for the period decreased by $0.3 million, or 2.3%, from $11.9 million for three months ended March 31, 2018 to $11.6 million for three months ended March 31, 2019. Depreciation expense arises principally from continued investment in facilities, information systems and equipment to support the Company’s growth. As a percentage of revenue the depreciation expense decreased from 1.9% for the three months ended March 31, 2018 to 1.7% for the three months ended March 31, 2019. Amortization on intangibles for the period decreased by $1.1 million, or 22.4%, from $5.0 million for the three months ended March 31, 2018 to $3.9 million for the three months ended March 31, 2019. Amortization expense represents the amortization of intangible assets acquired on business combinations. The decrease in the amortization expense for the period was driven by some intangibles being fully amortized during 2018. As a percentage of revenue, amortization expense for the three months ended March 31, 2019 decreased by 22.4% from 0.8% to 0.6% for the three months ended March 31, 2018.</w:t>
      </w:r>
    </w:p>
    <w:p>
      <w:pPr>
        <w:spacing w:after="0" w:line="2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above, income from operations for the period increased by $10.2 million, or 11.1%, from $91.7 million for the three months ended March 31, 2018 to $101.9 million for the three months ended March 31, 2019. As a percentage of revenue, income from operations for the three months ended March 31, 2019 increased from 14.8% of revenues for the three months ended March 31, 2018 to 15.1% of revenues for the three months ended March 31, 2019.</w:t>
      </w:r>
    </w:p>
    <w:p>
      <w:pPr>
        <w:spacing w:after="0" w:line="2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Income from operations in Ireland increased from a profit of $69.8 million for the three months ended March 31, 2018 to a profit of $70.6 million for the three months ended March 31, 2019. Income from operations in Ireland is impacted by the Group’s global transfer pricing model </w:t>
      </w:r>
      <w:r>
        <w:rPr>
          <w:rFonts w:ascii="Arial" w:cs="Arial" w:eastAsia="Arial" w:hAnsi="Arial"/>
          <w:sz w:val="17"/>
          <w:szCs w:val="17"/>
          <w:i w:val="1"/>
          <w:iCs w:val="1"/>
          <w:color w:val="auto"/>
        </w:rPr>
        <w:t>(see note 13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Segmental Information for further details). </w:t>
      </w:r>
      <w:r>
        <w:rPr>
          <w:rFonts w:ascii="Arial" w:cs="Arial" w:eastAsia="Arial" w:hAnsi="Arial"/>
          <w:sz w:val="17"/>
          <w:szCs w:val="17"/>
          <w:color w:val="auto"/>
        </w:rPr>
        <w:t>Income from operations in our Rest of Europe region increased from $5.2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2018 to $5.9 million for the three months ended March 31, 2019, while income from operations in our Rest of World region increased from $4.9 million for the three months ended March 31, 2018 to $8.4 million for the three months ended March 31, 2019. Income from operations in the U.S. region increased from $11.8 million for the three months ended March 31, 2018 to $17.1 million for the three months ended March 31, 2019.</w:t>
      </w:r>
    </w:p>
    <w:p>
      <w:pPr>
        <w:spacing w:after="0" w:line="2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Interest expense for the period decreased by $0.4 million, or 11.6%, from $3.8 million for the three months ended March 31, 2018 to $3.4 million for the three months ended March 31, 2019. Interest income increased by $0.9 million or 112% from $0.8 million for the three months ended March 31, 2018 to $1.7 million for the three months ended March 31, 2019.</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Provision for income taxes increased from $10.7 million for the three months ended March 31, 2018 to $12.0 million for the three months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2019. The Company’s effective tax rate for the three months ended March 31, 2019 was 12% which is consistent with the three months ended March 31,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2018. The Company’s effective tax rate remains principally a function of the distribution of pre-tax profits amongst the territories in which it operates.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or revenue recognized on contracts.</w:t>
      </w:r>
    </w:p>
    <w:p>
      <w:pPr>
        <w:sectPr>
          <w:pgSz w:w="11900" w:h="16838" w:orient="portrait"/>
          <w:cols w:equalWidth="0" w:num="1">
            <w:col w:w="11420"/>
          </w:cols>
          <w:pgMar w:left="240" w:top="746" w:right="239" w:bottom="4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746" w:right="239" w:bottom="46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Cash and cash equivalents and net borrowings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180" w:type="dxa"/>
            <w:vAlign w:val="bottom"/>
            <w:tcBorders>
              <w:top w:val="single" w:sz="8" w:color="auto"/>
            </w:tcBorders>
            <w:shd w:val="clear" w:color="auto" w:fill="CCEEFF"/>
          </w:tcPr>
          <w:p>
            <w:pPr>
              <w:spacing w:after="0"/>
              <w:rPr>
                <w:sz w:val="21"/>
                <w:szCs w:val="21"/>
                <w:color w:val="auto"/>
              </w:rPr>
            </w:pPr>
          </w:p>
        </w:tc>
        <w:tc>
          <w:tcPr>
            <w:tcW w:w="18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Balance</w:t>
            </w:r>
          </w:p>
        </w:tc>
        <w:tc>
          <w:tcPr>
            <w:tcW w:w="114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Drawn</w:t>
            </w:r>
          </w:p>
        </w:tc>
        <w:tc>
          <w:tcPr>
            <w:tcW w:w="12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Net cash</w:t>
            </w:r>
          </w:p>
        </w:tc>
        <w:tc>
          <w:tcPr>
            <w:tcW w:w="152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Other non-</w:t>
            </w:r>
          </w:p>
        </w:tc>
        <w:tc>
          <w:tcPr>
            <w:tcW w:w="13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Effect of</w:t>
            </w:r>
          </w:p>
        </w:tc>
        <w:tc>
          <w:tcPr>
            <w:tcW w:w="11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Balance</w:t>
            </w:r>
          </w:p>
        </w:tc>
      </w:tr>
      <w:tr>
        <w:trPr>
          <w:trHeight w:val="216"/>
        </w:trPr>
        <w:tc>
          <w:tcPr>
            <w:tcW w:w="3180" w:type="dxa"/>
            <w:vAlign w:val="bottom"/>
            <w:shd w:val="clear" w:color="auto" w:fill="CCEEFF"/>
          </w:tcPr>
          <w:p>
            <w:pPr>
              <w:spacing w:after="0"/>
              <w:rPr>
                <w:sz w:val="18"/>
                <w:szCs w:val="18"/>
                <w:color w:val="auto"/>
              </w:rPr>
            </w:pPr>
          </w:p>
        </w:tc>
        <w:tc>
          <w:tcPr>
            <w:tcW w:w="18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December</w:t>
            </w: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down/</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inflow/</w:t>
            </w:r>
          </w:p>
        </w:tc>
        <w:tc>
          <w:tcPr>
            <w:tcW w:w="152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cash</w:t>
            </w:r>
          </w:p>
        </w:tc>
        <w:tc>
          <w:tcPr>
            <w:tcW w:w="13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exchange</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March 31,</w:t>
            </w:r>
          </w:p>
        </w:tc>
      </w:tr>
      <w:tr>
        <w:trPr>
          <w:trHeight w:val="241"/>
        </w:trPr>
        <w:tc>
          <w:tcPr>
            <w:tcW w:w="318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31, 2018</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(repaid)</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(outflow)</w:t>
            </w:r>
          </w:p>
        </w:tc>
        <w:tc>
          <w:tcPr>
            <w:tcW w:w="1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adjustments</w:t>
            </w:r>
          </w:p>
        </w:tc>
        <w:tc>
          <w:tcPr>
            <w:tcW w:w="13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rates</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2019</w:t>
            </w:r>
          </w:p>
        </w:tc>
      </w:tr>
      <w:tr>
        <w:trPr>
          <w:trHeight w:val="243"/>
        </w:trPr>
        <w:tc>
          <w:tcPr>
            <w:tcW w:w="31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0" w:type="dxa"/>
            <w:vAlign w:val="bottom"/>
            <w:gridSpan w:val="2"/>
          </w:tcPr>
          <w:p>
            <w:pPr>
              <w:jc w:val="right"/>
              <w:ind w:right="690"/>
              <w:spacing w:after="0"/>
              <w:rPr>
                <w:sz w:val="20"/>
                <w:szCs w:val="20"/>
                <w:color w:val="auto"/>
              </w:rPr>
            </w:pPr>
            <w:r>
              <w:rPr>
                <w:rFonts w:ascii="Arial" w:cs="Arial" w:eastAsia="Arial" w:hAnsi="Arial"/>
                <w:sz w:val="18"/>
                <w:szCs w:val="18"/>
                <w:b w:val="1"/>
                <w:bCs w:val="1"/>
                <w:color w:val="auto"/>
              </w:rPr>
              <w:t>$ (in thousands)</w:t>
            </w:r>
          </w:p>
        </w:tc>
        <w:tc>
          <w:tcPr>
            <w:tcW w:w="13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8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395,851</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22,443</w:t>
            </w:r>
          </w:p>
        </w:tc>
        <w:tc>
          <w:tcPr>
            <w:tcW w:w="1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(656)</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417,638</w:t>
            </w:r>
          </w:p>
        </w:tc>
      </w:tr>
      <w:tr>
        <w:trPr>
          <w:trHeight w:val="243"/>
        </w:trPr>
        <w:tc>
          <w:tcPr>
            <w:tcW w:w="3180" w:type="dxa"/>
            <w:vAlign w:val="bottom"/>
          </w:tcPr>
          <w:p>
            <w:pPr>
              <w:ind w:left="280"/>
              <w:spacing w:after="0"/>
              <w:rPr>
                <w:sz w:val="20"/>
                <w:szCs w:val="20"/>
                <w:color w:val="auto"/>
              </w:rPr>
            </w:pPr>
            <w:r>
              <w:rPr>
                <w:rFonts w:ascii="Arial" w:cs="Arial" w:eastAsia="Arial" w:hAnsi="Arial"/>
                <w:sz w:val="18"/>
                <w:szCs w:val="18"/>
                <w:color w:val="auto"/>
              </w:rPr>
              <w:t>Available for sale investments</w:t>
            </w:r>
          </w:p>
        </w:tc>
        <w:tc>
          <w:tcPr>
            <w:tcW w:w="1840" w:type="dxa"/>
            <w:vAlign w:val="bottom"/>
          </w:tcPr>
          <w:p>
            <w:pPr>
              <w:jc w:val="right"/>
              <w:ind w:right="230"/>
              <w:spacing w:after="0"/>
              <w:rPr>
                <w:sz w:val="20"/>
                <w:szCs w:val="20"/>
                <w:color w:val="auto"/>
              </w:rPr>
            </w:pPr>
            <w:r>
              <w:rPr>
                <w:rFonts w:ascii="Arial" w:cs="Arial" w:eastAsia="Arial" w:hAnsi="Arial"/>
                <w:sz w:val="18"/>
                <w:szCs w:val="18"/>
                <w:b w:val="1"/>
                <w:bCs w:val="1"/>
                <w:color w:val="auto"/>
              </w:rPr>
              <w:t>59,910</w:t>
            </w:r>
          </w:p>
        </w:tc>
        <w:tc>
          <w:tcPr>
            <w:tcW w:w="114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rPr>
              <w:t>(158)</w:t>
            </w:r>
          </w:p>
        </w:tc>
        <w:tc>
          <w:tcPr>
            <w:tcW w:w="1520" w:type="dxa"/>
            <w:vAlign w:val="bottom"/>
          </w:tcPr>
          <w:p>
            <w:pPr>
              <w:jc w:val="right"/>
              <w:ind w:right="250"/>
              <w:spacing w:after="0"/>
              <w:rPr>
                <w:sz w:val="20"/>
                <w:szCs w:val="20"/>
                <w:color w:val="auto"/>
              </w:rPr>
            </w:pPr>
            <w:r>
              <w:rPr>
                <w:rFonts w:ascii="Arial" w:cs="Arial" w:eastAsia="Arial" w:hAnsi="Arial"/>
                <w:sz w:val="18"/>
                <w:szCs w:val="18"/>
                <w:b w:val="1"/>
                <w:bCs w:val="1"/>
                <w:color w:val="auto"/>
              </w:rPr>
              <w:t>547</w:t>
            </w:r>
          </w:p>
        </w:tc>
        <w:tc>
          <w:tcPr>
            <w:tcW w:w="132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60,299</w:t>
            </w:r>
          </w:p>
        </w:tc>
      </w:tr>
      <w:tr>
        <w:trPr>
          <w:trHeight w:val="27"/>
        </w:trPr>
        <w:tc>
          <w:tcPr>
            <w:tcW w:w="3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82"/>
        </w:trPr>
        <w:tc>
          <w:tcPr>
            <w:tcW w:w="3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Private placement notes</w:t>
            </w:r>
          </w:p>
        </w:tc>
        <w:tc>
          <w:tcPr>
            <w:tcW w:w="1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(349,264)</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(93)</w:t>
            </w:r>
          </w:p>
        </w:tc>
        <w:tc>
          <w:tcPr>
            <w:tcW w:w="13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(349,357)</w:t>
            </w:r>
          </w:p>
        </w:tc>
      </w:tr>
      <w:tr>
        <w:trPr>
          <w:trHeight w:val="297"/>
        </w:trPr>
        <w:tc>
          <w:tcPr>
            <w:tcW w:w="318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75"/>
        </w:trPr>
        <w:tc>
          <w:tcPr>
            <w:tcW w:w="3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106,497</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22,285</w:t>
            </w:r>
          </w:p>
        </w:tc>
        <w:tc>
          <w:tcPr>
            <w:tcW w:w="15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454</w:t>
            </w:r>
          </w:p>
        </w:tc>
        <w:tc>
          <w:tcPr>
            <w:tcW w:w="1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(656)</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128,580</w:t>
            </w:r>
          </w:p>
        </w:tc>
      </w:tr>
      <w:tr>
        <w:trPr>
          <w:trHeight w:val="20"/>
        </w:trPr>
        <w:tc>
          <w:tcPr>
            <w:tcW w:w="318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cash and short term investment balances at March 31, 2019 amounted to $477.9 million compared with cash and short term investment balances of $455.8 million at December 31, 2018. The Company’s cash and short term investment balances at March 31, 2019 comprised of cash and cash equivalents of $417.6 million and short-term investments of $60.3 million. The Company’s cash and short term investment balances at December 31, 2018 comprised of cash and cash equivalents of $395.9 million and short-term investments of $59.9 million.</w:t>
      </w:r>
    </w:p>
    <w:p>
      <w:pPr>
        <w:spacing w:after="0" w:line="2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15, 2015, ICON Investments Five Unlimited Company issued Senior Notes for aggregate gross proceeds of $350.0 million in a private placement. The Senior Notes will mature on December 15, 2020. Interest payable is fixed at 3.64%, and is payable semi-annually on the Senior Notes on each June 15 and December 15, commencing June 15, 2016. The Senior Notes are guaranteed by ICON plc.</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12, 2018, the Company entered into a five year committed multi-currency Revolving Credit Facility for $150.0 million with Citibank, JP Morgan, Santander, HSBC Bank and Morgan Stanley International (“Revolving Credit Facility”). Each bank subject to the agreement has committed $30.0 million to the facility, with equal terms and conditions in place with all institutions. The facility is guaranteed by ICON plc. The facility replaces the $100.0 million facility which was entered into in June 2014 due to mature in June 2019. The facility bears interest at LIBOR plus a margin. No amounts were drawn at March 31, 2019, or at December 31, 2018, in respect of the Revolving Credit Facility. Amounts available to the Group under the facility at March 31, 2019 and at December 31, 2018 were $150.0 million.</w:t>
      </w:r>
    </w:p>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Net cash provided by operating activities was $94.6 million million for the three months ended March 31, 2019 compared with cash provided by operating activities of $40.5 million for the three months ended March 31, 2018. This reflects the impact of the increase in revenues and underlying profitability of the Company offset by movements in working capital balances in the period. 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instalments based on the delivery of certain performance targets or “milestones” (e.g. target patient enrolment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delivery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March 31, 2019 was 72 days compared with 67 days at December 31, 2018. This reflects both extended credit terms provided to a number of key accounts and the timing of cash collections.</w:t>
      </w:r>
    </w:p>
    <w:p>
      <w:pPr>
        <w:spacing w:after="0" w:line="2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Net cash used in investing activities was $50.6 million for the three months ended March 31, 2019 compared to net cash used in investing activities of $13.9 million for the three months ended March 31, 2018. Net cash used in the three months ended March 31, 2019 was largely attributable to the acquisition of MolecularMD Corp. of $42.3 million. During the three months ended March 31, 2019, capital expenditure of $7.0 million was made mainly relating to investment in facilities and IT infrastructure. In addition, $2.0 million was used for the purchase of investments in equity. Net cash used in investing activities during the three months ended March 31, 2018 relates to capital expenditure of $8.3 million, which was mainly comprised of investment in facilities and IT infrastructure. During the three months ended March 31, 2018 $10.2 million was used for the purchase of short term investments, a final consideration payment of $1.6 million was made in respect of the purchase of Mapi and $6.3 million was generated by the sale of short term investments.</w:t>
      </w:r>
    </w:p>
    <w:p>
      <w:pPr>
        <w:spacing w:after="0" w:line="2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financing activities during the three months ended March 31, 2019 amounted to $21.6 million compared to net cash used in financing activities of $38.3 million for the three months ended March 31, 2018. Cash outflows in respect of financing includes cash payments in respect of the Company’s share repurchase program totaling $25.0 million during the three months ended March 31, 2019. In addition, $3.4 million was received by the Company from the exercise of share options. During the</w:t>
      </w:r>
    </w:p>
    <w:p>
      <w:pPr>
        <w:sectPr>
          <w:pgSz w:w="11900" w:h="16838" w:orient="portrait"/>
          <w:cols w:equalWidth="0" w:num="1">
            <w:col w:w="11420"/>
          </w:cols>
          <w:pgMar w:left="240" w:top="742"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742" w:right="239" w:bottom="1440" w:gutter="0" w:footer="0" w:header="0"/>
          <w:type w:val="continuous"/>
        </w:sectPr>
      </w:pPr>
    </w:p>
    <w:bookmarkStart w:id="25" w:name="page26"/>
    <w:bookmarkEnd w:id="25"/>
    <w:p>
      <w:pPr>
        <w:spacing w:after="0" w:line="277" w:lineRule="auto"/>
        <w:rPr>
          <w:sz w:val="20"/>
          <w:szCs w:val="20"/>
          <w:color w:val="auto"/>
        </w:rPr>
      </w:pPr>
      <w:r>
        <w:rPr>
          <w:rFonts w:ascii="Arial" w:cs="Arial" w:eastAsia="Arial" w:hAnsi="Arial"/>
          <w:sz w:val="18"/>
          <w:szCs w:val="18"/>
          <w:color w:val="auto"/>
        </w:rPr>
        <w:t>three months ended March 31, 2018, $38.2 million was recognized in relation to the Company's share repurchase program. In addition, $0.7 million was received by the Company from the exercise of share options.</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 result of these cash flows, cash and cash equivalents increased by $21.8 million for the three months ended March 31, 2019 compared to a decrease of $10.9 million for the three months ended March 31,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effects of inflation generally do not have a material adverse impact on our operations or financial condition.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746"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SIGNATURES</w:t>
      </w:r>
    </w:p>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8040"/>
        <w:spacing w:after="0"/>
        <w:rPr>
          <w:sz w:val="20"/>
          <w:szCs w:val="20"/>
          <w:color w:val="auto"/>
        </w:rPr>
      </w:pPr>
      <w:r>
        <w:rPr>
          <w:rFonts w:ascii="Arial" w:cs="Arial" w:eastAsia="Arial" w:hAnsi="Arial"/>
          <w:sz w:val="18"/>
          <w:szCs w:val="18"/>
          <w:u w:val="single" w:color="auto"/>
          <w:color w:val="auto"/>
        </w:rPr>
        <w:t>/s/Brendan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6841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57" w:lineRule="exact"/>
        <w:rPr>
          <w:sz w:val="20"/>
          <w:szCs w:val="20"/>
          <w:color w:val="auto"/>
        </w:rPr>
      </w:pPr>
    </w:p>
    <w:p>
      <w:pPr>
        <w:ind w:left="720" w:right="1720" w:hanging="7994"/>
        <w:spacing w:after="0" w:line="290" w:lineRule="auto"/>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3, 2019 Brendan Brennan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2019-12-20T11:43:12Z</dcterms:created>
  <dcterms:modified xsi:type="dcterms:W3CDTF">2019-12-20T11:43:12Z</dcterms:modified>
</cp:coreProperties>
</file>