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479425</wp:posOffset>
            </wp:positionV>
            <wp:extent cx="714946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984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584835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FORM 6-K</w:t>
      </w:r>
    </w:p>
    <w:p>
      <w:pPr>
        <w:spacing w:after="0" w:line="227"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21"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Washington, D.C. 20549</w:t>
      </w:r>
    </w:p>
    <w:p>
      <w:pPr>
        <w:spacing w:after="0" w:line="201" w:lineRule="exact"/>
        <w:rPr>
          <w:sz w:val="24"/>
          <w:szCs w:val="24"/>
          <w:color w:val="auto"/>
        </w:rPr>
      </w:pPr>
    </w:p>
    <w:p>
      <w:pPr>
        <w:jc w:val="center"/>
        <w:ind w:right="-379"/>
        <w:spacing w:after="0"/>
        <w:rPr>
          <w:sz w:val="20"/>
          <w:szCs w:val="20"/>
          <w:color w:val="auto"/>
        </w:rPr>
      </w:pPr>
      <w:r>
        <w:rPr>
          <w:rFonts w:ascii="Arial" w:cs="Arial" w:eastAsia="Arial" w:hAnsi="Arial"/>
          <w:sz w:val="19"/>
          <w:szCs w:val="19"/>
          <w:b w:val="1"/>
          <w:bCs w:val="1"/>
          <w:color w:val="auto"/>
        </w:rPr>
        <w:t>Report of Foreign Private Issuer</w:t>
      </w:r>
    </w:p>
    <w:p>
      <w:pPr>
        <w:spacing w:after="0" w:line="11" w:lineRule="exact"/>
        <w:rPr>
          <w:sz w:val="24"/>
          <w:szCs w:val="24"/>
          <w:color w:val="auto"/>
        </w:rPr>
      </w:pPr>
    </w:p>
    <w:p>
      <w:pPr>
        <w:jc w:val="center"/>
        <w:ind w:right="-379"/>
        <w:spacing w:after="0"/>
        <w:rPr>
          <w:sz w:val="20"/>
          <w:szCs w:val="20"/>
          <w:color w:val="auto"/>
        </w:rPr>
      </w:pPr>
      <w:r>
        <w:rPr>
          <w:rFonts w:ascii="Arial" w:cs="Arial" w:eastAsia="Arial" w:hAnsi="Arial"/>
          <w:sz w:val="19"/>
          <w:szCs w:val="19"/>
          <w:b w:val="1"/>
          <w:bCs w:val="1"/>
          <w:color w:val="auto"/>
        </w:rPr>
        <w:t>Pursuant to Rule 13a-16 under</w:t>
      </w:r>
    </w:p>
    <w:p>
      <w:pPr>
        <w:jc w:val="center"/>
        <w:ind w:right="-379"/>
        <w:spacing w:after="0"/>
        <w:rPr>
          <w:sz w:val="20"/>
          <w:szCs w:val="20"/>
          <w:color w:val="auto"/>
        </w:rPr>
      </w:pPr>
      <w:r>
        <w:rPr>
          <w:rFonts w:ascii="Arial" w:cs="Arial" w:eastAsia="Arial" w:hAnsi="Arial"/>
          <w:sz w:val="19"/>
          <w:szCs w:val="19"/>
          <w:b w:val="1"/>
          <w:bCs w:val="1"/>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For the month ended May, 2021</w:t>
      </w:r>
    </w:p>
    <w:p>
      <w:pPr>
        <w:spacing w:after="0" w:line="188" w:lineRule="exact"/>
        <w:rPr>
          <w:sz w:val="24"/>
          <w:szCs w:val="24"/>
          <w:color w:val="auto"/>
        </w:rPr>
      </w:pPr>
    </w:p>
    <w:p>
      <w:pPr>
        <w:jc w:val="center"/>
        <w:ind w:right="-379"/>
        <w:spacing w:after="0"/>
        <w:rPr>
          <w:sz w:val="20"/>
          <w:szCs w:val="20"/>
          <w:color w:val="auto"/>
        </w:rPr>
      </w:pPr>
      <w:r>
        <w:rPr>
          <w:rFonts w:ascii="Arial" w:cs="Arial" w:eastAsia="Arial" w:hAnsi="Arial"/>
          <w:sz w:val="38"/>
          <w:szCs w:val="38"/>
          <w:b w:val="1"/>
          <w:bCs w:val="1"/>
          <w:color w:val="auto"/>
        </w:rPr>
        <w:t>ICON plc</w:t>
      </w:r>
    </w:p>
    <w:p>
      <w:pPr>
        <w:spacing w:after="0" w:line="36"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(Registrant's name)</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79"/>
        <w:spacing w:after="0"/>
        <w:rPr>
          <w:sz w:val="20"/>
          <w:szCs w:val="20"/>
          <w:color w:val="auto"/>
        </w:rPr>
      </w:pPr>
      <w:r>
        <w:rPr>
          <w:rFonts w:ascii="Arial" w:cs="Arial" w:eastAsia="Arial" w:hAnsi="Arial"/>
          <w:sz w:val="19"/>
          <w:szCs w:val="19"/>
          <w:b w:val="1"/>
          <w:bCs w:val="1"/>
          <w:color w:val="auto"/>
        </w:rPr>
        <w:t>333-08704</w:t>
      </w:r>
    </w:p>
    <w:p>
      <w:pPr>
        <w:spacing w:after="0" w:line="16"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(Commission file number)</w:t>
      </w:r>
    </w:p>
    <w:p>
      <w:pPr>
        <w:spacing w:after="0" w:line="200" w:lineRule="exact"/>
        <w:rPr>
          <w:sz w:val="24"/>
          <w:szCs w:val="24"/>
          <w:color w:val="auto"/>
        </w:rPr>
      </w:pPr>
    </w:p>
    <w:p>
      <w:pPr>
        <w:spacing w:after="0" w:line="204"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South County Business Park, Leopardstown, Dublin 18, Ireland</w:t>
      </w:r>
    </w:p>
    <w:p>
      <w:pPr>
        <w:spacing w:after="0" w:line="10"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Brendan Brennan, CFOSouth County Business Park, Leopardstown, Dublin 18, Ireland.</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Brendan.Brennan@iconplc.com</w:t>
      </w:r>
    </w:p>
    <w:p>
      <w:pPr>
        <w:jc w:val="center"/>
        <w:ind w:right="-379"/>
        <w:spacing w:after="0" w:line="233" w:lineRule="auto"/>
        <w:rPr>
          <w:sz w:val="20"/>
          <w:szCs w:val="20"/>
          <w:color w:val="auto"/>
        </w:rPr>
      </w:pPr>
      <w:r>
        <w:rPr>
          <w:rFonts w:ascii="Arial" w:cs="Arial" w:eastAsia="Arial" w:hAnsi="Arial"/>
          <w:sz w:val="19"/>
          <w:szCs w:val="19"/>
          <w:color w:val="auto"/>
        </w:rPr>
        <w:t>00-353-1-291-2000</w:t>
      </w:r>
    </w:p>
    <w:p>
      <w:pPr>
        <w:spacing w:after="0" w:line="1" w:lineRule="exact"/>
        <w:rPr>
          <w:sz w:val="24"/>
          <w:szCs w:val="24"/>
          <w:color w:val="auto"/>
        </w:rPr>
      </w:pPr>
    </w:p>
    <w:p>
      <w:pPr>
        <w:jc w:val="center"/>
        <w:ind w:right="-379"/>
        <w:spacing w:after="0"/>
        <w:rPr>
          <w:sz w:val="20"/>
          <w:szCs w:val="20"/>
          <w:color w:val="auto"/>
        </w:rPr>
      </w:pPr>
      <w:r>
        <w:rPr>
          <w:rFonts w:ascii="Arial" w:cs="Arial" w:eastAsia="Arial" w:hAnsi="Arial"/>
          <w:sz w:val="19"/>
          <w:szCs w:val="19"/>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6"/>
          <w:szCs w:val="16"/>
          <w:color w:val="auto"/>
        </w:rPr>
        <w:t>Form 20-F 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4"/>
          <w:szCs w:val="14"/>
          <w:color w:val="auto"/>
        </w:rPr>
        <w:t>Form 40-F ______</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1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4"/>
          <w:szCs w:val="14"/>
          <w:color w:val="auto"/>
        </w:rPr>
        <w:t>No___</w:t>
      </w:r>
      <w:r>
        <w:rPr>
          <w:rFonts w:ascii="Arial" w:cs="Arial" w:eastAsia="Arial" w:hAnsi="Arial"/>
          <w:sz w:val="14"/>
          <w:szCs w:val="14"/>
          <w:b w:val="1"/>
          <w:bCs w:val="1"/>
          <w:color w:val="auto"/>
        </w:rPr>
        <w:t>X</w:t>
      </w:r>
      <w:r>
        <w:rPr>
          <w:rFonts w:ascii="Arial" w:cs="Arial" w:eastAsia="Arial" w:hAnsi="Arial"/>
          <w:sz w:val="14"/>
          <w:szCs w:val="14"/>
          <w:color w:val="auto"/>
        </w:rPr>
        <w:t>___</w:t>
      </w:r>
    </w:p>
    <w:p>
      <w:pPr>
        <w:spacing w:after="0" w:line="1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1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4"/>
          <w:szCs w:val="14"/>
          <w:color w:val="auto"/>
        </w:rPr>
        <w:t>No___</w:t>
      </w:r>
      <w:r>
        <w:rPr>
          <w:rFonts w:ascii="Arial" w:cs="Arial" w:eastAsia="Arial" w:hAnsi="Arial"/>
          <w:sz w:val="14"/>
          <w:szCs w:val="14"/>
          <w:b w:val="1"/>
          <w:bCs w:val="1"/>
          <w:color w:val="auto"/>
        </w:rPr>
        <w:t>X</w:t>
      </w:r>
      <w:r>
        <w:rPr>
          <w:rFonts w:ascii="Arial" w:cs="Arial" w:eastAsia="Arial" w:hAnsi="Arial"/>
          <w:sz w:val="14"/>
          <w:szCs w:val="14"/>
          <w:color w:val="auto"/>
        </w:rPr>
        <w:t>___</w:t>
      </w:r>
    </w:p>
    <w:p>
      <w:pPr>
        <w:spacing w:after="0" w:line="183" w:lineRule="exact"/>
        <w:rPr>
          <w:sz w:val="24"/>
          <w:szCs w:val="24"/>
          <w:color w:val="auto"/>
        </w:rPr>
      </w:pPr>
    </w:p>
    <w:p>
      <w:pPr>
        <w:spacing w:after="0" w:line="254"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Rule12g3-2(b) under the Securities Exchange Act of 1934.</w:t>
      </w:r>
    </w:p>
    <w:p>
      <w:pPr>
        <w:ind w:left="4500"/>
        <w:spacing w:after="0"/>
        <w:tabs>
          <w:tab w:leader="none" w:pos="64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4"/>
          <w:szCs w:val="14"/>
          <w:color w:val="auto"/>
        </w:rPr>
        <w:t>No___</w:t>
      </w:r>
      <w:r>
        <w:rPr>
          <w:rFonts w:ascii="Arial" w:cs="Arial" w:eastAsia="Arial" w:hAnsi="Arial"/>
          <w:sz w:val="14"/>
          <w:szCs w:val="14"/>
          <w:b w:val="1"/>
          <w:bCs w:val="1"/>
          <w:color w:val="auto"/>
        </w:rPr>
        <w:t>X</w:t>
      </w:r>
      <w:r>
        <w:rPr>
          <w:rFonts w:ascii="Arial" w:cs="Arial" w:eastAsia="Arial" w:hAnsi="Arial"/>
          <w:sz w:val="14"/>
          <w:szCs w:val="14"/>
          <w:color w:val="auto"/>
        </w:rPr>
        <w:t>___</w:t>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73660</wp:posOffset>
            </wp:positionV>
            <wp:extent cx="7149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156210</wp:posOffset>
            </wp:positionV>
            <wp:extent cx="714946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284480</wp:posOffset>
            </wp:positionV>
            <wp:extent cx="71494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0880"/>
          </w:cols>
          <w:pgMar w:left="320" w:top="990" w:right="699" w:bottom="1440" w:gutter="0" w:footer="0" w:header="0"/>
        </w:sectPr>
      </w:pPr>
    </w:p>
    <w:bookmarkStart w:id="1" w:name="page2"/>
    <w:bookmarkEnd w:id="1"/>
    <w:p>
      <w:pPr>
        <w:ind w:left="40"/>
        <w:spacing w:after="0"/>
        <w:rPr>
          <w:sz w:val="20"/>
          <w:szCs w:val="20"/>
          <w:color w:val="auto"/>
        </w:rPr>
      </w:pPr>
      <w:r>
        <w:rPr>
          <w:rFonts w:ascii="Arial" w:cs="Arial" w:eastAsia="Arial" w:hAnsi="Arial"/>
          <w:sz w:val="19"/>
          <w:szCs w:val="19"/>
          <w:b w:val="1"/>
          <w:bCs w:val="1"/>
          <w:color w:val="auto"/>
        </w:rPr>
        <w:t>ICON plc</w:t>
      </w:r>
    </w:p>
    <w:p>
      <w:pPr>
        <w:spacing w:after="0" w:line="213" w:lineRule="exact"/>
        <w:rPr>
          <w:sz w:val="20"/>
          <w:szCs w:val="20"/>
          <w:color w:val="auto"/>
        </w:rPr>
      </w:pPr>
    </w:p>
    <w:p>
      <w:pPr>
        <w:ind w:firstLine="186"/>
        <w:spacing w:after="0" w:line="239" w:lineRule="auto"/>
        <w:rPr>
          <w:sz w:val="20"/>
          <w:szCs w:val="20"/>
          <w:color w:val="auto"/>
        </w:rPr>
      </w:pPr>
      <w:r>
        <w:rPr>
          <w:rFonts w:ascii="Arial" w:cs="Arial" w:eastAsia="Arial" w:hAnsi="Arial"/>
          <w:sz w:val="19"/>
          <w:szCs w:val="19"/>
          <w:color w:val="auto"/>
        </w:rPr>
        <w:t>This report on Form 6-K is hereby incorporated by reference in the registration statement on Form F-3 (Registration No. 333-133371) of ICON plc and in the prospectus contained therein and in the registration statement on Form F-4 (Registration No. 333-254891) of ICON plc and in the prospectus contained therein,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89" w:lineRule="exact"/>
        <w:rPr>
          <w:sz w:val="20"/>
          <w:szCs w:val="20"/>
          <w:color w:val="auto"/>
        </w:rPr>
      </w:pPr>
    </w:p>
    <w:p>
      <w:pPr>
        <w:ind w:right="40" w:firstLine="568"/>
        <w:spacing w:after="0" w:line="256" w:lineRule="auto"/>
        <w:rPr>
          <w:sz w:val="20"/>
          <w:szCs w:val="20"/>
          <w:color w:val="auto"/>
        </w:rPr>
      </w:pPr>
      <w:r>
        <w:rPr>
          <w:rFonts w:ascii="Arial" w:cs="Arial" w:eastAsia="Arial" w:hAnsi="Arial"/>
          <w:sz w:val="18"/>
          <w:szCs w:val="18"/>
          <w:color w:val="auto"/>
        </w:rPr>
        <w:t>As previously disclosed, on February 24, 2021, ICON plc, a public limited company in Ireland (“ICON”), ICON US Holdings Inc., a Delaware corporation and subsidiary of ICON (“US HoldCo”), and Indigo Merger Sub, Inc., a Delaware corporation and subsidiary of ICON and US HoldCo (“Merger Subsidiary”) entered into an Agreement and Plan of Merger (the “Merger Agreement”) with PRA Health Sciences, Inc., a Delaware corporation (“PRA”). Upon the terms and subject to the conditions of the Merger Agreement, Merger Subsidiary will merge with and into PRA (the “Merger”), with PRA surviving as a subsidiary of ICON and US HoldCo.</w:t>
      </w:r>
    </w:p>
    <w:p>
      <w:pPr>
        <w:spacing w:after="0" w:line="173" w:lineRule="exact"/>
        <w:rPr>
          <w:sz w:val="20"/>
          <w:szCs w:val="20"/>
          <w:color w:val="auto"/>
        </w:rPr>
      </w:pPr>
    </w:p>
    <w:p>
      <w:pPr>
        <w:ind w:right="420" w:firstLine="568"/>
        <w:spacing w:after="0" w:line="258" w:lineRule="auto"/>
        <w:rPr>
          <w:sz w:val="20"/>
          <w:szCs w:val="20"/>
          <w:color w:val="auto"/>
        </w:rPr>
      </w:pPr>
      <w:r>
        <w:rPr>
          <w:rFonts w:ascii="Arial" w:cs="Arial" w:eastAsia="Arial" w:hAnsi="Arial"/>
          <w:sz w:val="19"/>
          <w:szCs w:val="19"/>
          <w:color w:val="auto"/>
        </w:rPr>
        <w:t>The completion of the Merger is conditioned upon, among other things, the clearance of the Merger having been granted by the Federal Antimonopoly Service of Russia (the “FAS”), relating to the consummation of the Merger.</w:t>
      </w:r>
    </w:p>
    <w:p>
      <w:pPr>
        <w:spacing w:after="0" w:line="169" w:lineRule="exact"/>
        <w:rPr>
          <w:sz w:val="20"/>
          <w:szCs w:val="20"/>
          <w:color w:val="auto"/>
        </w:rPr>
      </w:pPr>
    </w:p>
    <w:p>
      <w:pPr>
        <w:ind w:right="80" w:firstLine="568"/>
        <w:spacing w:after="0" w:line="258" w:lineRule="auto"/>
        <w:rPr>
          <w:sz w:val="20"/>
          <w:szCs w:val="20"/>
          <w:color w:val="auto"/>
        </w:rPr>
      </w:pPr>
      <w:r>
        <w:rPr>
          <w:rFonts w:ascii="Arial" w:cs="Arial" w:eastAsia="Arial" w:hAnsi="Arial"/>
          <w:sz w:val="19"/>
          <w:szCs w:val="19"/>
          <w:color w:val="auto"/>
        </w:rPr>
        <w:t>On May 13, 2021, the FAS granted clearance of the Merger. We have now obtained all required antitrust approvals necessary for the closing of the transaction.</w:t>
      </w:r>
    </w:p>
    <w:p>
      <w:pPr>
        <w:spacing w:after="0" w:line="169" w:lineRule="exact"/>
        <w:rPr>
          <w:sz w:val="20"/>
          <w:szCs w:val="20"/>
          <w:color w:val="auto"/>
        </w:rPr>
      </w:pPr>
    </w:p>
    <w:p>
      <w:pPr>
        <w:ind w:right="140" w:firstLine="568"/>
        <w:spacing w:after="0" w:line="245" w:lineRule="auto"/>
        <w:rPr>
          <w:sz w:val="20"/>
          <w:szCs w:val="20"/>
          <w:color w:val="auto"/>
        </w:rPr>
      </w:pPr>
      <w:r>
        <w:rPr>
          <w:rFonts w:ascii="Arial" w:cs="Arial" w:eastAsia="Arial" w:hAnsi="Arial"/>
          <w:sz w:val="19"/>
          <w:szCs w:val="19"/>
          <w:color w:val="auto"/>
        </w:rPr>
        <w:t>The completion of the Merger remains subject to other customary closing conditions, including the adoption of the Merger Agreement by PRA’s stockholders and the approval by ICON’s shareholders of the issuance of ICON ordinary shares in the Merger and foreign direct investment approval in Austria and France. ICON expects the merger to close on July 1, 2021.</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Note Regarding Forward-Looking Statements</w:t>
      </w:r>
    </w:p>
    <w:p>
      <w:pPr>
        <w:spacing w:after="0" w:line="213" w:lineRule="exact"/>
        <w:rPr>
          <w:sz w:val="20"/>
          <w:szCs w:val="20"/>
          <w:color w:val="auto"/>
        </w:rPr>
      </w:pPr>
    </w:p>
    <w:p>
      <w:pPr>
        <w:ind w:right="40" w:firstLine="568"/>
        <w:spacing w:after="0" w:line="264"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and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82550</wp:posOffset>
            </wp:positionV>
            <wp:extent cx="714946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ind w:right="20"/>
        <w:spacing w:after="0" w:line="268" w:lineRule="auto"/>
        <w:rPr>
          <w:sz w:val="20"/>
          <w:szCs w:val="20"/>
          <w:color w:val="auto"/>
        </w:rPr>
      </w:pPr>
      <w:r>
        <w:rPr>
          <w:rFonts w:ascii="Arial" w:cs="Arial" w:eastAsia="Arial" w:hAnsi="Arial"/>
          <w:sz w:val="17"/>
          <w:szCs w:val="17"/>
          <w:color w:val="auto"/>
        </w:rPr>
        <w:t>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Offer or Solicitation</w:t>
      </w:r>
    </w:p>
    <w:p>
      <w:pPr>
        <w:spacing w:after="0" w:line="213" w:lineRule="exact"/>
        <w:rPr>
          <w:sz w:val="20"/>
          <w:szCs w:val="20"/>
          <w:color w:val="auto"/>
        </w:rPr>
      </w:pPr>
    </w:p>
    <w:p>
      <w:pPr>
        <w:ind w:right="40" w:firstLine="568"/>
        <w:spacing w:after="0" w:line="241"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Important Information for Investors and Stockholders</w:t>
      </w:r>
    </w:p>
    <w:p>
      <w:pPr>
        <w:spacing w:after="0" w:line="213" w:lineRule="exact"/>
        <w:rPr>
          <w:sz w:val="20"/>
          <w:szCs w:val="20"/>
          <w:color w:val="auto"/>
        </w:rPr>
      </w:pPr>
    </w:p>
    <w:p>
      <w:pPr>
        <w:ind w:right="160" w:firstLine="568"/>
        <w:spacing w:after="0" w:line="264" w:lineRule="auto"/>
        <w:rPr>
          <w:sz w:val="20"/>
          <w:szCs w:val="20"/>
          <w:color w:val="auto"/>
        </w:rPr>
      </w:pPr>
      <w:r>
        <w:rPr>
          <w:rFonts w:ascii="Arial" w:cs="Arial" w:eastAsia="Arial" w:hAnsi="Arial"/>
          <w:sz w:val="17"/>
          <w:szCs w:val="17"/>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w:t>
      </w:r>
    </w:p>
    <w:p>
      <w:pPr>
        <w:spacing w:after="0" w:line="3"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color w:val="auto"/>
        </w:rPr>
        <w:t>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64" w:lineRule="exact"/>
        <w:rPr>
          <w:sz w:val="20"/>
          <w:szCs w:val="20"/>
          <w:color w:val="auto"/>
        </w:rPr>
      </w:pPr>
    </w:p>
    <w:p>
      <w:pPr>
        <w:jc w:val="both"/>
        <w:ind w:right="340"/>
        <w:spacing w:after="0" w:line="245"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90170</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auto"/>
        </w:rPr>
        <w:t>SIGNATURES</w:t>
      </w:r>
    </w:p>
    <w:p>
      <w:pPr>
        <w:spacing w:after="0" w:line="213" w:lineRule="exact"/>
        <w:rPr>
          <w:sz w:val="20"/>
          <w:szCs w:val="20"/>
          <w:color w:val="auto"/>
        </w:rPr>
      </w:pPr>
    </w:p>
    <w:p>
      <w:pPr>
        <w:ind w:right="400"/>
        <w:spacing w:after="0" w:line="25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6"/>
                <w:szCs w:val="16"/>
                <w:b w:val="1"/>
                <w:bCs w:val="1"/>
                <w:color w:val="auto"/>
              </w:rPr>
              <w:t>ICON plc</w:t>
            </w:r>
          </w:p>
        </w:tc>
      </w:tr>
      <w:tr>
        <w:trPr>
          <w:trHeight w:val="762"/>
        </w:trPr>
        <w:tc>
          <w:tcPr>
            <w:tcW w:w="56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Brendan Brennan</w:t>
            </w:r>
          </w:p>
        </w:tc>
      </w:tr>
      <w:tr>
        <w:trPr>
          <w:trHeight w:val="200"/>
        </w:trPr>
        <w:tc>
          <w:tcPr>
            <w:tcW w:w="5640" w:type="dxa"/>
            <w:vAlign w:val="bottom"/>
          </w:tcPr>
          <w:p>
            <w:pPr>
              <w:spacing w:after="0" w:line="176" w:lineRule="exact"/>
              <w:rPr>
                <w:sz w:val="20"/>
                <w:szCs w:val="20"/>
                <w:color w:val="auto"/>
              </w:rPr>
            </w:pPr>
            <w:r>
              <w:rPr>
                <w:rFonts w:ascii="Arial" w:cs="Arial" w:eastAsia="Arial" w:hAnsi="Arial"/>
                <w:sz w:val="16"/>
                <w:szCs w:val="16"/>
                <w:color w:val="auto"/>
              </w:rPr>
              <w:t>Date: May 17, 2021</w:t>
            </w:r>
          </w:p>
        </w:tc>
        <w:tc>
          <w:tcPr>
            <w:tcW w:w="5620" w:type="dxa"/>
            <w:vAlign w:val="bottom"/>
          </w:tcPr>
          <w:p>
            <w:pPr>
              <w:spacing w:after="0"/>
              <w:rPr>
                <w:sz w:val="20"/>
                <w:szCs w:val="20"/>
                <w:color w:val="auto"/>
              </w:rPr>
            </w:pPr>
            <w:r>
              <w:rPr>
                <w:rFonts w:ascii="Arial" w:cs="Arial" w:eastAsia="Arial" w:hAnsi="Arial"/>
                <w:sz w:val="16"/>
                <w:szCs w:val="16"/>
                <w:color w:val="auto"/>
              </w:rPr>
              <w:t>Brendan Brennan</w:t>
            </w:r>
          </w:p>
        </w:tc>
      </w:tr>
      <w:tr>
        <w:trPr>
          <w:trHeight w:val="366"/>
        </w:trPr>
        <w:tc>
          <w:tcPr>
            <w:tcW w:w="56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100"/>
        </w:trPr>
        <w:tc>
          <w:tcPr>
            <w:tcW w:w="5640" w:type="dxa"/>
            <w:vAlign w:val="bottom"/>
            <w:tcBorders>
              <w:bottom w:val="single" w:sz="8" w:color="auto"/>
            </w:tcBorders>
          </w:tcPr>
          <w:p>
            <w:pPr>
              <w:spacing w:after="0"/>
              <w:rPr>
                <w:sz w:val="8"/>
                <w:szCs w:val="8"/>
                <w:color w:val="auto"/>
              </w:rPr>
            </w:pPr>
          </w:p>
        </w:tc>
        <w:tc>
          <w:tcPr>
            <w:tcW w:w="562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60"/>
      </w:cols>
      <w:pgMar w:left="320" w:top="3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2021-05-17T07:32:56Z</dcterms:created>
  <dcterms:modified xsi:type="dcterms:W3CDTF">2021-05-17T07:32:56Z</dcterms:modified>
</cp:coreProperties>
</file>