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9)*</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ICON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Common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G4705A100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December 31, 2023</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456" w:lineRule="auto"/>
        <w:tabs>
          <w:tab w:leader="none" w:pos="106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[_] Rule 13d-1(c)</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[_] Rule 13d-1(d)</w:t>
      </w:r>
    </w:p>
    <w:p>
      <w:pPr>
        <w:spacing w:after="0" w:line="20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7"/>
        </w:trPr>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80" w:type="dxa"/>
            <w:vAlign w:val="bottom"/>
          </w:tcPr>
          <w:p>
            <w:pPr>
              <w:jc w:val="center"/>
              <w:ind w:right="3632"/>
              <w:spacing w:after="0"/>
              <w:rPr>
                <w:sz w:val="20"/>
                <w:szCs w:val="20"/>
                <w:color w:val="auto"/>
              </w:rPr>
            </w:pPr>
            <w:r>
              <w:rPr>
                <w:rFonts w:ascii="Times New Roman" w:cs="Times New Roman" w:eastAsia="Times New Roman" w:hAnsi="Times New Roman"/>
                <w:sz w:val="22"/>
                <w:szCs w:val="22"/>
                <w:b w:val="1"/>
                <w:bCs w:val="1"/>
                <w:color w:val="auto"/>
                <w:w w:val="97"/>
              </w:rPr>
              <w:t>SCHEDULE 13G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2400" w:type="dxa"/>
            <w:vAlign w:val="bottom"/>
            <w:tcBorders>
              <w:top w:val="single" w:sz="8" w:color="auto"/>
              <w:right w:val="single" w:sz="8" w:color="auto"/>
            </w:tcBorders>
            <w:gridSpan w:val="6"/>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G4705A100</w:t>
            </w:r>
          </w:p>
        </w:tc>
        <w:tc>
          <w:tcPr>
            <w:tcW w:w="7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36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74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60" w:type="dxa"/>
            <w:vAlign w:val="bottom"/>
            <w:tcBorders>
              <w:bottom w:val="single" w:sz="8" w:color="auto"/>
            </w:tcBorders>
            <w:gridSpan w:val="5"/>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WCM Investment Management,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5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 ]</w:t>
            </w:r>
          </w:p>
        </w:tc>
        <w:tc>
          <w:tcPr>
            <w:tcW w:w="74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580" w:type="dxa"/>
            <w:vAlign w:val="bottom"/>
            <w:tcBorders>
              <w:bottom w:val="single" w:sz="8" w:color="auto"/>
            </w:tcBorders>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 ]</w:t>
            </w:r>
          </w:p>
        </w:tc>
        <w:tc>
          <w:tcPr>
            <w:tcW w:w="748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right w:val="single" w:sz="8" w:color="auto"/>
            </w:tcBorders>
          </w:tcPr>
          <w:p>
            <w:pPr>
              <w:spacing w:after="0"/>
              <w:rPr>
                <w:sz w:val="20"/>
                <w:szCs w:val="20"/>
                <w:color w:val="auto"/>
              </w:rPr>
            </w:pPr>
          </w:p>
        </w:tc>
        <w:tc>
          <w:tcPr>
            <w:tcW w:w="8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tcBorders>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6,869,881</w:t>
            </w: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Borders>
              <w:lef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16"/>
                <w:szCs w:val="16"/>
                <w:color w:val="auto"/>
              </w:rPr>
            </w:pPr>
          </w:p>
        </w:tc>
        <w:tc>
          <w:tcPr>
            <w:tcW w:w="8960" w:type="dxa"/>
            <w:vAlign w:val="bottom"/>
            <w:tcBorders>
              <w:right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74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48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580" w:type="dxa"/>
            <w:vAlign w:val="bottom"/>
            <w:tcBorders>
              <w:left w:val="single" w:sz="8" w:color="auto"/>
            </w:tcBorders>
            <w:gridSpan w:val="3"/>
          </w:tcPr>
          <w:p>
            <w:pPr>
              <w:jc w:val="center"/>
              <w:ind w:lef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right w:val="single" w:sz="8" w:color="auto"/>
            </w:tcBorders>
          </w:tcPr>
          <w:p>
            <w:pPr>
              <w:spacing w:after="0"/>
              <w:rPr>
                <w:sz w:val="15"/>
                <w:szCs w:val="15"/>
                <w:color w:val="auto"/>
              </w:rPr>
            </w:pPr>
          </w:p>
        </w:tc>
        <w:tc>
          <w:tcPr>
            <w:tcW w:w="46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88"/>
              </w:rPr>
              <w:t>7</w:t>
            </w:r>
          </w:p>
        </w:tc>
        <w:tc>
          <w:tcPr>
            <w:tcW w:w="100" w:type="dxa"/>
            <w:vAlign w:val="bottom"/>
            <w:tcBorders>
              <w:right w:val="single" w:sz="8" w:color="auto"/>
            </w:tcBorders>
          </w:tcPr>
          <w:p>
            <w:pPr>
              <w:spacing w:after="0"/>
              <w:rPr>
                <w:sz w:val="15"/>
                <w:szCs w:val="15"/>
                <w:color w:val="auto"/>
              </w:rPr>
            </w:pPr>
          </w:p>
        </w:tc>
        <w:tc>
          <w:tcPr>
            <w:tcW w:w="8960" w:type="dxa"/>
            <w:vAlign w:val="bottom"/>
            <w:tcBorders>
              <w:right w:val="single" w:sz="8" w:color="auto"/>
            </w:tcBorders>
            <w:gridSpan w:val="2"/>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74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36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6,869,881</w:t>
            </w:r>
          </w:p>
        </w:tc>
        <w:tc>
          <w:tcPr>
            <w:tcW w:w="748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100" w:type="dxa"/>
            <w:vAlign w:val="bottom"/>
            <w:tcBorders>
              <w:right w:val="single" w:sz="8" w:color="auto"/>
            </w:tcBorders>
          </w:tcPr>
          <w:p>
            <w:pPr>
              <w:spacing w:after="0"/>
              <w:rPr>
                <w:sz w:val="20"/>
                <w:szCs w:val="20"/>
                <w:color w:val="auto"/>
              </w:rPr>
            </w:pPr>
          </w:p>
        </w:tc>
        <w:tc>
          <w:tcPr>
            <w:tcW w:w="8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75"/>
              </w:rPr>
              <w:t>Aggregate</w:t>
            </w:r>
          </w:p>
        </w:tc>
        <w:tc>
          <w:tcPr>
            <w:tcW w:w="89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 Beneficially Owned by Each Reporting Person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6,869,881</w:t>
            </w: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IA</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4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8"/>
        </w:trPr>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80" w:type="dxa"/>
            <w:vAlign w:val="bottom"/>
          </w:tcPr>
          <w:p>
            <w:pPr>
              <w:jc w:val="center"/>
              <w:ind w:right="3632"/>
              <w:spacing w:after="0"/>
              <w:rPr>
                <w:sz w:val="20"/>
                <w:szCs w:val="20"/>
                <w:color w:val="auto"/>
              </w:rPr>
            </w:pPr>
            <w:r>
              <w:rPr>
                <w:rFonts w:ascii="Times New Roman" w:cs="Times New Roman" w:eastAsia="Times New Roman" w:hAnsi="Times New Roman"/>
                <w:sz w:val="22"/>
                <w:szCs w:val="22"/>
                <w:color w:val="auto"/>
                <w:w w:val="98"/>
              </w:rPr>
              <w:t>Page 2 of 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360" w:type="dxa"/>
            <w:vAlign w:val="bottom"/>
            <w:tcBorders>
              <w:left w:val="single" w:sz="8" w:color="auto"/>
            </w:tcBorders>
            <w:shd w:val="clear" w:color="auto" w:fill="000000"/>
          </w:tcPr>
          <w:p>
            <w:pPr>
              <w:spacing w:after="0"/>
              <w:rPr>
                <w:sz w:val="6"/>
                <w:szCs w:val="6"/>
                <w:color w:val="auto"/>
              </w:rPr>
            </w:pPr>
          </w:p>
        </w:tc>
        <w:tc>
          <w:tcPr>
            <w:tcW w:w="18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40" w:type="dxa"/>
            <w:vAlign w:val="bottom"/>
            <w:tcBorders>
              <w:right w:val="single" w:sz="8" w:color="auto"/>
            </w:tcBorders>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00" w:type="dxa"/>
            <w:vAlign w:val="bottom"/>
            <w:tcBorders>
              <w:right w:val="single" w:sz="8" w:color="auto"/>
            </w:tcBorders>
            <w:shd w:val="clear" w:color="auto" w:fill="000000"/>
          </w:tcPr>
          <w:p>
            <w:pPr>
              <w:spacing w:after="0"/>
              <w:rPr>
                <w:sz w:val="6"/>
                <w:szCs w:val="6"/>
                <w:color w:val="auto"/>
              </w:rPr>
            </w:pPr>
          </w:p>
        </w:tc>
        <w:tc>
          <w:tcPr>
            <w:tcW w:w="1480" w:type="dxa"/>
            <w:vAlign w:val="bottom"/>
            <w:tcBorders>
              <w:right w:val="single" w:sz="8" w:color="auto"/>
            </w:tcBorders>
            <w:shd w:val="clear" w:color="auto" w:fill="000000"/>
          </w:tcPr>
          <w:p>
            <w:pPr>
              <w:spacing w:after="0"/>
              <w:rPr>
                <w:sz w:val="6"/>
                <w:szCs w:val="6"/>
                <w:color w:val="auto"/>
              </w:rPr>
            </w:pPr>
          </w:p>
        </w:tc>
        <w:tc>
          <w:tcPr>
            <w:tcW w:w="748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07"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ICON PLC</w:t>
      </w:r>
    </w:p>
    <w:p>
      <w:pPr>
        <w:spacing w:after="0" w:line="206" w:lineRule="exact"/>
        <w:rPr>
          <w:rFonts w:ascii="Times New Roman" w:cs="Times New Roman" w:eastAsia="Times New Roman" w:hAnsi="Times New Roman"/>
          <w:sz w:val="22"/>
          <w:szCs w:val="22"/>
          <w:b w:val="1"/>
          <w:bCs w:val="1"/>
          <w:color w:val="auto"/>
        </w:rPr>
      </w:pPr>
    </w:p>
    <w:p>
      <w:pPr>
        <w:ind w:right="20" w:firstLine="8"/>
        <w:spacing w:after="0" w:line="262" w:lineRule="auto"/>
        <w:tabs>
          <w:tab w:leader="none" w:pos="67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 SOUTH COUNTY BUSINESS PARK, LEOPARDSTOWN DUBLIN 18 IRELAND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 WCM Investment Management, LLC</w:t>
      </w:r>
    </w:p>
    <w:p>
      <w:pPr>
        <w:spacing w:after="0" w:line="206" w:lineRule="exact"/>
        <w:rPr>
          <w:rFonts w:ascii="Times New Roman" w:cs="Times New Roman" w:eastAsia="Times New Roman" w:hAnsi="Times New Roman"/>
          <w:sz w:val="22"/>
          <w:szCs w:val="22"/>
          <w:b w:val="1"/>
          <w:bCs w:val="1"/>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 281 Brooks Street, Laguna Beach, California 92651</w:t>
      </w:r>
    </w:p>
    <w:p>
      <w:pPr>
        <w:spacing w:after="0" w:line="206" w:lineRule="exact"/>
        <w:rPr>
          <w:rFonts w:ascii="Times New Roman" w:cs="Times New Roman" w:eastAsia="Times New Roman" w:hAnsi="Times New Roman"/>
          <w:sz w:val="22"/>
          <w:szCs w:val="22"/>
          <w:b w:val="1"/>
          <w:bCs w:val="1"/>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   Delaware</w:t>
      </w:r>
    </w:p>
    <w:p>
      <w:pPr>
        <w:spacing w:after="0" w:line="206" w:lineRule="exact"/>
        <w:rPr>
          <w:rFonts w:ascii="Times New Roman" w:cs="Times New Roman" w:eastAsia="Times New Roman" w:hAnsi="Times New Roman"/>
          <w:sz w:val="22"/>
          <w:szCs w:val="22"/>
          <w:b w:val="1"/>
          <w:bCs w:val="1"/>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Title and Class of Securities: Common</w:t>
      </w:r>
    </w:p>
    <w:p>
      <w:pPr>
        <w:spacing w:after="0" w:line="206" w:lineRule="exact"/>
        <w:rPr>
          <w:rFonts w:ascii="Times New Roman" w:cs="Times New Roman" w:eastAsia="Times New Roman" w:hAnsi="Times New Roman"/>
          <w:sz w:val="22"/>
          <w:szCs w:val="22"/>
          <w:b w:val="1"/>
          <w:bCs w:val="1"/>
          <w:color w:val="auto"/>
        </w:rPr>
      </w:pPr>
    </w:p>
    <w:p>
      <w:pPr>
        <w:ind w:left="680" w:hanging="672"/>
        <w:spacing w:after="0"/>
        <w:tabs>
          <w:tab w:leader="none" w:pos="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CUSIP No.:    G4705A100</w:t>
      </w:r>
    </w:p>
    <w:p>
      <w:pPr>
        <w:spacing w:after="0" w:line="206" w:lineRule="exact"/>
        <w:rPr>
          <w:sz w:val="20"/>
          <w:szCs w:val="20"/>
          <w:color w:val="auto"/>
        </w:rPr>
      </w:pPr>
    </w:p>
    <w:p>
      <w:pPr>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3.</w:t>
        <w:tab/>
        <w:t>If this statement is filed pursuant to §§ 240.13d-1(b) or 240.13d-2(b) or (c), check whether the person filing is a:</w:t>
      </w:r>
    </w:p>
    <w:p>
      <w:pPr>
        <w:spacing w:after="0" w:line="154" w:lineRule="exact"/>
        <w:rPr>
          <w:sz w:val="20"/>
          <w:szCs w:val="20"/>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Broker or dealer registered under Section 15 of the Act;</w:t>
      </w:r>
    </w:p>
    <w:p>
      <w:pPr>
        <w:spacing w:after="0" w:line="20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Bank as defined in Section 3(a)(6) of the Act;</w:t>
      </w:r>
    </w:p>
    <w:p>
      <w:pPr>
        <w:spacing w:after="0" w:line="206"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Insurance company as defined in Section 3(a)(19) of the Act;</w:t>
      </w:r>
    </w:p>
    <w:p>
      <w:pPr>
        <w:spacing w:after="0" w:line="20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Investment company registered under Section 8 of the Investment Company Act of 1940;</w:t>
      </w:r>
    </w:p>
    <w:p>
      <w:pPr>
        <w:spacing w:after="0" w:line="206"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1"/>
          <w:szCs w:val="21"/>
          <w:color w:val="auto"/>
        </w:rPr>
        <w:t>An investment adviser in accordance with Rule 13d-1(b)(1)(ii)(E);</w:t>
      </w:r>
    </w:p>
    <w:p>
      <w:pPr>
        <w:spacing w:after="0" w:line="206"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An employee benefit plan or endowment fund in accordance with Rule 13d-1(b)(1)(ii)(F);</w:t>
      </w:r>
    </w:p>
    <w:p>
      <w:pPr>
        <w:spacing w:after="0" w:line="20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parent holding company or control person in accordance with Rule 13d-1(b)(1)(ii)(G);</w:t>
      </w:r>
    </w:p>
    <w:p>
      <w:pPr>
        <w:spacing w:after="0" w:line="20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6" w:lineRule="exact"/>
        <w:rPr>
          <w:rFonts w:ascii="Times New Roman" w:cs="Times New Roman" w:eastAsia="Times New Roman" w:hAnsi="Times New Roman"/>
          <w:sz w:val="22"/>
          <w:szCs w:val="22"/>
          <w:color w:val="auto"/>
        </w:rPr>
      </w:pPr>
    </w:p>
    <w:p>
      <w:pPr>
        <w:ind w:left="1960" w:hanging="1304"/>
        <w:spacing w:after="0" w:line="258" w:lineRule="auto"/>
        <w:tabs>
          <w:tab w:leader="none" w:pos="13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[_]A church plan that is excluded from the definition of an investment company under section 3(c)(14) of the Investment Company Act of 1940;</w:t>
      </w:r>
    </w:p>
    <w:p>
      <w:pPr>
        <w:spacing w:after="0" w:line="158"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non-U.S. institution in accordance with Rule 240.13d-1(b)(1)(ii)(J);</w:t>
      </w:r>
    </w:p>
    <w:p>
      <w:pPr>
        <w:spacing w:after="0" w:line="206" w:lineRule="exact"/>
        <w:rPr>
          <w:rFonts w:ascii="Times New Roman" w:cs="Times New Roman" w:eastAsia="Times New Roman" w:hAnsi="Times New Roman"/>
          <w:sz w:val="22"/>
          <w:szCs w:val="22"/>
          <w:color w:val="auto"/>
        </w:rPr>
      </w:pPr>
    </w:p>
    <w:p>
      <w:pPr>
        <w:ind w:left="1960" w:hanging="1304"/>
        <w:spacing w:after="0" w:line="258" w:lineRule="auto"/>
        <w:tabs>
          <w:tab w:leader="none" w:pos="13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[_]Group, in accordance with Rule 240.13d-1(b)(1)(ii)(K). If filing as a non-U.S. institution in accordance with Rule 240.13d-1(b)(1)(ii)(J), please specify the type of institution: ____</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ind w:left="700" w:hanging="692"/>
        <w:spacing w:after="0"/>
        <w:tabs>
          <w:tab w:leader="none" w:pos="7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Amount Beneficially Owned:  </w:t>
      </w:r>
      <w:r>
        <w:rPr>
          <w:rFonts w:ascii="Times New Roman" w:cs="Times New Roman" w:eastAsia="Times New Roman" w:hAnsi="Times New Roman"/>
          <w:sz w:val="22"/>
          <w:szCs w:val="22"/>
          <w:color w:val="auto"/>
        </w:rPr>
        <w:t>6,869,881</w:t>
      </w:r>
    </w:p>
    <w:p>
      <w:pPr>
        <w:spacing w:after="0" w:line="206" w:lineRule="exact"/>
        <w:rPr>
          <w:rFonts w:ascii="Times New Roman" w:cs="Times New Roman" w:eastAsia="Times New Roman" w:hAnsi="Times New Roman"/>
          <w:sz w:val="22"/>
          <w:szCs w:val="22"/>
          <w:b w:val="1"/>
          <w:bCs w:val="1"/>
          <w:color w:val="auto"/>
        </w:rPr>
      </w:pPr>
    </w:p>
    <w:p>
      <w:pPr>
        <w:ind w:left="700" w:hanging="692"/>
        <w:spacing w:after="0"/>
        <w:tabs>
          <w:tab w:leader="none" w:pos="7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Percent of Class: </w:t>
      </w:r>
      <w:r>
        <w:rPr>
          <w:rFonts w:ascii="Times New Roman" w:cs="Times New Roman" w:eastAsia="Times New Roman" w:hAnsi="Times New Roman"/>
          <w:sz w:val="22"/>
          <w:szCs w:val="22"/>
          <w:color w:val="auto"/>
        </w:rPr>
        <w:t>8.3%</w:t>
      </w:r>
    </w:p>
    <w:p>
      <w:pPr>
        <w:spacing w:after="0" w:line="206" w:lineRule="exact"/>
        <w:rPr>
          <w:rFonts w:ascii="Times New Roman" w:cs="Times New Roman" w:eastAsia="Times New Roman" w:hAnsi="Times New Roman"/>
          <w:sz w:val="22"/>
          <w:szCs w:val="22"/>
          <w:b w:val="1"/>
          <w:bCs w:val="1"/>
          <w:color w:val="auto"/>
        </w:rPr>
      </w:pPr>
    </w:p>
    <w:p>
      <w:pPr>
        <w:ind w:left="680" w:hanging="672"/>
        <w:spacing w:after="0"/>
        <w:tabs>
          <w:tab w:leader="none" w:pos="6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Number of shares as to which such person has:</w:t>
      </w:r>
    </w:p>
    <w:p>
      <w:pPr>
        <w:spacing w:after="0" w:line="206" w:lineRule="exact"/>
        <w:rPr>
          <w:rFonts w:ascii="Times New Roman" w:cs="Times New Roman" w:eastAsia="Times New Roman" w:hAnsi="Times New Roman"/>
          <w:sz w:val="22"/>
          <w:szCs w:val="22"/>
          <w:b w:val="1"/>
          <w:bCs w:val="1"/>
          <w:color w:val="auto"/>
        </w:rPr>
      </w:pPr>
    </w:p>
    <w:p>
      <w:pPr>
        <w:ind w:left="1660" w:hanging="1004"/>
        <w:spacing w:after="0"/>
        <w:tabs>
          <w:tab w:leader="none" w:pos="166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Sole power to vote or to direct the vote: </w:t>
      </w:r>
      <w:r>
        <w:rPr>
          <w:rFonts w:ascii="Times New Roman" w:cs="Times New Roman" w:eastAsia="Times New Roman" w:hAnsi="Times New Roman"/>
          <w:sz w:val="22"/>
          <w:szCs w:val="22"/>
          <w:color w:val="auto"/>
        </w:rPr>
        <w:t>6,869,881</w:t>
      </w:r>
    </w:p>
    <w:p>
      <w:pPr>
        <w:spacing w:after="0" w:line="206" w:lineRule="exact"/>
        <w:rPr>
          <w:rFonts w:ascii="Times New Roman" w:cs="Times New Roman" w:eastAsia="Times New Roman" w:hAnsi="Times New Roman"/>
          <w:sz w:val="22"/>
          <w:szCs w:val="22"/>
          <w:b w:val="1"/>
          <w:bCs w:val="1"/>
          <w:color w:val="auto"/>
        </w:rPr>
      </w:pPr>
    </w:p>
    <w:p>
      <w:pPr>
        <w:ind w:left="1680" w:hanging="1024"/>
        <w:spacing w:after="0"/>
        <w:tabs>
          <w:tab w:leader="none" w:pos="16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Shared power to vote or to direct the vote: </w:t>
      </w:r>
      <w:r>
        <w:rPr>
          <w:rFonts w:ascii="Times New Roman" w:cs="Times New Roman" w:eastAsia="Times New Roman" w:hAnsi="Times New Roman"/>
          <w:sz w:val="22"/>
          <w:szCs w:val="22"/>
          <w:color w:val="auto"/>
        </w:rPr>
        <w:t>0</w:t>
      </w:r>
    </w:p>
    <w:p>
      <w:pPr>
        <w:spacing w:after="0" w:line="206" w:lineRule="exact"/>
        <w:rPr>
          <w:rFonts w:ascii="Times New Roman" w:cs="Times New Roman" w:eastAsia="Times New Roman" w:hAnsi="Times New Roman"/>
          <w:sz w:val="22"/>
          <w:szCs w:val="22"/>
          <w:b w:val="1"/>
          <w:bCs w:val="1"/>
          <w:color w:val="auto"/>
        </w:rPr>
      </w:pPr>
    </w:p>
    <w:p>
      <w:pPr>
        <w:ind w:left="1680" w:hanging="1024"/>
        <w:spacing w:after="0"/>
        <w:tabs>
          <w:tab w:leader="none" w:pos="16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Sole power to dispose or to direct the disposition of: </w:t>
      </w:r>
      <w:r>
        <w:rPr>
          <w:rFonts w:ascii="Times New Roman" w:cs="Times New Roman" w:eastAsia="Times New Roman" w:hAnsi="Times New Roman"/>
          <w:sz w:val="22"/>
          <w:szCs w:val="22"/>
          <w:color w:val="auto"/>
        </w:rPr>
        <w:t>6,869,881</w:t>
      </w:r>
    </w:p>
    <w:p>
      <w:pPr>
        <w:spacing w:after="0" w:line="206" w:lineRule="exact"/>
        <w:rPr>
          <w:rFonts w:ascii="Times New Roman" w:cs="Times New Roman" w:eastAsia="Times New Roman" w:hAnsi="Times New Roman"/>
          <w:sz w:val="22"/>
          <w:szCs w:val="22"/>
          <w:b w:val="1"/>
          <w:bCs w:val="1"/>
          <w:color w:val="auto"/>
        </w:rPr>
      </w:pPr>
    </w:p>
    <w:p>
      <w:pPr>
        <w:ind w:left="1680" w:hanging="1024"/>
        <w:spacing w:after="0"/>
        <w:tabs>
          <w:tab w:leader="none" w:pos="168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Shared power to dispose or to direct the disposition of: </w:t>
      </w:r>
      <w:r>
        <w:rPr>
          <w:rFonts w:ascii="Times New Roman" w:cs="Times New Roman" w:eastAsia="Times New Roman" w:hAnsi="Times New Roman"/>
          <w:sz w:val="22"/>
          <w:szCs w:val="22"/>
          <w:color w:val="auto"/>
        </w:rPr>
        <w:t>0</w:t>
      </w:r>
    </w:p>
    <w:p>
      <w:pPr>
        <w:spacing w:after="0" w:line="2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210"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5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206" w:lineRule="exact"/>
        <w:rPr>
          <w:sz w:val="20"/>
          <w:szCs w:val="20"/>
          <w:color w:val="auto"/>
        </w:rPr>
      </w:pPr>
    </w:p>
    <w:p>
      <w:pPr>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 or control person.</w:t>
      </w:r>
    </w:p>
    <w:p>
      <w:pPr>
        <w:spacing w:after="0" w:line="1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0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30,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Signature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Name/Title David J. Joerger, Chief Compliance Officer</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64" w:lineRule="exact"/>
        <w:rPr>
          <w:sz w:val="20"/>
          <w:szCs w:val="20"/>
          <w:color w:val="auto"/>
        </w:rPr>
      </w:pPr>
    </w:p>
    <w:p>
      <w:pPr>
        <w:jc w:val="center"/>
        <w:ind w:right="500"/>
        <w:spacing w:after="0" w:line="467" w:lineRule="auto"/>
        <w:rPr>
          <w:sz w:val="20"/>
          <w:szCs w:val="20"/>
          <w:color w:val="auto"/>
        </w:rPr>
      </w:pPr>
      <w:r>
        <w:rPr>
          <w:rFonts w:ascii="Times New Roman" w:cs="Times New Roman" w:eastAsia="Times New Roman" w:hAnsi="Times New Roman"/>
          <w:sz w:val="22"/>
          <w:szCs w:val="22"/>
          <w:b w:val="1"/>
          <w:bCs w:val="1"/>
          <w:color w:val="auto"/>
        </w:rPr>
        <w:t xml:space="preserve">Attention: Intentional misstatements or omissions of fact constitute Federal criminal violations (See 18 U.S.C. 1001). </w:t>
      </w:r>
      <w:r>
        <w:rPr>
          <w:rFonts w:ascii="Times New Roman" w:cs="Times New Roman" w:eastAsia="Times New Roman" w:hAnsi="Times New Roman"/>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2024-01-30T11:17:08Z</dcterms:created>
  <dcterms:modified xsi:type="dcterms:W3CDTF">2024-01-30T11:17:08Z</dcterms:modified>
</cp:coreProperties>
</file>