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For the month ended July, 2020</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July 22, 2020 – ICON Shareholders Vote in Favour of All Resolutions at its Annual General Meeting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98"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July 22, 2020</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Shareholders Vote in Favour of All Resolutions at its Annual General Meeting</w:t>
      </w:r>
    </w:p>
    <w:p>
      <w:pPr>
        <w:spacing w:after="0" w:line="221"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color w:val="auto"/>
        </w:rPr>
        <w:t>DUBLIN--(BUSINESS WIRE)--July 22, 2020--</w:t>
      </w:r>
      <w:r>
        <w:rPr>
          <w:rFonts w:ascii="Arial" w:cs="Arial" w:eastAsia="Arial" w:hAnsi="Arial"/>
          <w:sz w:val="19"/>
          <w:szCs w:val="19"/>
          <w:b w:val="1"/>
          <w:bCs w:val="1"/>
          <w:color w:val="auto"/>
        </w:rPr>
        <w:t>ICONplc (NASDAQ: ICLR),</w:t>
      </w:r>
      <w:r>
        <w:rPr>
          <w:rFonts w:ascii="Arial" w:cs="Arial" w:eastAsia="Arial" w:hAnsi="Arial"/>
          <w:sz w:val="19"/>
          <w:szCs w:val="19"/>
          <w:color w:val="auto"/>
        </w:rPr>
        <w:t xml:space="preserve"> a global provider of outsourced drug and device development and commercialisation services to pharmaceutical, biotechnology, medical device and government and public health organisations, today announced that all resolutions at the Annual General Meeting of the Company (AGM) held on July 21, 2020 (which resolutions had all been recommended by the Board) were all duly passed by shareholders. These resolutions were set out in the Notice of the AGM sent to shareholders dated June 9, 2020 and are available on the ICON plc website.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The final results of the voting are as follows: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RESOLUTION</w:t>
            </w:r>
          </w:p>
        </w:tc>
        <w:tc>
          <w:tcPr>
            <w:tcW w:w="4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RESOLUTION</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TOTAL NUMBER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VOTE</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VOTE</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VOTE</w:t>
            </w: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w:t>
            </w:r>
          </w:p>
        </w:tc>
        <w:tc>
          <w:tcPr>
            <w:tcW w:w="498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OF VOTES</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AGAINST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WITHHELD</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continue"/>
          </w:tcPr>
          <w:p>
            <w:pPr>
              <w:spacing w:after="0"/>
              <w:rPr>
                <w:sz w:val="9"/>
                <w:szCs w:val="9"/>
                <w:color w:val="auto"/>
              </w:rPr>
            </w:pPr>
          </w:p>
        </w:tc>
        <w:tc>
          <w:tcPr>
            <w:tcW w:w="49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 re-elect Ms. Mary Pendergast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45,047,124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313,139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15,027</w:t>
            </w:r>
          </w:p>
        </w:tc>
        <w:tc>
          <w:tcPr>
            <w:tcW w:w="0" w:type="dxa"/>
            <w:vAlign w:val="bottom"/>
          </w:tcPr>
          <w:p>
            <w:pPr>
              <w:spacing w:after="0"/>
              <w:rPr>
                <w:sz w:val="1"/>
                <w:szCs w:val="1"/>
                <w:color w:val="auto"/>
              </w:rPr>
            </w:pPr>
          </w:p>
        </w:tc>
      </w:tr>
      <w:tr>
        <w:trPr>
          <w:trHeight w:val="235"/>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 re-elect Professor Hugh Brady</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44,847,529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512,926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14,835</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To re-elect Mr. Rónán Murphy</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44,886,771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473,815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14,704</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1.4</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 re-elect Ms. Julie O’Neill</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45,352,908</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6,707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15,675</w:t>
            </w:r>
          </w:p>
        </w:tc>
        <w:tc>
          <w:tcPr>
            <w:tcW w:w="0" w:type="dxa"/>
            <w:vAlign w:val="bottom"/>
          </w:tcPr>
          <w:p>
            <w:pPr>
              <w:spacing w:after="0"/>
              <w:rPr>
                <w:sz w:val="1"/>
                <w:szCs w:val="1"/>
                <w:color w:val="auto"/>
              </w:rPr>
            </w:pPr>
          </w:p>
        </w:tc>
      </w:tr>
      <w:tr>
        <w:trPr>
          <w:trHeight w:val="236"/>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To receive accounts and reports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45,125,109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1,867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248,314</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authorise the fixing of the auditors’ remuneration</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41,855,932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3,504,170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15,188</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Company to allot shares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45,327,330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37,054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10,906</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5**</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disapply pre-emption rights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45,337,113</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23,998</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14,179</w:t>
            </w:r>
          </w:p>
        </w:tc>
        <w:tc>
          <w:tcPr>
            <w:tcW w:w="0" w:type="dxa"/>
            <w:vAlign w:val="bottom"/>
          </w:tcPr>
          <w:p>
            <w:pPr>
              <w:spacing w:after="0"/>
              <w:rPr>
                <w:sz w:val="1"/>
                <w:szCs w:val="1"/>
                <w:color w:val="auto"/>
              </w:rPr>
            </w:pPr>
          </w:p>
        </w:tc>
      </w:tr>
      <w:tr>
        <w:trPr>
          <w:trHeight w:val="213"/>
        </w:trPr>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6**</w:t>
            </w:r>
          </w:p>
        </w:tc>
        <w:tc>
          <w:tcPr>
            <w:tcW w:w="4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 disapply pre-emption rights for funding capital investment or</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45,219,197</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141,875</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14,218</w:t>
            </w:r>
          </w:p>
        </w:tc>
        <w:tc>
          <w:tcPr>
            <w:tcW w:w="0" w:type="dxa"/>
            <w:vAlign w:val="bottom"/>
          </w:tcPr>
          <w:p>
            <w:pPr>
              <w:spacing w:after="0"/>
              <w:rPr>
                <w:sz w:val="1"/>
                <w:szCs w:val="1"/>
                <w:color w:val="auto"/>
              </w:rPr>
            </w:pPr>
          </w:p>
        </w:tc>
      </w:tr>
      <w:tr>
        <w:trPr>
          <w:trHeight w:val="122"/>
        </w:trPr>
        <w:tc>
          <w:tcPr>
            <w:tcW w:w="1520" w:type="dxa"/>
            <w:vAlign w:val="bottom"/>
            <w:tcBorders>
              <w:right w:val="single" w:sz="8" w:color="auto"/>
            </w:tcBorders>
            <w:vMerge w:val="continue"/>
          </w:tcPr>
          <w:p>
            <w:pPr>
              <w:spacing w:after="0"/>
              <w:rPr>
                <w:sz w:val="10"/>
                <w:szCs w:val="10"/>
                <w:color w:val="auto"/>
              </w:rPr>
            </w:pPr>
          </w:p>
        </w:tc>
        <w:tc>
          <w:tcPr>
            <w:tcW w:w="4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acquisitions</w:t>
            </w:r>
          </w:p>
        </w:tc>
        <w:tc>
          <w:tcPr>
            <w:tcW w:w="17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20" w:type="dxa"/>
            <w:vAlign w:val="bottom"/>
            <w:tcBorders>
              <w:bottom w:val="single" w:sz="8" w:color="auto"/>
              <w:right w:val="single" w:sz="8" w:color="auto"/>
            </w:tcBorders>
          </w:tcPr>
          <w:p>
            <w:pPr>
              <w:spacing w:after="0"/>
              <w:rPr>
                <w:sz w:val="10"/>
                <w:szCs w:val="10"/>
                <w:color w:val="auto"/>
              </w:rPr>
            </w:pPr>
          </w:p>
        </w:tc>
        <w:tc>
          <w:tcPr>
            <w:tcW w:w="4980" w:type="dxa"/>
            <w:vAlign w:val="bottom"/>
            <w:tcBorders>
              <w:bottom w:val="single" w:sz="8" w:color="auto"/>
              <w:right w:val="single" w:sz="8" w:color="auto"/>
            </w:tcBorders>
            <w:vMerge w:val="continue"/>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7**</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To authorise the Company to make market purchases of shares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45,072,354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178,525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124,411</w:t>
            </w:r>
          </w:p>
        </w:tc>
        <w:tc>
          <w:tcPr>
            <w:tcW w:w="0" w:type="dxa"/>
            <w:vAlign w:val="bottom"/>
          </w:tcPr>
          <w:p>
            <w:pPr>
              <w:spacing w:after="0"/>
              <w:rPr>
                <w:sz w:val="1"/>
                <w:szCs w:val="1"/>
                <w:color w:val="auto"/>
              </w:rPr>
            </w:pPr>
          </w:p>
        </w:tc>
      </w:tr>
      <w:tr>
        <w:trPr>
          <w:trHeight w:val="213"/>
        </w:trPr>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8**</w:t>
            </w:r>
          </w:p>
        </w:tc>
        <w:tc>
          <w:tcPr>
            <w:tcW w:w="4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price range at which the Company can reissue</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45,375,290</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45,081,032</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271,321</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22,937</w:t>
            </w:r>
          </w:p>
        </w:tc>
        <w:tc>
          <w:tcPr>
            <w:tcW w:w="0" w:type="dxa"/>
            <w:vAlign w:val="bottom"/>
          </w:tcPr>
          <w:p>
            <w:pPr>
              <w:spacing w:after="0"/>
              <w:rPr>
                <w:sz w:val="1"/>
                <w:szCs w:val="1"/>
                <w:color w:val="auto"/>
              </w:rPr>
            </w:pPr>
          </w:p>
        </w:tc>
      </w:tr>
      <w:tr>
        <w:trPr>
          <w:trHeight w:val="122"/>
        </w:trPr>
        <w:tc>
          <w:tcPr>
            <w:tcW w:w="1520" w:type="dxa"/>
            <w:vAlign w:val="bottom"/>
            <w:tcBorders>
              <w:right w:val="single" w:sz="8" w:color="auto"/>
            </w:tcBorders>
            <w:vMerge w:val="continue"/>
          </w:tcPr>
          <w:p>
            <w:pPr>
              <w:spacing w:after="0"/>
              <w:rPr>
                <w:sz w:val="10"/>
                <w:szCs w:val="10"/>
                <w:color w:val="auto"/>
              </w:rPr>
            </w:pPr>
          </w:p>
        </w:tc>
        <w:tc>
          <w:tcPr>
            <w:tcW w:w="4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shares it holds as treasury shares</w:t>
            </w:r>
          </w:p>
        </w:tc>
        <w:tc>
          <w:tcPr>
            <w:tcW w:w="17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20" w:type="dxa"/>
            <w:vAlign w:val="bottom"/>
            <w:tcBorders>
              <w:bottom w:val="single" w:sz="8" w:color="auto"/>
              <w:right w:val="single" w:sz="8" w:color="auto"/>
            </w:tcBorders>
          </w:tcPr>
          <w:p>
            <w:pPr>
              <w:spacing w:after="0"/>
              <w:rPr>
                <w:sz w:val="10"/>
                <w:szCs w:val="10"/>
                <w:color w:val="auto"/>
              </w:rPr>
            </w:pPr>
          </w:p>
        </w:tc>
        <w:tc>
          <w:tcPr>
            <w:tcW w:w="4980" w:type="dxa"/>
            <w:vAlign w:val="bottom"/>
            <w:tcBorders>
              <w:bottom w:val="single" w:sz="8" w:color="auto"/>
              <w:right w:val="single" w:sz="8" w:color="auto"/>
            </w:tcBorders>
            <w:vMerge w:val="continue"/>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15,150 employees in 94 locations in 40 countries as at June 30, 2020. Further information is available at www.iconplc.com.</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38" w:lineRule="auto"/>
        <w:rPr>
          <w:sz w:val="20"/>
          <w:szCs w:val="20"/>
          <w:color w:val="auto"/>
        </w:rPr>
      </w:pPr>
      <w:r>
        <w:rPr>
          <w:rFonts w:ascii="Arial" w:cs="Arial" w:eastAsia="Arial" w:hAnsi="Arial"/>
          <w:sz w:val="22"/>
          <w:szCs w:val="22"/>
          <w:color w:val="auto"/>
        </w:rPr>
        <w:t>Contact: Investor Relations 1 888 381 7923 or</w:t>
      </w:r>
    </w:p>
    <w:p>
      <w:pPr>
        <w:spacing w:after="0" w:line="230" w:lineRule="auto"/>
        <w:rPr>
          <w:sz w:val="20"/>
          <w:szCs w:val="20"/>
          <w:color w:val="auto"/>
        </w:rPr>
      </w:pPr>
      <w:r>
        <w:rPr>
          <w:rFonts w:ascii="Arial" w:cs="Arial" w:eastAsia="Arial" w:hAnsi="Arial"/>
          <w:sz w:val="22"/>
          <w:szCs w:val="22"/>
          <w:color w:val="auto"/>
        </w:rPr>
        <w:t>Brendan Brennan Chief Financial Officer + 353 1 291 2000</w:t>
      </w:r>
    </w:p>
    <w:p>
      <w:pPr>
        <w:spacing w:after="0" w:line="231" w:lineRule="auto"/>
        <w:rPr>
          <w:sz w:val="20"/>
          <w:szCs w:val="20"/>
          <w:color w:val="auto"/>
        </w:rPr>
      </w:pPr>
      <w:r>
        <w:rPr>
          <w:rFonts w:ascii="Arial" w:cs="Arial" w:eastAsia="Arial" w:hAnsi="Arial"/>
          <w:sz w:val="22"/>
          <w:szCs w:val="22"/>
          <w:color w:val="auto"/>
        </w:rPr>
        <w:t>Jonathan Curtain Vice President Corporate Finance and Investor Relations + 353 1 291 2000</w:t>
      </w:r>
    </w:p>
    <w:p>
      <w:pPr>
        <w:spacing w:after="0"/>
        <w:rPr>
          <w:sz w:val="20"/>
          <w:szCs w:val="20"/>
          <w:color w:val="auto"/>
        </w:rPr>
      </w:pPr>
      <w:r>
        <w:rPr>
          <w:rFonts w:ascii="Arial" w:cs="Arial" w:eastAsia="Arial" w:hAnsi="Arial"/>
          <w:sz w:val="22"/>
          <w:szCs w:val="22"/>
          <w:color w:val="auto"/>
        </w:rPr>
        <w:t>All at ICON.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1 888 381 7923 or</w:t>
      </w:r>
    </w:p>
    <w:p>
      <w:pPr>
        <w:spacing w:after="0" w:line="238" w:lineRule="auto"/>
        <w:rPr>
          <w:sz w:val="20"/>
          <w:szCs w:val="20"/>
          <w:color w:val="auto"/>
        </w:rPr>
      </w:pPr>
      <w:r>
        <w:rPr>
          <w:rFonts w:ascii="Arial" w:cs="Arial" w:eastAsia="Arial" w:hAnsi="Arial"/>
          <w:sz w:val="22"/>
          <w:szCs w:val="22"/>
          <w:color w:val="auto"/>
        </w:rPr>
        <w:t>Brendan Brennan Chief Financial Officer + 353 1 291 2000</w:t>
      </w:r>
    </w:p>
    <w:p>
      <w:pPr>
        <w:spacing w:after="0"/>
        <w:rPr>
          <w:sz w:val="20"/>
          <w:szCs w:val="20"/>
          <w:color w:val="auto"/>
        </w:rPr>
      </w:pPr>
      <w:r>
        <w:rPr>
          <w:rFonts w:ascii="Arial" w:cs="Arial" w:eastAsia="Arial" w:hAnsi="Arial"/>
          <w:sz w:val="22"/>
          <w:szCs w:val="22"/>
          <w:color w:val="auto"/>
        </w:rPr>
        <w:t>Jonathan Curtain Vice President Corporate Finance and Investor Relations + 353 1 291 2000</w:t>
      </w:r>
    </w:p>
    <w:sectPr>
      <w:pgSz w:w="11900" w:h="16838" w:orient="portrait"/>
      <w:cols w:equalWidth="0" w:num="1">
        <w:col w:w="11180"/>
      </w:cols>
      <w:pgMar w:left="320" w:top="33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2020-07-22T15:37:13Z</dcterms:created>
  <dcterms:modified xsi:type="dcterms:W3CDTF">2020-07-22T15:37:13Z</dcterms:modified>
</cp:coreProperties>
</file>