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Report of Foreign Private Issuer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Rule 13a-16 under</w:t>
      </w: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For the month ended </w:t>
      </w:r>
      <w:r>
        <w:rPr>
          <w:rFonts w:ascii="Arial" w:cs="Arial" w:eastAsia="Arial" w:hAnsi="Arial"/>
          <w:sz w:val="18"/>
          <w:szCs w:val="18"/>
          <w:color w:val="auto"/>
        </w:rPr>
        <w:t>June, 2012.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ICON plc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(R</w:t>
      </w:r>
      <w:r>
        <w:rPr>
          <w:rFonts w:ascii="Arial" w:cs="Arial" w:eastAsia="Arial" w:hAnsi="Arial"/>
          <w:sz w:val="18"/>
          <w:szCs w:val="18"/>
          <w:color w:val="auto"/>
        </w:rPr>
        <w:t>egistrant's name)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0-29714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(Commission file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Park, Leopardstown, Dublin 18, Ireland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(Address of principal executive offices)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 Brennan, CFO</w:t>
      </w:r>
    </w:p>
    <w:p>
      <w:pPr>
        <w:jc w:val="center"/>
        <w:ind w:right="-119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 Leopardstown, Dublin 18, Ireland.</w:t>
      </w:r>
    </w:p>
    <w:p>
      <w:pPr>
        <w:jc w:val="center"/>
        <w:ind w:right="-119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Brendan.Brennan@iconplc.com</w:t>
      </w:r>
    </w:p>
    <w:p>
      <w:pPr>
        <w:jc w:val="center"/>
        <w:ind w:right="-119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0011-353-1-291-2000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(Name, telephone number, email and/or facsmile number and address of Company contact person)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Indicate by check mark whether the registrant files or will file annual reports under cover Form 20-F or Form 40-F.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101(b)(1):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101(b)(7):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right="160"/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0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If "Yes" is marked, indicate below the file number assigned to the registrant in connection with Rule 12g3-2(b):82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297180</wp:posOffset>
            </wp:positionV>
            <wp:extent cx="7272020" cy="596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  <w:type w:val="continuous"/>
        </w:sectPr>
      </w:pPr>
    </w:p>
    <w:bookmarkStart w:id="1" w:name="page2"/>
    <w:bookmarkEnd w:id="1"/>
    <w:p>
      <w:pPr>
        <w:jc w:val="right"/>
        <w:ind w:right="38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EXHIBIT LIST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Description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Icon plc Press Release announcement issued June 19, 2012.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147955</wp:posOffset>
            </wp:positionV>
            <wp:extent cx="7272020" cy="596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121" w:right="1440" w:bottom="1440" w:gutter="0" w:footer="0" w:header="0"/>
        </w:sectPr>
      </w:pPr>
    </w:p>
    <w:bookmarkStart w:id="2" w:name="page3"/>
    <w:bookmarkEnd w:id="2"/>
    <w:p>
      <w:pPr>
        <w:jc w:val="center"/>
        <w:ind w:right="-7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405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thereunto duly authorized.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" w:val="left"/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</w:t>
        <w:tab/>
        <w:t>June 19, 2012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/s/ 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ectPr>
          <w:pgSz w:w="11900" w:h="16838" w:orient="portrait"/>
          <w:cols w:equalWidth="0" w:num="1">
            <w:col w:w="10700"/>
          </w:cols>
          <w:pgMar w:left="240" w:top="337" w:right="95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19 June, 2012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ICON plc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Purchase of Own Securities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58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Further to the announcement on 22 November, 2011 of a share repurchase programme, ICON plc (“the Company”) announces that on 18 June, 2012 it purchased for cancellation 20,000 Ordinary Shares, at an average price of $21.5207.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Following the cancellation of these shares, the Company will have 59,749,059 Ordinary Shares in issue.</w:t>
      </w:r>
    </w:p>
    <w:sectPr>
      <w:pgSz w:w="11900" w:h="16838" w:orient="portrait"/>
      <w:cols w:equalWidth="0" w:num="1">
        <w:col w:w="11420"/>
      </w:cols>
      <w:pgMar w:left="240" w:top="121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2019-12-09T13:04:08Z</dcterms:created>
  <dcterms:modified xsi:type="dcterms:W3CDTF">2019-12-09T13:04:08Z</dcterms:modified>
</cp:coreProperties>
</file>