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7"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For the month of November, 2022</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ind w:left="504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November 2, 2022 - ICON Reports Third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200" w:right="2480" w:hanging="6182"/>
        <w:spacing w:after="0" w:line="323" w:lineRule="auto"/>
        <w:tabs>
          <w:tab w:leader="none" w:pos="618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0340"/>
          </w:cols>
          <w:pgMar w:left="320" w:top="121"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Third Quarter 2022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business wins in the quarter of $2,351 million; a net book to bill of 1.21, and 1.24 on a trailing twelve month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Closing backlog of $20.2 billion, an increase of 1.3% on Q2 2022 or an increase of 9.0% on Q3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20"/>
        <w:spacing w:after="0" w:line="250" w:lineRule="auto"/>
        <w:rPr>
          <w:sz w:val="20"/>
          <w:szCs w:val="20"/>
          <w:color w:val="auto"/>
        </w:rPr>
      </w:pPr>
      <w:r>
        <w:rPr>
          <w:rFonts w:ascii="Arial" w:cs="Arial" w:eastAsia="Arial" w:hAnsi="Arial"/>
          <w:sz w:val="18"/>
          <w:szCs w:val="18"/>
          <w:b w:val="1"/>
          <w:bCs w:val="1"/>
          <w:color w:val="auto"/>
        </w:rPr>
        <w:t>Quarter 3 revenue of $1,942.4 million representing an increase of 3.9% on prior year adjusted revenue and 7.4% on a constant currency organic basis. YTD revenue of $5,779.4 million representing an increase of 60.6% on prior year adjusted revenue or 65.1%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0"/>
        <w:spacing w:after="0" w:line="250" w:lineRule="auto"/>
        <w:rPr>
          <w:sz w:val="20"/>
          <w:szCs w:val="20"/>
          <w:color w:val="auto"/>
        </w:rPr>
      </w:pPr>
      <w:r>
        <w:rPr>
          <w:rFonts w:ascii="Arial" w:cs="Arial" w:eastAsia="Arial" w:hAnsi="Arial"/>
          <w:sz w:val="18"/>
          <w:szCs w:val="18"/>
          <w:b w:val="1"/>
          <w:bCs w:val="1"/>
          <w:color w:val="auto"/>
        </w:rPr>
        <w:t>Adjusted EBITDA of $379.6 million or 19.5% of revenue, a year on year increase of 16.9%. YTD adjusted EBITDA of $1,074.5 million or 18.6% of revenue, a year on year increase of 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0"/>
        <w:spacing w:after="0" w:line="250" w:lineRule="auto"/>
        <w:rPr>
          <w:sz w:val="20"/>
          <w:szCs w:val="20"/>
          <w:color w:val="auto"/>
        </w:rPr>
      </w:pPr>
      <w:r>
        <w:rPr>
          <w:rFonts w:ascii="Arial" w:cs="Arial" w:eastAsia="Arial" w:hAnsi="Arial"/>
          <w:sz w:val="18"/>
          <w:szCs w:val="18"/>
          <w:b w:val="1"/>
          <w:bCs w:val="1"/>
          <w:color w:val="auto"/>
        </w:rPr>
        <w:t>Adjusted net income attributable to the Group was $247.2 million or $3.00 per diluted share, an increase of 17.5% year on year. YTD adjusted net income attributable to the Group of $711.0 million or $8.62 per diluted share, an increase of 21.3% over the prior year period. GAAP net income attributable to the Group for Quarter 3 of $160.2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80"/>
        <w:spacing w:after="0" w:line="281" w:lineRule="auto"/>
        <w:rPr>
          <w:sz w:val="20"/>
          <w:szCs w:val="20"/>
          <w:color w:val="auto"/>
        </w:rPr>
      </w:pPr>
      <w:r>
        <w:rPr>
          <w:rFonts w:ascii="Arial" w:cs="Arial" w:eastAsia="Arial" w:hAnsi="Arial"/>
          <w:sz w:val="16"/>
          <w:szCs w:val="16"/>
          <w:b w:val="1"/>
          <w:bCs w:val="1"/>
          <w:color w:val="auto"/>
        </w:rPr>
        <w:t>$200 million repayment made on Term Loan B debt. Net debt balance of $4.2 billion with Net debt to adjusted EBITDA of 2.9x. Reaffirming full year 2022 revenue guidance in the range of $7,690 - $7,810 million, representing a year over year increase of 40.3% to 42.5% and full year 2022 adjusted earnings per share guidance in the range of $11.65 - $11.85 representing a year over year increase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-370840</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-233680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860"/>
        <w:spacing w:after="0" w:line="260" w:lineRule="auto"/>
        <w:rPr>
          <w:sz w:val="20"/>
          <w:szCs w:val="20"/>
          <w:color w:val="auto"/>
        </w:rPr>
      </w:pPr>
      <w:r>
        <w:rPr>
          <w:rFonts w:ascii="Arial" w:cs="Arial" w:eastAsia="Arial" w:hAnsi="Arial"/>
          <w:sz w:val="18"/>
          <w:szCs w:val="18"/>
          <w:b w:val="1"/>
          <w:bCs w:val="1"/>
          <w:color w:val="auto"/>
        </w:rPr>
        <w:t>20.7% to 22.8%. Adjusted earnings per share to exclude amortization, stock compensation, foreign exchange, restructuring and transaction-related / integration-related adjustments.</w:t>
      </w:r>
    </w:p>
    <w:p>
      <w:pPr>
        <w:spacing w:after="0" w:line="141"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DUBLIN--(BUSINESS WIRE)--November 2, 2022--</w:t>
      </w:r>
      <w:r>
        <w:rPr>
          <w:rFonts w:ascii="Arial" w:cs="Arial" w:eastAsia="Arial" w:hAnsi="Arial"/>
          <w:sz w:val="18"/>
          <w:szCs w:val="18"/>
          <w:b w:val="1"/>
          <w:bCs w:val="1"/>
          <w:color w:val="auto"/>
        </w:rPr>
        <w:t>ICONplc (NASDAQ: ICLR),</w:t>
      </w:r>
      <w:r>
        <w:rPr>
          <w:rFonts w:ascii="Arial" w:cs="Arial" w:eastAsia="Arial" w:hAnsi="Arial"/>
          <w:sz w:val="18"/>
          <w:szCs w:val="18"/>
          <w:color w:val="auto"/>
        </w:rPr>
        <w:t xml:space="preserve"> a world-leading healthcare intelligence and clinical research organization, today reported its financial results for the third quarter ended September 30, 2022.</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CEO, Dr. Steve Cutler commented, </w:t>
      </w:r>
      <w:r>
        <w:rPr>
          <w:rFonts w:ascii="Arial" w:cs="Arial" w:eastAsia="Arial" w:hAnsi="Arial"/>
          <w:sz w:val="18"/>
          <w:szCs w:val="18"/>
          <w:i w:val="1"/>
          <w:iCs w:val="1"/>
          <w:color w:val="auto"/>
        </w:rPr>
        <w:t>“ICON’s third quarter results reflect the strength and breadth of our global service offering as industry demand for</w:t>
      </w:r>
      <w:r>
        <w:rPr>
          <w:rFonts w:ascii="Arial" w:cs="Arial" w:eastAsia="Arial" w:hAnsi="Arial"/>
          <w:sz w:val="18"/>
          <w:szCs w:val="18"/>
          <w:color w:val="auto"/>
        </w:rPr>
        <w:t xml:space="preserve"> </w:t>
      </w:r>
      <w:r>
        <w:rPr>
          <w:rFonts w:ascii="Arial" w:cs="Arial" w:eastAsia="Arial" w:hAnsi="Arial"/>
          <w:sz w:val="18"/>
          <w:szCs w:val="18"/>
          <w:i w:val="1"/>
          <w:iCs w:val="1"/>
          <w:color w:val="auto"/>
        </w:rPr>
        <w:t>accelerated clinical development remains solid despite continued macroeconomic challenges. Strong operational performance in the third quarter drove constant dollar organic revenue growth of 7.4%, with excellent cost management and strong utilization driving adjusted EBITDA growth of 16.9% year over year, and adjusted earnings per share growth of 17.5% over third quarter 2021. Additionally, as a result of strong cash flow generation in the quarter, we were able to make continued progress in paying down our Term Loan B facility, bringing our net debt balance to 2.9x Net debt to adjusted EBITDA as of the end of the third quarter. Further, given the rising interest rate environment, we are currently evaluating a hedging strategy to address our floating rate debt exposure into 2023 and beyond.”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Results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business wins in the third quarter were $2,740 million and cancellations were $389 million. This resulted in net business wins of $2,351 million and a book to bill of 1.21.</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 for Quarter 3 was $1,942.4 million. This represents an increase of 3.9% on prior year adjusted revenue or 7.4% on a constant currency organic basis.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GAAP net income attributable to the Group was $160.2 million. Adjusted net income attributable to the Group for the quarter was $247.2 million resulting in an adjusted diluted earnings per share of $3.00 compared to $2.55 per share for Quarter 3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Quarter 3 was $379.6 million or 19.5% of revenue, a year on year increase of 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0"/>
        <w:spacing w:after="0" w:line="259" w:lineRule="auto"/>
        <w:rPr>
          <w:sz w:val="20"/>
          <w:szCs w:val="20"/>
          <w:color w:val="auto"/>
        </w:rPr>
      </w:pPr>
      <w:r>
        <w:rPr>
          <w:rFonts w:ascii="Arial" w:cs="Arial" w:eastAsia="Arial" w:hAnsi="Arial"/>
          <w:sz w:val="18"/>
          <w:szCs w:val="18"/>
          <w:color w:val="auto"/>
        </w:rPr>
        <w:t>Cash generated from operating activities for the quarter was $213.8 million. During the quarter, $37.3 million was spent on capital expenditure. At September 30, 2022, the Group had cash and cash equivalents of $609.2 million, compared to cash and cash equivalents of $614.9 million at June 30, 2022 and $1,008.5 million at September 30, 2021. During the quarter, a $200 million Term Loan B payment was made resulting in a net indebtedness balance of $4.2 billion at September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 2022 Results</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business wins year to date were $8,287 million and cancellations were $1,187 million. This resulted in net business wins of $7,100 million and a book to bill of 1.23.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Year to date revenue was $5,779.4 million. This represents an increase of 60.6% on prior year adjusted revenue or 65.1% on a constant currency basis.</w:t>
      </w:r>
    </w:p>
    <w:p>
      <w:pPr>
        <w:spacing w:after="0" w:line="2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GAAP net income attributable to the Group year to date was $387.9 million. Adjusted net income attributable to the Group was $711.0 million resulting in an adjusted diluted earnings per share of $8.62 compared to $7.11 per share for the equivalent prior 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year to date was $1,074.5 million or 18.6% of revenue, a year on year increase of 68.6%.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addition to the financial measures prepared in accordance with generally accepted accounting principles (GAAP), this press release contains certain non-GAAP financial measures, including adjusted EBITDA, adjusted net income attributable to the Group and adjusted diluted earnings per share attributable to the Group.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ICON will hold a conference call on Nov 3rd, 2022 at 08:00 EDT [12:00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full-year 2022 guidance measures (other than revenue) are provided on a non-GAAP basis without a reconciliation to the most directly comparable GAAP measure because the company is unable to predict with a reasonable degree of certainty certain items contained in the GAAP measures without unreasonable efforts. Such items include, but are not limited to, transaction-related / integration-related expenses, restructuring and related expenses, and other items not reflective of the company's ongoing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113 locations in 53 countries as at September 30, 2022. For further information about ICON, visit: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THREE AND NINE MONTHS ENDED SEPTEMBER 30, 2022 AND SEPTEMBER 30, 2021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jc w:val="center"/>
        <w:ind w:left="4640"/>
        <w:spacing w:after="0"/>
        <w:tabs>
          <w:tab w:leader="none" w:pos="150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6"/>
          <w:szCs w:val="16"/>
          <w:b w:val="1"/>
          <w:bCs w:val="1"/>
          <w:color w:val="auto"/>
        </w:rPr>
        <w:t>Nine Months Ended</w:t>
      </w:r>
    </w:p>
    <w:p>
      <w:pPr>
        <w:spacing w:after="0" w:line="36" w:lineRule="exact"/>
        <w:rPr>
          <w:sz w:val="20"/>
          <w:szCs w:val="20"/>
          <w:color w:val="auto"/>
        </w:rPr>
      </w:pPr>
    </w:p>
    <w:p>
      <w:pPr>
        <w:jc w:val="center"/>
        <w:ind w:left="4680"/>
        <w:spacing w:after="0"/>
        <w:rPr>
          <w:sz w:val="20"/>
          <w:szCs w:val="20"/>
          <w:color w:val="auto"/>
        </w:rPr>
      </w:pPr>
      <w:r>
        <w:rPr>
          <w:rFonts w:ascii="Arial" w:cs="Arial" w:eastAsia="Arial" w:hAnsi="Arial"/>
          <w:sz w:val="16"/>
          <w:szCs w:val="16"/>
          <w:b w:val="1"/>
          <w:bCs w:val="1"/>
          <w:color w:val="auto"/>
        </w:rPr>
        <w:t>September 30, 2022September 30, 2021 September 30, 2022September 30, 2021</w:t>
      </w:r>
    </w:p>
    <w:p>
      <w:pPr>
        <w:spacing w:after="0" w:line="5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40"/>
          </w:cols>
          <w:pgMar w:left="320" w:top="702" w:right="339" w:bottom="1440" w:gutter="0" w:footer="0" w:header="0"/>
        </w:sectPr>
      </w:pPr>
    </w:p>
    <w:p>
      <w:pPr>
        <w:spacing w:after="0" w:line="28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Revenue</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8"/>
              </w:rPr>
              <w:t>$ 1,942,427</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$ 1,866,352</w:t>
            </w:r>
          </w:p>
        </w:tc>
      </w:tr>
      <w:tr>
        <w:trPr>
          <w:trHeight w:val="486"/>
        </w:trPr>
        <w:tc>
          <w:tcPr>
            <w:tcW w:w="4880" w:type="dxa"/>
            <w:vAlign w:val="bottom"/>
          </w:tcPr>
          <w:p>
            <w:pPr>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Direct costs (excluding depreciation and amortization)</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9"/>
              </w:rPr>
              <w:t>1,375,837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1,357,942</w:t>
            </w: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2"/>
              </w:rPr>
              <w:t>166,787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206,713</w:t>
            </w: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2"/>
              </w:rPr>
              <w:t>141,861</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140,636</w:t>
            </w: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Transaction and integration-related expenses</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8"/>
              </w:rPr>
              <w:t>8,001</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149,791</w:t>
            </w:r>
          </w:p>
        </w:tc>
      </w:tr>
      <w:tr>
        <w:trPr>
          <w:trHeight w:val="250"/>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Restructuring</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6,197</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6,162</w:t>
            </w:r>
          </w:p>
        </w:tc>
      </w:tr>
      <w:tr>
        <w:trPr>
          <w:trHeight w:val="480"/>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costs and expenses</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1,698,683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1,861,244</w:t>
            </w:r>
          </w:p>
        </w:tc>
      </w:tr>
      <w:tr>
        <w:trPr>
          <w:trHeight w:val="473"/>
        </w:trPr>
        <w:tc>
          <w:tcPr>
            <w:tcW w:w="48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2"/>
              </w:rPr>
              <w:t>243,744</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5,108</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8"/>
              </w:rPr>
              <w:t>1,434</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50"/>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(63,010)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(102,306)</w:t>
            </w:r>
          </w:p>
        </w:tc>
      </w:tr>
      <w:tr>
        <w:trPr>
          <w:trHeight w:val="473"/>
        </w:trPr>
        <w:tc>
          <w:tcPr>
            <w:tcW w:w="48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2"/>
              </w:rPr>
              <w:t>182,168</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(97,145)</w:t>
            </w:r>
          </w:p>
        </w:tc>
      </w:tr>
      <w:tr>
        <w:trPr>
          <w:trHeight w:val="250"/>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(21,012)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3,563</w:t>
            </w:r>
          </w:p>
        </w:tc>
      </w:tr>
      <w:tr>
        <w:trPr>
          <w:trHeight w:val="473"/>
        </w:trPr>
        <w:tc>
          <w:tcPr>
            <w:tcW w:w="4880" w:type="dxa"/>
            <w:vAlign w:val="bottom"/>
          </w:tcPr>
          <w:p>
            <w:pPr>
              <w:spacing w:after="0"/>
              <w:rPr>
                <w:sz w:val="20"/>
                <w:szCs w:val="20"/>
                <w:color w:val="auto"/>
              </w:rPr>
            </w:pPr>
            <w:r>
              <w:rPr>
                <w:rFonts w:ascii="Arial" w:cs="Arial" w:eastAsia="Arial" w:hAnsi="Arial"/>
                <w:sz w:val="18"/>
                <w:szCs w:val="18"/>
                <w:color w:val="auto"/>
                <w:w w:val="93"/>
              </w:rPr>
              <w:t>Income before share of earnings from equity method investments</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2"/>
              </w:rPr>
              <w:t>161,156</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(93,582)</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1"/>
              </w:rPr>
              <w:t>(1,002)</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(688)</w:t>
            </w: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jc w:val="center"/>
              <w:spacing w:after="0"/>
              <w:rPr>
                <w:sz w:val="20"/>
                <w:szCs w:val="20"/>
                <w:color w:val="auto"/>
              </w:rPr>
            </w:pPr>
            <w:r>
              <w:rPr>
                <w:rFonts w:ascii="Arial" w:cs="Arial" w:eastAsia="Arial" w:hAnsi="Arial"/>
                <w:sz w:val="18"/>
                <w:szCs w:val="18"/>
                <w:color w:val="auto"/>
                <w:w w:val="90"/>
              </w:rPr>
              <w:t>$ 5,779,384</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$ 3,595,705</w:t>
            </w:r>
          </w:p>
        </w:tc>
      </w:tr>
      <w:tr>
        <w:trPr>
          <w:trHeight w:val="729"/>
        </w:trPr>
        <w:tc>
          <w:tcPr>
            <w:tcW w:w="1520" w:type="dxa"/>
            <w:vAlign w:val="bottom"/>
          </w:tcPr>
          <w:p>
            <w:pPr>
              <w:jc w:val="center"/>
              <w:spacing w:after="0"/>
              <w:rPr>
                <w:sz w:val="20"/>
                <w:szCs w:val="20"/>
                <w:color w:val="auto"/>
              </w:rPr>
            </w:pPr>
            <w:r>
              <w:rPr>
                <w:rFonts w:ascii="Arial" w:cs="Arial" w:eastAsia="Arial" w:hAnsi="Arial"/>
                <w:sz w:val="18"/>
                <w:szCs w:val="18"/>
                <w:color w:val="auto"/>
                <w:w w:val="89"/>
              </w:rPr>
              <w:t>4,146,366</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2,615,309</w:t>
            </w:r>
          </w:p>
        </w:tc>
      </w:tr>
      <w:tr>
        <w:trPr>
          <w:trHeight w:val="243"/>
        </w:trPr>
        <w:tc>
          <w:tcPr>
            <w:tcW w:w="1520" w:type="dxa"/>
            <w:vAlign w:val="bottom"/>
          </w:tcPr>
          <w:p>
            <w:pPr>
              <w:jc w:val="center"/>
              <w:spacing w:after="0"/>
              <w:rPr>
                <w:sz w:val="20"/>
                <w:szCs w:val="20"/>
                <w:color w:val="auto"/>
              </w:rPr>
            </w:pPr>
            <w:r>
              <w:rPr>
                <w:rFonts w:ascii="Arial" w:cs="Arial" w:eastAsia="Arial" w:hAnsi="Arial"/>
                <w:sz w:val="18"/>
                <w:szCs w:val="18"/>
                <w:color w:val="auto"/>
                <w:w w:val="89"/>
              </w:rPr>
              <w:t>552,000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382,614</w:t>
            </w:r>
          </w:p>
        </w:tc>
      </w:tr>
      <w:tr>
        <w:trPr>
          <w:trHeight w:val="243"/>
        </w:trPr>
        <w:tc>
          <w:tcPr>
            <w:tcW w:w="1520" w:type="dxa"/>
            <w:vAlign w:val="bottom"/>
          </w:tcPr>
          <w:p>
            <w:pPr>
              <w:jc w:val="center"/>
              <w:spacing w:after="0"/>
              <w:rPr>
                <w:sz w:val="20"/>
                <w:szCs w:val="20"/>
                <w:color w:val="auto"/>
              </w:rPr>
            </w:pPr>
            <w:r>
              <w:rPr>
                <w:rFonts w:ascii="Arial" w:cs="Arial" w:eastAsia="Arial" w:hAnsi="Arial"/>
                <w:sz w:val="18"/>
                <w:szCs w:val="18"/>
                <w:color w:val="auto"/>
                <w:w w:val="89"/>
              </w:rPr>
              <w:t>427,285</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175,317</w:t>
            </w:r>
          </w:p>
        </w:tc>
      </w:tr>
      <w:tr>
        <w:trPr>
          <w:trHeight w:val="243"/>
        </w:trPr>
        <w:tc>
          <w:tcPr>
            <w:tcW w:w="1520" w:type="dxa"/>
            <w:vAlign w:val="bottom"/>
          </w:tcPr>
          <w:p>
            <w:pPr>
              <w:jc w:val="center"/>
              <w:spacing w:after="0"/>
              <w:rPr>
                <w:sz w:val="20"/>
                <w:szCs w:val="20"/>
                <w:color w:val="auto"/>
              </w:rPr>
            </w:pPr>
            <w:r>
              <w:rPr>
                <w:rFonts w:ascii="Arial" w:cs="Arial" w:eastAsia="Arial" w:hAnsi="Arial"/>
                <w:sz w:val="18"/>
                <w:szCs w:val="18"/>
                <w:color w:val="auto"/>
                <w:w w:val="90"/>
              </w:rPr>
              <w:t>28,970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182,309</w:t>
            </w:r>
          </w:p>
        </w:tc>
      </w:tr>
      <w:tr>
        <w:trPr>
          <w:trHeight w:val="250"/>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32,890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6,162</w:t>
            </w:r>
          </w:p>
        </w:tc>
      </w:tr>
      <w:tr>
        <w:trPr>
          <w:trHeight w:val="480"/>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5,187,511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3,361,711</w:t>
            </w:r>
          </w:p>
        </w:tc>
      </w:tr>
      <w:tr>
        <w:trPr>
          <w:trHeight w:val="473"/>
        </w:trPr>
        <w:tc>
          <w:tcPr>
            <w:tcW w:w="1520" w:type="dxa"/>
            <w:vAlign w:val="bottom"/>
          </w:tcPr>
          <w:p>
            <w:pPr>
              <w:jc w:val="center"/>
              <w:spacing w:after="0"/>
              <w:rPr>
                <w:sz w:val="20"/>
                <w:szCs w:val="20"/>
                <w:color w:val="auto"/>
              </w:rPr>
            </w:pPr>
            <w:r>
              <w:rPr>
                <w:rFonts w:ascii="Arial" w:cs="Arial" w:eastAsia="Arial" w:hAnsi="Arial"/>
                <w:sz w:val="18"/>
                <w:szCs w:val="18"/>
                <w:color w:val="auto"/>
                <w:w w:val="89"/>
              </w:rPr>
              <w:t>591,873</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233,994</w:t>
            </w:r>
          </w:p>
        </w:tc>
      </w:tr>
      <w:tr>
        <w:trPr>
          <w:trHeight w:val="243"/>
        </w:trPr>
        <w:tc>
          <w:tcPr>
            <w:tcW w:w="1520" w:type="dxa"/>
            <w:vAlign w:val="bottom"/>
          </w:tcPr>
          <w:p>
            <w:pPr>
              <w:jc w:val="center"/>
              <w:spacing w:after="0"/>
              <w:rPr>
                <w:sz w:val="20"/>
                <w:szCs w:val="20"/>
                <w:color w:val="auto"/>
              </w:rPr>
            </w:pPr>
            <w:r>
              <w:rPr>
                <w:rFonts w:ascii="Arial" w:cs="Arial" w:eastAsia="Arial" w:hAnsi="Arial"/>
                <w:sz w:val="18"/>
                <w:szCs w:val="18"/>
                <w:color w:val="auto"/>
                <w:w w:val="88"/>
              </w:rPr>
              <w:t>1,727</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496</w:t>
            </w:r>
          </w:p>
        </w:tc>
      </w:tr>
      <w:tr>
        <w:trPr>
          <w:trHeight w:val="250"/>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(154,546)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(129,584)</w:t>
            </w:r>
          </w:p>
        </w:tc>
      </w:tr>
      <w:tr>
        <w:trPr>
          <w:trHeight w:val="473"/>
        </w:trPr>
        <w:tc>
          <w:tcPr>
            <w:tcW w:w="1520" w:type="dxa"/>
            <w:vAlign w:val="bottom"/>
          </w:tcPr>
          <w:p>
            <w:pPr>
              <w:jc w:val="center"/>
              <w:spacing w:after="0"/>
              <w:rPr>
                <w:sz w:val="20"/>
                <w:szCs w:val="20"/>
                <w:color w:val="auto"/>
              </w:rPr>
            </w:pPr>
            <w:r>
              <w:rPr>
                <w:rFonts w:ascii="Arial" w:cs="Arial" w:eastAsia="Arial" w:hAnsi="Arial"/>
                <w:sz w:val="18"/>
                <w:szCs w:val="18"/>
                <w:color w:val="auto"/>
                <w:w w:val="89"/>
              </w:rPr>
              <w:t>439,054</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104,906</w:t>
            </w:r>
          </w:p>
        </w:tc>
      </w:tr>
      <w:tr>
        <w:trPr>
          <w:trHeight w:val="250"/>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(48,552)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(26,718)</w:t>
            </w:r>
          </w:p>
        </w:tc>
      </w:tr>
      <w:tr>
        <w:trPr>
          <w:trHeight w:val="473"/>
        </w:trPr>
        <w:tc>
          <w:tcPr>
            <w:tcW w:w="1520" w:type="dxa"/>
            <w:vAlign w:val="bottom"/>
          </w:tcPr>
          <w:p>
            <w:pPr>
              <w:jc w:val="center"/>
              <w:spacing w:after="0"/>
              <w:rPr>
                <w:sz w:val="20"/>
                <w:szCs w:val="20"/>
                <w:color w:val="auto"/>
              </w:rPr>
            </w:pPr>
            <w:r>
              <w:rPr>
                <w:rFonts w:ascii="Arial" w:cs="Arial" w:eastAsia="Arial" w:hAnsi="Arial"/>
                <w:sz w:val="18"/>
                <w:szCs w:val="18"/>
                <w:color w:val="auto"/>
                <w:w w:val="89"/>
              </w:rPr>
              <w:t>390,502</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78,188</w:t>
            </w:r>
          </w:p>
        </w:tc>
      </w:tr>
      <w:tr>
        <w:trPr>
          <w:trHeight w:val="243"/>
        </w:trPr>
        <w:tc>
          <w:tcPr>
            <w:tcW w:w="1520" w:type="dxa"/>
            <w:vAlign w:val="bottom"/>
          </w:tcPr>
          <w:p>
            <w:pPr>
              <w:jc w:val="center"/>
              <w:spacing w:after="0"/>
              <w:rPr>
                <w:sz w:val="20"/>
                <w:szCs w:val="20"/>
                <w:color w:val="auto"/>
              </w:rPr>
            </w:pPr>
            <w:r>
              <w:rPr>
                <w:rFonts w:ascii="Arial" w:cs="Arial" w:eastAsia="Arial" w:hAnsi="Arial"/>
                <w:sz w:val="18"/>
                <w:szCs w:val="18"/>
                <w:color w:val="auto"/>
                <w:w w:val="91"/>
              </w:rPr>
              <w:t>(2,643)</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(1,471)</w:t>
            </w:r>
          </w:p>
        </w:tc>
      </w:tr>
    </w:tbl>
    <w:p>
      <w:pPr>
        <w:spacing w:after="0" w:line="200" w:lineRule="exact"/>
        <w:rPr>
          <w:sz w:val="20"/>
          <w:szCs w:val="20"/>
          <w:color w:val="auto"/>
        </w:rPr>
      </w:pPr>
    </w:p>
    <w:p>
      <w:pPr>
        <w:sectPr>
          <w:pgSz w:w="11900" w:h="16838" w:orient="portrait"/>
          <w:cols w:equalWidth="0" w:num="2">
            <w:col w:w="7940" w:space="80"/>
            <w:col w:w="3220"/>
          </w:cols>
          <w:pgMar w:left="320" w:top="702" w:right="3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0" w:type="dxa"/>
            <w:vAlign w:val="bottom"/>
          </w:tcPr>
          <w:p>
            <w:pPr>
              <w:spacing w:after="0"/>
              <w:rPr>
                <w:sz w:val="21"/>
                <w:szCs w:val="21"/>
                <w:color w:val="auto"/>
              </w:rPr>
            </w:pPr>
          </w:p>
        </w:tc>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income attributable to the Group</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$ 160,154</w:t>
            </w: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 (94,270)</w:t>
            </w: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$ 387,859</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$ 76,717</w:t>
            </w:r>
          </w:p>
        </w:tc>
        <w:tc>
          <w:tcPr>
            <w:tcW w:w="18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9"/>
        </w:trPr>
        <w:tc>
          <w:tcPr>
            <w:tcW w:w="18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3"/>
        </w:trPr>
        <w:tc>
          <w:tcPr>
            <w:tcW w:w="180" w:type="dxa"/>
            <w:vAlign w:val="bottom"/>
          </w:tcPr>
          <w:p>
            <w:pPr>
              <w:spacing w:after="0"/>
              <w:rPr>
                <w:sz w:val="24"/>
                <w:szCs w:val="24"/>
                <w:color w:val="auto"/>
              </w:rPr>
            </w:pPr>
          </w:p>
        </w:tc>
        <w:tc>
          <w:tcPr>
            <w:tcW w:w="4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Basic</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$ 1.96</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(1.17)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$ 4.76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$ 1.23</w:t>
            </w:r>
          </w:p>
        </w:tc>
        <w:tc>
          <w:tcPr>
            <w:tcW w:w="180" w:type="dxa"/>
            <w:vAlign w:val="bottom"/>
          </w:tcPr>
          <w:p>
            <w:pPr>
              <w:spacing w:after="0"/>
              <w:rPr>
                <w:sz w:val="24"/>
                <w:szCs w:val="24"/>
                <w:color w:val="auto"/>
              </w:rPr>
            </w:pPr>
          </w:p>
        </w:tc>
      </w:tr>
      <w:tr>
        <w:trPr>
          <w:trHeight w:val="237"/>
        </w:trPr>
        <w:tc>
          <w:tcPr>
            <w:tcW w:w="180" w:type="dxa"/>
            <w:vAlign w:val="bottom"/>
          </w:tcPr>
          <w:p>
            <w:pPr>
              <w:spacing w:after="0"/>
              <w:rPr>
                <w:sz w:val="20"/>
                <w:szCs w:val="20"/>
                <w:color w:val="auto"/>
              </w:rPr>
            </w:pPr>
          </w:p>
        </w:tc>
        <w:tc>
          <w:tcPr>
            <w:tcW w:w="4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$ 1.94</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(1.17)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$ 4.70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$ 1.22</w:t>
            </w:r>
          </w:p>
        </w:tc>
        <w:tc>
          <w:tcPr>
            <w:tcW w:w="18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9"/>
        </w:trPr>
        <w:tc>
          <w:tcPr>
            <w:tcW w:w="18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3"/>
        </w:trPr>
        <w:tc>
          <w:tcPr>
            <w:tcW w:w="180" w:type="dxa"/>
            <w:vAlign w:val="bottom"/>
          </w:tcPr>
          <w:p>
            <w:pPr>
              <w:spacing w:after="0"/>
              <w:rPr>
                <w:sz w:val="24"/>
                <w:szCs w:val="24"/>
                <w:color w:val="auto"/>
              </w:rPr>
            </w:pPr>
          </w:p>
        </w:tc>
        <w:tc>
          <w:tcPr>
            <w:tcW w:w="4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Basic</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81,582,375</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80,771,397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81,481,686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62,264,851</w:t>
            </w:r>
          </w:p>
        </w:tc>
        <w:tc>
          <w:tcPr>
            <w:tcW w:w="1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180" w:type="dxa"/>
            <w:vAlign w:val="bottom"/>
          </w:tcPr>
          <w:p>
            <w:pPr>
              <w:spacing w:after="0"/>
              <w:rPr>
                <w:sz w:val="19"/>
                <w:szCs w:val="19"/>
                <w:color w:val="auto"/>
              </w:rPr>
            </w:pPr>
          </w:p>
        </w:tc>
        <w:tc>
          <w:tcPr>
            <w:tcW w:w="4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82,493,211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80,771,397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82,473,521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63,095,857</w:t>
            </w:r>
          </w:p>
        </w:tc>
        <w:tc>
          <w:tcPr>
            <w:tcW w:w="18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18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702" w:right="339" w:bottom="1440" w:gutter="0" w:footer="0" w:header="0"/>
          <w:type w:val="continuous"/>
        </w:sectPr>
      </w:pPr>
    </w:p>
    <w:bookmarkStart w:id="7" w:name="page8"/>
    <w:bookmarkEnd w:id="7"/>
    <w:p>
      <w:pPr>
        <w:ind w:left="522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AS AT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500" w:type="dxa"/>
            <w:vAlign w:val="bottom"/>
          </w:tcPr>
          <w:p>
            <w:pPr>
              <w:ind w:left="300"/>
              <w:spacing w:after="0"/>
              <w:rPr>
                <w:sz w:val="20"/>
                <w:szCs w:val="20"/>
                <w:color w:val="auto"/>
              </w:rPr>
            </w:pPr>
            <w:r>
              <w:rPr>
                <w:rFonts w:ascii="Arial" w:cs="Arial" w:eastAsia="Arial" w:hAnsi="Arial"/>
                <w:sz w:val="18"/>
                <w:szCs w:val="18"/>
                <w:b w:val="1"/>
                <w:bCs w:val="1"/>
                <w:color w:val="auto"/>
              </w:rPr>
              <w:t>(Unaudited)</w:t>
            </w: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(Audited)</w:t>
            </w:r>
          </w:p>
        </w:tc>
        <w:tc>
          <w:tcPr>
            <w:tcW w:w="10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September, 30 2022 December, 31 2021</w:t>
            </w:r>
          </w:p>
        </w:tc>
        <w:tc>
          <w:tcPr>
            <w:tcW w:w="106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$ 609,158</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$ 752,213</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Available for sale investments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1,712</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1,712</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Accounts receivable, net of allowance for credit losses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1,435,010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1,342,770</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894,291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623,121</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60,251</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56,760</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Prepayments and other current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129,218</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114,323</w:t>
            </w:r>
          </w:p>
        </w:tc>
        <w:tc>
          <w:tcPr>
            <w:tcW w:w="106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41,935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50,299</w:t>
            </w:r>
          </w:p>
        </w:tc>
        <w:tc>
          <w:tcPr>
            <w:tcW w:w="1060" w:type="dxa"/>
            <w:vAlign w:val="bottom"/>
          </w:tcPr>
          <w:p>
            <w:pPr>
              <w:spacing w:after="0"/>
              <w:rPr>
                <w:sz w:val="21"/>
                <w:szCs w:val="21"/>
                <w:color w:val="auto"/>
              </w:rPr>
            </w:pPr>
          </w:p>
        </w:tc>
      </w:tr>
      <w:tr>
        <w:trPr>
          <w:trHeight w:val="230"/>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3,171,575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2,941,198</w:t>
            </w:r>
          </w:p>
        </w:tc>
        <w:tc>
          <w:tcPr>
            <w:tcW w:w="1060" w:type="dxa"/>
            <w:vAlign w:val="bottom"/>
          </w:tcPr>
          <w:p>
            <w:pPr>
              <w:spacing w:after="0"/>
              <w:rPr>
                <w:sz w:val="20"/>
                <w:szCs w:val="20"/>
                <w:color w:val="auto"/>
              </w:rPr>
            </w:pPr>
          </w:p>
        </w:tc>
      </w:tr>
      <w:tr>
        <w:trPr>
          <w:trHeight w:val="485"/>
        </w:trPr>
        <w:tc>
          <w:tcPr>
            <w:tcW w:w="100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315,524</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336,444</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8,942,525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9,037,931</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4,391,699</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4,710,843</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Operating right-of-use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137,000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198,123</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61,792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70,557</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Income taxes receivable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15,468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18,637</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62,298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48,392</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Equity method investments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2,373</w:t>
            </w:r>
          </w:p>
        </w:tc>
        <w:tc>
          <w:tcPr>
            <w:tcW w:w="106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Investments in equity- long term</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27,932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22,592</w:t>
            </w:r>
          </w:p>
        </w:tc>
        <w:tc>
          <w:tcPr>
            <w:tcW w:w="1060" w:type="dxa"/>
            <w:vAlign w:val="bottom"/>
          </w:tcPr>
          <w:p>
            <w:pPr>
              <w:spacing w:after="0"/>
              <w:rPr>
                <w:sz w:val="21"/>
                <w:szCs w:val="21"/>
                <w:color w:val="auto"/>
              </w:rPr>
            </w:pPr>
          </w:p>
        </w:tc>
      </w:tr>
      <w:tr>
        <w:trPr>
          <w:trHeight w:val="237"/>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Assets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$ 17,125,813</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$ 17,387,090</w:t>
            </w:r>
          </w:p>
        </w:tc>
        <w:tc>
          <w:tcPr>
            <w:tcW w:w="1060" w:type="dxa"/>
            <w:vAlign w:val="bottom"/>
          </w:tcPr>
          <w:p>
            <w:pPr>
              <w:spacing w:after="0"/>
              <w:rPr>
                <w:sz w:val="20"/>
                <w:szCs w:val="20"/>
                <w:color w:val="auto"/>
              </w:rPr>
            </w:pPr>
          </w:p>
        </w:tc>
      </w:tr>
      <w:tr>
        <w:trPr>
          <w:trHeight w:val="234"/>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100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$ 60,851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$ 90,764</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Unearned revenue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1,395,160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1,323,961</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1,147,142</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949,629</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72,580</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59,433</w:t>
            </w:r>
          </w:p>
        </w:tc>
        <w:tc>
          <w:tcPr>
            <w:tcW w:w="106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Current bank credit lines and loan facilities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55,150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55,150</w:t>
            </w:r>
          </w:p>
        </w:tc>
        <w:tc>
          <w:tcPr>
            <w:tcW w:w="1060" w:type="dxa"/>
            <w:vAlign w:val="bottom"/>
          </w:tcPr>
          <w:p>
            <w:pPr>
              <w:spacing w:after="0"/>
              <w:rPr>
                <w:sz w:val="21"/>
                <w:szCs w:val="21"/>
                <w:color w:val="auto"/>
              </w:rPr>
            </w:pPr>
          </w:p>
        </w:tc>
      </w:tr>
      <w:tr>
        <w:trPr>
          <w:trHeight w:val="230"/>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2,730,883</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2,478,937</w:t>
            </w:r>
          </w:p>
        </w:tc>
        <w:tc>
          <w:tcPr>
            <w:tcW w:w="1060" w:type="dxa"/>
            <w:vAlign w:val="bottom"/>
          </w:tcPr>
          <w:p>
            <w:pPr>
              <w:spacing w:after="0"/>
              <w:rPr>
                <w:sz w:val="20"/>
                <w:szCs w:val="20"/>
                <w:color w:val="auto"/>
              </w:rPr>
            </w:pPr>
          </w:p>
        </w:tc>
      </w:tr>
      <w:tr>
        <w:trPr>
          <w:trHeight w:val="242"/>
        </w:trPr>
        <w:tc>
          <w:tcPr>
            <w:tcW w:w="100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Non-current bank credit lines and loan facilities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4,794,856</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5,381,162</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Lease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126,482</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159,483</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41,888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42,596</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218,644</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172,109</w:t>
            </w:r>
          </w:p>
        </w:tc>
        <w:tc>
          <w:tcPr>
            <w:tcW w:w="106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Deferred tax liability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974,339</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1,085,976</w:t>
            </w:r>
          </w:p>
        </w:tc>
        <w:tc>
          <w:tcPr>
            <w:tcW w:w="1060" w:type="dxa"/>
            <w:vAlign w:val="bottom"/>
          </w:tcPr>
          <w:p>
            <w:pPr>
              <w:spacing w:after="0"/>
              <w:rPr>
                <w:sz w:val="21"/>
                <w:szCs w:val="21"/>
                <w:color w:val="auto"/>
              </w:rPr>
            </w:pPr>
          </w:p>
        </w:tc>
      </w:tr>
      <w:tr>
        <w:trPr>
          <w:trHeight w:val="237"/>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Liabilities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8,887,092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9,320,263</w:t>
            </w:r>
          </w:p>
        </w:tc>
        <w:tc>
          <w:tcPr>
            <w:tcW w:w="1060" w:type="dxa"/>
            <w:vAlign w:val="bottom"/>
          </w:tcPr>
          <w:p>
            <w:pPr>
              <w:spacing w:after="0"/>
              <w:rPr>
                <w:sz w:val="20"/>
                <w:szCs w:val="20"/>
                <w:color w:val="auto"/>
              </w:rPr>
            </w:pPr>
          </w:p>
        </w:tc>
      </w:tr>
      <w:tr>
        <w:trPr>
          <w:trHeight w:val="472"/>
        </w:trPr>
        <w:tc>
          <w:tcPr>
            <w:tcW w:w="100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w w:val="88"/>
              </w:rPr>
              <w:t>Ordinary shares, par value 6 euro cents per share; 100,000,000 shares authorized,</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81,645,279 shares issued and outstanding at September 30, 2022 and</w:t>
            </w: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81,554,683 shares issued and outstanding at December 31, 2021</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6,645</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6,640</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6,818,877</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6,733,910</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Other undenominated capital</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1,162</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1,134</w:t>
            </w:r>
          </w:p>
        </w:tc>
        <w:tc>
          <w:tcPr>
            <w:tcW w:w="106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(291,901)</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(90,937)</w:t>
            </w:r>
          </w:p>
        </w:tc>
        <w:tc>
          <w:tcPr>
            <w:tcW w:w="106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Retained earnings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1,703,938</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1,416,080</w:t>
            </w:r>
          </w:p>
        </w:tc>
        <w:tc>
          <w:tcPr>
            <w:tcW w:w="1060" w:type="dxa"/>
            <w:vAlign w:val="bottom"/>
          </w:tcPr>
          <w:p>
            <w:pPr>
              <w:spacing w:after="0"/>
              <w:rPr>
                <w:sz w:val="21"/>
                <w:szCs w:val="21"/>
                <w:color w:val="auto"/>
              </w:rPr>
            </w:pPr>
          </w:p>
        </w:tc>
      </w:tr>
      <w:tr>
        <w:trPr>
          <w:trHeight w:val="237"/>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8,238,721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8,066,827</w:t>
            </w:r>
          </w:p>
        </w:tc>
        <w:tc>
          <w:tcPr>
            <w:tcW w:w="1060" w:type="dxa"/>
            <w:vAlign w:val="bottom"/>
          </w:tcPr>
          <w:p>
            <w:pPr>
              <w:spacing w:after="0"/>
              <w:rPr>
                <w:sz w:val="20"/>
                <w:szCs w:val="20"/>
                <w:color w:val="auto"/>
              </w:rPr>
            </w:pPr>
          </w:p>
        </w:tc>
      </w:tr>
      <w:tr>
        <w:trPr>
          <w:trHeight w:val="236"/>
        </w:trPr>
        <w:tc>
          <w:tcPr>
            <w:tcW w:w="1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Equity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$ 17,125,813</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$ 17,387,090</w:t>
            </w:r>
          </w:p>
        </w:tc>
        <w:tc>
          <w:tcPr>
            <w:tcW w:w="1060" w:type="dxa"/>
            <w:vAlign w:val="bottom"/>
          </w:tcPr>
          <w:p>
            <w:pPr>
              <w:spacing w:after="0"/>
              <w:rPr>
                <w:sz w:val="20"/>
                <w:szCs w:val="20"/>
                <w:color w:val="auto"/>
              </w:rPr>
            </w:pPr>
          </w:p>
        </w:tc>
      </w:tr>
      <w:tr>
        <w:trPr>
          <w:trHeight w:val="668"/>
        </w:trPr>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2022 AND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Nine Months Ended</w:t>
            </w:r>
          </w:p>
        </w:tc>
        <w:tc>
          <w:tcPr>
            <w:tcW w:w="114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3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September 30, 2022 September 30, 2021</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3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$ 387,859</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$ 76,717</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w w:val="91"/>
              </w:rPr>
              <w:t>Adjustments to reconcile net income to net cash provided by operating activities:</w:t>
            </w:r>
          </w:p>
        </w:tc>
        <w:tc>
          <w:tcPr>
            <w:tcW w:w="1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Depreciation and amortization expense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427,285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175,317</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Impairment of right-of-use assets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27,727</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5,731</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Reduction in carrying value of operating right-of-use assets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35,238</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30,607</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Loss on equity method investments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2,643</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1,471</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Amortization of interest rate hedge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891</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Amortization of financing costs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13,544</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4,448</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Stock compensation expense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55,703</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114,791</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14,434</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Deferred taxes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(126,620)</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(26,532)</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Unrealised FX</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(52,334)</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(7,374)</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Loss on issuance of debt</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59,460</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Other non-cash items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18,595</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(1,592)</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(140,760)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123,413</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Unbilled revenue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(221,104)</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49,203</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Unearned revenue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28,352</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(60,514)</w:t>
            </w:r>
          </w:p>
        </w:tc>
        <w:tc>
          <w:tcPr>
            <w:tcW w:w="114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 assets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166,613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(21,147)</w:t>
            </w:r>
          </w:p>
        </w:tc>
        <w:tc>
          <w:tcPr>
            <w:tcW w:w="114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622,741</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539,324</w:t>
            </w:r>
          </w:p>
        </w:tc>
        <w:tc>
          <w:tcPr>
            <w:tcW w:w="1140" w:type="dxa"/>
            <w:vAlign w:val="bottom"/>
          </w:tcPr>
          <w:p>
            <w:pPr>
              <w:spacing w:after="0"/>
              <w:rPr>
                <w:sz w:val="20"/>
                <w:szCs w:val="20"/>
                <w:color w:val="auto"/>
              </w:rPr>
            </w:pPr>
          </w:p>
        </w:tc>
      </w:tr>
      <w:tr>
        <w:trPr>
          <w:trHeight w:val="242"/>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(85,145)</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(46,067)</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Purchase of subsidiary undertakings, net of cash acquired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(5,914,475)</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Purchase of equity method investment</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(2,450)</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Sale of available for sale investments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14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Purchase of investments in equity - long term</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(1,840)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(2,243)</w:t>
            </w:r>
          </w:p>
        </w:tc>
        <w:tc>
          <w:tcPr>
            <w:tcW w:w="114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(86,985)</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(5,965,218)</w:t>
            </w:r>
          </w:p>
        </w:tc>
        <w:tc>
          <w:tcPr>
            <w:tcW w:w="1140" w:type="dxa"/>
            <w:vAlign w:val="bottom"/>
          </w:tcPr>
          <w:p>
            <w:pPr>
              <w:spacing w:after="0"/>
              <w:rPr>
                <w:sz w:val="20"/>
                <w:szCs w:val="20"/>
                <w:color w:val="auto"/>
              </w:rPr>
            </w:pPr>
          </w:p>
        </w:tc>
      </w:tr>
      <w:tr>
        <w:trPr>
          <w:trHeight w:val="242"/>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Cash flows from financing activities:</w:t>
            </w:r>
          </w:p>
        </w:tc>
        <w:tc>
          <w:tcPr>
            <w:tcW w:w="1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Financing related costs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(30,349)</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Proceeds from exercise of equity compensation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28,967</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104,070</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Share issue costs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(848)</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Excess tax benefit on exercise of equity compensation</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Repurchase of ordinary shares</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(99,983)</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Share repurchase costs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(17)</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Drawdown of bank credit lines and loan facilities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25,000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5,905,100</w:t>
            </w:r>
          </w:p>
        </w:tc>
        <w:tc>
          <w:tcPr>
            <w:tcW w:w="114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Repayment of bank credit lines and loan facilities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(625,000)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(377,780)</w:t>
            </w:r>
          </w:p>
        </w:tc>
        <w:tc>
          <w:tcPr>
            <w:tcW w:w="114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(671,036)</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5,600,193</w:t>
            </w:r>
          </w:p>
        </w:tc>
        <w:tc>
          <w:tcPr>
            <w:tcW w:w="114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 of exchange rate movements on cash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(7,775)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(6,080)</w:t>
            </w:r>
          </w:p>
        </w:tc>
        <w:tc>
          <w:tcPr>
            <w:tcW w:w="114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(143,055)</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168,219</w:t>
            </w:r>
          </w:p>
        </w:tc>
        <w:tc>
          <w:tcPr>
            <w:tcW w:w="1140" w:type="dxa"/>
            <w:vAlign w:val="bottom"/>
          </w:tcPr>
          <w:p>
            <w:pPr>
              <w:spacing w:after="0"/>
              <w:rPr>
                <w:sz w:val="20"/>
                <w:szCs w:val="20"/>
                <w:color w:val="auto"/>
              </w:rPr>
            </w:pPr>
          </w:p>
        </w:tc>
      </w:tr>
      <w:tr>
        <w:trPr>
          <w:trHeight w:val="245"/>
        </w:trPr>
        <w:tc>
          <w:tcPr>
            <w:tcW w:w="1140" w:type="dxa"/>
            <w:vAlign w:val="bottom"/>
          </w:tcPr>
          <w:p>
            <w:pPr>
              <w:spacing w:after="0"/>
              <w:rPr>
                <w:sz w:val="21"/>
                <w:szCs w:val="21"/>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752,213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840,305</w:t>
            </w:r>
          </w:p>
        </w:tc>
        <w:tc>
          <w:tcPr>
            <w:tcW w:w="114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$ 609,158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$ 1,008,524</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7"/>
        </w:trPr>
        <w:tc>
          <w:tcPr>
            <w:tcW w:w="114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297"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NON-GAAP MEASURES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NINE MONTHS ENDED SEPTEMBER 30, 2022 AND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360" w:type="dxa"/>
            <w:vAlign w:val="bottom"/>
            <w:gridSpan w:val="2"/>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200" w:type="dxa"/>
            <w:vAlign w:val="bottom"/>
            <w:gridSpan w:val="2"/>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6680" w:type="dxa"/>
            <w:vAlign w:val="bottom"/>
          </w:tcPr>
          <w:p>
            <w:pPr>
              <w:spacing w:after="0"/>
              <w:rPr>
                <w:sz w:val="19"/>
                <w:szCs w:val="19"/>
                <w:color w:val="auto"/>
              </w:rPr>
            </w:pPr>
          </w:p>
        </w:tc>
        <w:tc>
          <w:tcPr>
            <w:tcW w:w="1260" w:type="dxa"/>
            <w:vAlign w:val="bottom"/>
          </w:tcPr>
          <w:p>
            <w:pPr>
              <w:ind w:left="300"/>
              <w:spacing w:after="0"/>
              <w:rPr>
                <w:sz w:val="20"/>
                <w:szCs w:val="20"/>
                <w:color w:val="auto"/>
              </w:rPr>
            </w:pPr>
            <w:r>
              <w:rPr>
                <w:rFonts w:ascii="Arial" w:cs="Arial" w:eastAsia="Arial" w:hAnsi="Arial"/>
                <w:sz w:val="18"/>
                <w:szCs w:val="18"/>
                <w:b w:val="1"/>
                <w:bCs w:val="1"/>
                <w:color w:val="auto"/>
              </w:rPr>
              <w:t>September</w:t>
            </w:r>
          </w:p>
        </w:tc>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September</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September</w:t>
            </w:r>
          </w:p>
        </w:tc>
        <w:tc>
          <w:tcPr>
            <w:tcW w:w="1080" w:type="dxa"/>
            <w:vAlign w:val="bottom"/>
          </w:tcPr>
          <w:p>
            <w:pPr>
              <w:ind w:left="120"/>
              <w:spacing w:after="0"/>
              <w:rPr>
                <w:sz w:val="20"/>
                <w:szCs w:val="20"/>
                <w:color w:val="auto"/>
              </w:rPr>
            </w:pPr>
            <w:r>
              <w:rPr>
                <w:rFonts w:ascii="Arial" w:cs="Arial" w:eastAsia="Arial" w:hAnsi="Arial"/>
                <w:sz w:val="18"/>
                <w:szCs w:val="18"/>
                <w:b w:val="1"/>
                <w:bCs w:val="1"/>
                <w:color w:val="auto"/>
              </w:rPr>
              <w:t>September</w:t>
            </w:r>
          </w:p>
        </w:tc>
      </w:tr>
      <w:tr>
        <w:trPr>
          <w:trHeight w:val="234"/>
        </w:trPr>
        <w:tc>
          <w:tcPr>
            <w:tcW w:w="6680" w:type="dxa"/>
            <w:vAlign w:val="bottom"/>
          </w:tcPr>
          <w:p>
            <w:pPr>
              <w:spacing w:after="0"/>
              <w:rPr>
                <w:sz w:val="20"/>
                <w:szCs w:val="20"/>
                <w:color w:val="auto"/>
              </w:rPr>
            </w:pPr>
          </w:p>
        </w:tc>
        <w:tc>
          <w:tcPr>
            <w:tcW w:w="126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30, 2022</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30, 2021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30, 2022</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30, 2021</w:t>
            </w:r>
          </w:p>
        </w:tc>
      </w:tr>
      <w:tr>
        <w:trPr>
          <w:trHeight w:val="243"/>
        </w:trPr>
        <w:tc>
          <w:tcPr>
            <w:tcW w:w="6680" w:type="dxa"/>
            <w:vAlign w:val="bottom"/>
          </w:tcPr>
          <w:p>
            <w:pPr>
              <w:spacing w:after="0"/>
              <w:rPr>
                <w:sz w:val="21"/>
                <w:szCs w:val="21"/>
                <w:color w:val="auto"/>
              </w:rPr>
            </w:pPr>
          </w:p>
        </w:tc>
        <w:tc>
          <w:tcPr>
            <w:tcW w:w="4560" w:type="dxa"/>
            <w:vAlign w:val="bottom"/>
            <w:gridSpan w:val="4"/>
          </w:tcPr>
          <w:p>
            <w:pPr>
              <w:ind w:left="580"/>
              <w:spacing w:after="0"/>
              <w:rPr>
                <w:sz w:val="20"/>
                <w:szCs w:val="20"/>
                <w:color w:val="auto"/>
              </w:rPr>
            </w:pPr>
            <w:r>
              <w:rPr>
                <w:rFonts w:ascii="Arial" w:cs="Arial" w:eastAsia="Arial" w:hAnsi="Arial"/>
                <w:sz w:val="18"/>
                <w:szCs w:val="18"/>
                <w:b w:val="1"/>
                <w:bCs w:val="1"/>
                <w:color w:val="auto"/>
                <w:w w:val="97"/>
              </w:rPr>
              <w:t>(in thousands except share and per share data)</w:t>
            </w:r>
          </w:p>
        </w:tc>
      </w:tr>
      <w:tr>
        <w:trPr>
          <w:trHeight w:val="486"/>
        </w:trPr>
        <w:tc>
          <w:tcPr>
            <w:tcW w:w="6680" w:type="dxa"/>
            <w:vAlign w:val="bottom"/>
          </w:tcPr>
          <w:p>
            <w:pPr>
              <w:spacing w:after="0"/>
              <w:rPr>
                <w:sz w:val="20"/>
                <w:szCs w:val="20"/>
                <w:color w:val="auto"/>
              </w:rPr>
            </w:pPr>
            <w:r>
              <w:rPr>
                <w:rFonts w:ascii="Arial" w:cs="Arial" w:eastAsia="Arial" w:hAnsi="Arial"/>
                <w:sz w:val="18"/>
                <w:szCs w:val="18"/>
                <w:b w:val="1"/>
                <w:bCs w:val="1"/>
                <w:color w:val="auto"/>
              </w:rPr>
              <w:t>Adjusted revenue</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Revenue, as reported</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0"/>
              </w:rPr>
              <w:t>$ 1,942,427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$ 1,866,352</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$ 5,779,384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$ 3,595,705</w:t>
            </w:r>
          </w:p>
        </w:tc>
      </w:tr>
      <w:tr>
        <w:trPr>
          <w:trHeight w:val="257"/>
        </w:trPr>
        <w:tc>
          <w:tcPr>
            <w:tcW w:w="668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 xml:space="preserve">Acquisition related deferred revenue adjustment </w:t>
            </w:r>
            <w:r>
              <w:rPr>
                <w:rFonts w:ascii="Arial" w:cs="Arial" w:eastAsia="Arial" w:hAnsi="Arial"/>
                <w:sz w:val="29"/>
                <w:szCs w:val="29"/>
                <w:color w:val="auto"/>
                <w:vertAlign w:val="superscript"/>
              </w:rPr>
              <w:t>(a)</w:t>
            </w:r>
          </w:p>
        </w:tc>
        <w:tc>
          <w:tcPr>
            <w:tcW w:w="12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4,000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4,000</w:t>
            </w:r>
          </w:p>
        </w:tc>
      </w:tr>
      <w:tr>
        <w:trPr>
          <w:trHeight w:val="232"/>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revenue</w:t>
            </w:r>
          </w:p>
        </w:tc>
        <w:tc>
          <w:tcPr>
            <w:tcW w:w="12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$ 1,942,427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$ 1,870,352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$ 5,779,384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$ 3,599,705</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7"/>
        </w:trPr>
        <w:tc>
          <w:tcPr>
            <w:tcW w:w="66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260" w:type="dxa"/>
            <w:vAlign w:val="bottom"/>
          </w:tcPr>
          <w:p>
            <w:pPr>
              <w:jc w:val="center"/>
              <w:ind w:left="90"/>
              <w:spacing w:after="0"/>
              <w:rPr>
                <w:sz w:val="20"/>
                <w:szCs w:val="20"/>
                <w:color w:val="auto"/>
              </w:rPr>
            </w:pPr>
            <w:r>
              <w:rPr>
                <w:rFonts w:ascii="Arial" w:cs="Arial" w:eastAsia="Arial" w:hAnsi="Arial"/>
                <w:sz w:val="18"/>
                <w:szCs w:val="18"/>
                <w:color w:val="auto"/>
                <w:w w:val="89"/>
              </w:rPr>
              <w:t>$ 160,154</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 (94,270)</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$ 387,859</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$ 76,717</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260" w:type="dxa"/>
            <w:vAlign w:val="bottom"/>
          </w:tcPr>
          <w:p>
            <w:pPr>
              <w:jc w:val="center"/>
              <w:ind w:left="90"/>
              <w:spacing w:after="0"/>
              <w:rPr>
                <w:sz w:val="20"/>
                <w:szCs w:val="20"/>
                <w:color w:val="auto"/>
              </w:rPr>
            </w:pPr>
            <w:r>
              <w:rPr>
                <w:rFonts w:ascii="Arial" w:cs="Arial" w:eastAsia="Arial" w:hAnsi="Arial"/>
                <w:sz w:val="18"/>
                <w:szCs w:val="18"/>
                <w:color w:val="auto"/>
                <w:w w:val="88"/>
              </w:rPr>
              <w:t>1,002</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688</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2,643</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1,471</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0"/>
              </w:rPr>
              <w:t>21,012</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(3,563)</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48,552</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26,718</w:t>
            </w:r>
          </w:p>
        </w:tc>
      </w:tr>
      <w:tr>
        <w:trPr>
          <w:trHeight w:val="256"/>
        </w:trPr>
        <w:tc>
          <w:tcPr>
            <w:tcW w:w="6680" w:type="dxa"/>
            <w:vAlign w:val="bottom"/>
          </w:tcPr>
          <w:p>
            <w:pPr>
              <w:spacing w:after="0" w:line="255" w:lineRule="exact"/>
              <w:rPr>
                <w:sz w:val="20"/>
                <w:szCs w:val="20"/>
                <w:color w:val="auto"/>
              </w:rPr>
            </w:pPr>
            <w:r>
              <w:rPr>
                <w:rFonts w:ascii="Arial" w:cs="Arial" w:eastAsia="Arial" w:hAnsi="Arial"/>
                <w:sz w:val="18"/>
                <w:szCs w:val="18"/>
                <w:color w:val="auto"/>
              </w:rPr>
              <w:t xml:space="preserve">Net interest expense </w:t>
            </w:r>
            <w:r>
              <w:rPr>
                <w:rFonts w:ascii="Arial" w:cs="Arial" w:eastAsia="Arial" w:hAnsi="Arial"/>
                <w:sz w:val="29"/>
                <w:szCs w:val="29"/>
                <w:color w:val="auto"/>
                <w:vertAlign w:val="superscript"/>
              </w:rPr>
              <w:t>(b)</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0"/>
              </w:rPr>
              <w:t>61,576</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102,253</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152,819</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129,088</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89"/>
              </w:rPr>
              <w:t>141,861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140,636</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427,285</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175,317</w:t>
            </w:r>
          </w:p>
        </w:tc>
      </w:tr>
      <w:tr>
        <w:trPr>
          <w:trHeight w:val="246"/>
        </w:trPr>
        <w:tc>
          <w:tcPr>
            <w:tcW w:w="668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0"/>
              </w:rPr>
              <w:t>16,730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26,355</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54,843</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41,987</w:t>
            </w:r>
          </w:p>
        </w:tc>
      </w:tr>
      <w:tr>
        <w:trPr>
          <w:trHeight w:val="253"/>
        </w:trPr>
        <w:tc>
          <w:tcPr>
            <w:tcW w:w="6680" w:type="dxa"/>
            <w:vAlign w:val="bottom"/>
          </w:tcPr>
          <w:p>
            <w:pPr>
              <w:spacing w:after="0" w:line="252" w:lineRule="exact"/>
              <w:rPr>
                <w:sz w:val="20"/>
                <w:szCs w:val="20"/>
                <w:color w:val="auto"/>
              </w:rPr>
            </w:pPr>
            <w:r>
              <w:rPr>
                <w:rFonts w:ascii="Arial" w:cs="Arial" w:eastAsia="Arial" w:hAnsi="Arial"/>
                <w:sz w:val="18"/>
                <w:szCs w:val="18"/>
                <w:color w:val="auto"/>
              </w:rPr>
              <w:t xml:space="preserve">Foreign currency losses (gains), net </w:t>
            </w:r>
            <w:r>
              <w:rPr>
                <w:rFonts w:ascii="Arial" w:cs="Arial" w:eastAsia="Arial" w:hAnsi="Arial"/>
                <w:sz w:val="29"/>
                <w:szCs w:val="29"/>
                <w:color w:val="auto"/>
                <w:vertAlign w:val="superscript"/>
              </w:rPr>
              <w:t>(d)</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2"/>
              </w:rPr>
              <w:t>(36,933)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(7,185)</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(61,395)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(6,346)</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Acquisition related deferred revenue adjustment</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4,000</w:t>
            </w:r>
          </w:p>
        </w:tc>
      </w:tr>
      <w:tr>
        <w:trPr>
          <w:trHeight w:val="246"/>
        </w:trPr>
        <w:tc>
          <w:tcPr>
            <w:tcW w:w="6680" w:type="dxa"/>
            <w:vAlign w:val="bottom"/>
          </w:tcPr>
          <w:p>
            <w:pPr>
              <w:spacing w:after="0" w:line="246"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1260" w:type="dxa"/>
            <w:vAlign w:val="bottom"/>
          </w:tcPr>
          <w:p>
            <w:pPr>
              <w:jc w:val="center"/>
              <w:ind w:left="90"/>
              <w:spacing w:after="0"/>
              <w:rPr>
                <w:sz w:val="20"/>
                <w:szCs w:val="20"/>
                <w:color w:val="auto"/>
              </w:rPr>
            </w:pPr>
            <w:r>
              <w:rPr>
                <w:rFonts w:ascii="Arial" w:cs="Arial" w:eastAsia="Arial" w:hAnsi="Arial"/>
                <w:sz w:val="18"/>
                <w:szCs w:val="18"/>
                <w:color w:val="auto"/>
                <w:w w:val="88"/>
              </w:rPr>
              <w:t>6,197</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6,162</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32,890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6,162</w:t>
            </w:r>
          </w:p>
        </w:tc>
      </w:tr>
      <w:tr>
        <w:trPr>
          <w:trHeight w:val="254"/>
        </w:trPr>
        <w:tc>
          <w:tcPr>
            <w:tcW w:w="668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(f)</w:t>
            </w:r>
          </w:p>
        </w:tc>
        <w:tc>
          <w:tcPr>
            <w:tcW w:w="12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8,001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149,791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28,970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182,309</w:t>
            </w:r>
          </w:p>
        </w:tc>
      </w:tr>
      <w:tr>
        <w:trPr>
          <w:trHeight w:val="232"/>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$ 379,600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$ 324,867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$ 1,074,466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$ 637,423</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39"/>
        </w:trPr>
        <w:tc>
          <w:tcPr>
            <w:tcW w:w="6680" w:type="dxa"/>
            <w:vAlign w:val="bottom"/>
          </w:tcPr>
          <w:p>
            <w:pPr>
              <w:spacing w:after="0"/>
              <w:rPr>
                <w:sz w:val="20"/>
                <w:szCs w:val="20"/>
                <w:color w:val="auto"/>
              </w:rPr>
            </w:pPr>
            <w:r>
              <w:rPr>
                <w:rFonts w:ascii="Arial" w:cs="Arial" w:eastAsia="Arial" w:hAnsi="Arial"/>
                <w:sz w:val="18"/>
                <w:szCs w:val="18"/>
                <w:b w:val="1"/>
                <w:bCs w:val="1"/>
                <w:color w:val="auto"/>
                <w:w w:val="94"/>
              </w:rPr>
              <w:t>Adjusted net income attributable to the Group and adjusted diluted net income per</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Ordinary Share attributable to the Group</w:t>
            </w: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6680" w:type="dxa"/>
            <w:vAlign w:val="bottom"/>
          </w:tcPr>
          <w:p>
            <w:pPr>
              <w:ind w:left="140"/>
              <w:spacing w:after="0"/>
              <w:rPr>
                <w:sz w:val="20"/>
                <w:szCs w:val="20"/>
                <w:color w:val="auto"/>
              </w:rPr>
            </w:pPr>
            <w:r>
              <w:rPr>
                <w:rFonts w:ascii="Arial" w:cs="Arial" w:eastAsia="Arial" w:hAnsi="Arial"/>
                <w:sz w:val="18"/>
                <w:szCs w:val="18"/>
                <w:color w:val="auto"/>
              </w:rPr>
              <w:t>Net income attributable to the Group</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89"/>
              </w:rPr>
              <w:t>160,154</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(94,270)</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387,859</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76,717</w:t>
            </w:r>
          </w:p>
        </w:tc>
      </w:tr>
      <w:tr>
        <w:trPr>
          <w:trHeight w:val="243"/>
        </w:trPr>
        <w:tc>
          <w:tcPr>
            <w:tcW w:w="668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0"/>
              </w:rPr>
              <w:t>21,012</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(3,563)</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48,552</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26,718</w:t>
            </w:r>
          </w:p>
        </w:tc>
      </w:tr>
      <w:tr>
        <w:trPr>
          <w:trHeight w:val="243"/>
        </w:trPr>
        <w:tc>
          <w:tcPr>
            <w:tcW w:w="6680" w:type="dxa"/>
            <w:vAlign w:val="bottom"/>
          </w:tcPr>
          <w:p>
            <w:pPr>
              <w:ind w:left="140"/>
              <w:spacing w:after="0"/>
              <w:rPr>
                <w:sz w:val="20"/>
                <w:szCs w:val="20"/>
                <w:color w:val="auto"/>
              </w:rPr>
            </w:pPr>
            <w:r>
              <w:rPr>
                <w:rFonts w:ascii="Arial" w:cs="Arial" w:eastAsia="Arial" w:hAnsi="Arial"/>
                <w:sz w:val="18"/>
                <w:szCs w:val="18"/>
                <w:color w:val="auto"/>
              </w:rPr>
              <w:t>Amortisation</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89"/>
              </w:rPr>
              <w:t>114,991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115,874</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348,118</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124,615</w:t>
            </w:r>
          </w:p>
        </w:tc>
      </w:tr>
      <w:tr>
        <w:trPr>
          <w:trHeight w:val="246"/>
        </w:trPr>
        <w:tc>
          <w:tcPr>
            <w:tcW w:w="6680" w:type="dxa"/>
            <w:vAlign w:val="bottom"/>
          </w:tcPr>
          <w:p>
            <w:pPr>
              <w:ind w:left="140"/>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0"/>
              </w:rPr>
              <w:t>16,730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26,355</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54,843</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41,987</w:t>
            </w:r>
          </w:p>
        </w:tc>
      </w:tr>
      <w:tr>
        <w:trPr>
          <w:trHeight w:val="243"/>
        </w:trPr>
        <w:tc>
          <w:tcPr>
            <w:tcW w:w="6680" w:type="dxa"/>
            <w:vAlign w:val="bottom"/>
          </w:tcPr>
          <w:p>
            <w:pPr>
              <w:ind w:left="140"/>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2"/>
              </w:rPr>
              <w:t>(36,933)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(7,185)</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(61,395)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(6,346)</w:t>
            </w:r>
          </w:p>
        </w:tc>
      </w:tr>
      <w:tr>
        <w:trPr>
          <w:trHeight w:val="253"/>
        </w:trPr>
        <w:tc>
          <w:tcPr>
            <w:tcW w:w="6680" w:type="dxa"/>
            <w:vAlign w:val="bottom"/>
          </w:tcPr>
          <w:p>
            <w:pPr>
              <w:ind w:left="140"/>
              <w:spacing w:after="0" w:line="252"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29"/>
                <w:szCs w:val="29"/>
                <w:color w:val="auto"/>
                <w:vertAlign w:val="superscript"/>
              </w:rPr>
              <w:t>(e)</w:t>
            </w:r>
          </w:p>
        </w:tc>
        <w:tc>
          <w:tcPr>
            <w:tcW w:w="1260" w:type="dxa"/>
            <w:vAlign w:val="bottom"/>
          </w:tcPr>
          <w:p>
            <w:pPr>
              <w:jc w:val="center"/>
              <w:ind w:left="90"/>
              <w:spacing w:after="0"/>
              <w:rPr>
                <w:sz w:val="20"/>
                <w:szCs w:val="20"/>
                <w:color w:val="auto"/>
              </w:rPr>
            </w:pPr>
            <w:r>
              <w:rPr>
                <w:rFonts w:ascii="Arial" w:cs="Arial" w:eastAsia="Arial" w:hAnsi="Arial"/>
                <w:sz w:val="18"/>
                <w:szCs w:val="18"/>
                <w:color w:val="auto"/>
                <w:w w:val="88"/>
              </w:rPr>
              <w:t>6,197</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6,162</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32,890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6,162</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Acquisition related deferred revenue adjustment</w:t>
            </w:r>
          </w:p>
        </w:tc>
        <w:tc>
          <w:tcPr>
            <w:tcW w:w="126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4,000</w:t>
            </w:r>
          </w:p>
        </w:tc>
      </w:tr>
      <w:tr>
        <w:trPr>
          <w:trHeight w:val="246"/>
        </w:trPr>
        <w:tc>
          <w:tcPr>
            <w:tcW w:w="6680" w:type="dxa"/>
            <w:vAlign w:val="bottom"/>
          </w:tcPr>
          <w:p>
            <w:pPr>
              <w:ind w:left="140"/>
              <w:spacing w:after="0" w:line="246"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(f)</w:t>
            </w:r>
          </w:p>
        </w:tc>
        <w:tc>
          <w:tcPr>
            <w:tcW w:w="1260" w:type="dxa"/>
            <w:vAlign w:val="bottom"/>
          </w:tcPr>
          <w:p>
            <w:pPr>
              <w:jc w:val="center"/>
              <w:ind w:left="90"/>
              <w:spacing w:after="0"/>
              <w:rPr>
                <w:sz w:val="20"/>
                <w:szCs w:val="20"/>
                <w:color w:val="auto"/>
              </w:rPr>
            </w:pPr>
            <w:r>
              <w:rPr>
                <w:rFonts w:ascii="Arial" w:cs="Arial" w:eastAsia="Arial" w:hAnsi="Arial"/>
                <w:sz w:val="18"/>
                <w:szCs w:val="18"/>
                <w:color w:val="auto"/>
                <w:w w:val="88"/>
              </w:rPr>
              <w:t>8,001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149,791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28,970</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182,309</w:t>
            </w:r>
          </w:p>
        </w:tc>
      </w:tr>
      <w:tr>
        <w:trPr>
          <w:trHeight w:val="243"/>
        </w:trPr>
        <w:tc>
          <w:tcPr>
            <w:tcW w:w="6680" w:type="dxa"/>
            <w:vAlign w:val="bottom"/>
          </w:tcPr>
          <w:p>
            <w:pPr>
              <w:ind w:left="140"/>
              <w:spacing w:after="0" w:line="243" w:lineRule="exact"/>
              <w:rPr>
                <w:sz w:val="20"/>
                <w:szCs w:val="20"/>
                <w:color w:val="auto"/>
              </w:rPr>
            </w:pPr>
            <w:r>
              <w:rPr>
                <w:rFonts w:ascii="Arial" w:cs="Arial" w:eastAsia="Arial" w:hAnsi="Arial"/>
                <w:sz w:val="17"/>
                <w:szCs w:val="17"/>
                <w:color w:val="auto"/>
              </w:rPr>
              <w:t xml:space="preserve">Transaction-related financing costs </w:t>
            </w:r>
            <w:r>
              <w:rPr>
                <w:rFonts w:ascii="Arial" w:cs="Arial" w:eastAsia="Arial" w:hAnsi="Arial"/>
                <w:sz w:val="28"/>
                <w:szCs w:val="28"/>
                <w:color w:val="auto"/>
                <w:vertAlign w:val="superscript"/>
              </w:rPr>
              <w:t>(g)</w:t>
            </w:r>
          </w:p>
        </w:tc>
        <w:tc>
          <w:tcPr>
            <w:tcW w:w="1260" w:type="dxa"/>
            <w:vAlign w:val="bottom"/>
          </w:tcPr>
          <w:p>
            <w:pPr>
              <w:jc w:val="center"/>
              <w:ind w:left="90"/>
              <w:spacing w:after="0"/>
              <w:rPr>
                <w:sz w:val="20"/>
                <w:szCs w:val="20"/>
                <w:color w:val="auto"/>
              </w:rPr>
            </w:pPr>
            <w:r>
              <w:rPr>
                <w:rFonts w:ascii="Arial" w:cs="Arial" w:eastAsia="Arial" w:hAnsi="Arial"/>
                <w:sz w:val="18"/>
                <w:szCs w:val="18"/>
                <w:color w:val="auto"/>
                <w:w w:val="88"/>
              </w:rPr>
              <w:t>4,356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55,773</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13,609</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78,251</w:t>
            </w:r>
          </w:p>
        </w:tc>
      </w:tr>
      <w:tr>
        <w:trPr>
          <w:trHeight w:val="254"/>
        </w:trPr>
        <w:tc>
          <w:tcPr>
            <w:tcW w:w="6680" w:type="dxa"/>
            <w:vAlign w:val="bottom"/>
            <w:tcBorders>
              <w:bottom w:val="single" w:sz="8" w:color="auto"/>
            </w:tcBorders>
          </w:tcPr>
          <w:p>
            <w:pPr>
              <w:ind w:left="140"/>
              <w:spacing w:after="0" w:line="253" w:lineRule="exact"/>
              <w:rPr>
                <w:sz w:val="20"/>
                <w:szCs w:val="20"/>
                <w:color w:val="auto"/>
              </w:rPr>
            </w:pPr>
            <w:r>
              <w:rPr>
                <w:rFonts w:ascii="Arial" w:cs="Arial" w:eastAsia="Arial" w:hAnsi="Arial"/>
                <w:sz w:val="18"/>
                <w:szCs w:val="18"/>
                <w:color w:val="auto"/>
              </w:rPr>
              <w:t xml:space="preserve">Adjusted tax expense </w:t>
            </w:r>
            <w:r>
              <w:rPr>
                <w:rFonts w:ascii="Arial" w:cs="Arial" w:eastAsia="Arial" w:hAnsi="Arial"/>
                <w:sz w:val="29"/>
                <w:szCs w:val="29"/>
                <w:color w:val="auto"/>
                <w:vertAlign w:val="superscript"/>
              </w:rPr>
              <w:t>(h)</w:t>
            </w:r>
          </w:p>
        </w:tc>
        <w:tc>
          <w:tcPr>
            <w:tcW w:w="12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(47,284)</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(43,121)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(142,492)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(85,993)</w:t>
            </w:r>
          </w:p>
        </w:tc>
      </w:tr>
      <w:tr>
        <w:trPr>
          <w:trHeight w:val="232"/>
        </w:trPr>
        <w:tc>
          <w:tcPr>
            <w:tcW w:w="6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Adjusted net income attributable to the Group</w:t>
            </w:r>
          </w:p>
        </w:tc>
        <w:tc>
          <w:tcPr>
            <w:tcW w:w="12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$ 247,224</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$ 209,816</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$ 710,954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$ 448,420</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7"/>
        </w:trPr>
        <w:tc>
          <w:tcPr>
            <w:tcW w:w="6680" w:type="dxa"/>
            <w:vAlign w:val="bottom"/>
          </w:tcPr>
          <w:p>
            <w:pPr>
              <w:ind w:left="140"/>
              <w:spacing w:after="0"/>
              <w:rPr>
                <w:sz w:val="20"/>
                <w:szCs w:val="20"/>
                <w:color w:val="auto"/>
              </w:rPr>
            </w:pPr>
            <w:r>
              <w:rPr>
                <w:rFonts w:ascii="Arial" w:cs="Arial" w:eastAsia="Arial" w:hAnsi="Arial"/>
                <w:sz w:val="18"/>
                <w:szCs w:val="18"/>
                <w:color w:val="auto"/>
              </w:rPr>
              <w:t>Diluted weighted average number of Ordinary Shares outstanding</w:t>
            </w:r>
          </w:p>
        </w:tc>
        <w:tc>
          <w:tcPr>
            <w:tcW w:w="1260" w:type="dxa"/>
            <w:vAlign w:val="bottom"/>
          </w:tcPr>
          <w:p>
            <w:pPr>
              <w:jc w:val="center"/>
              <w:ind w:left="90"/>
              <w:spacing w:after="0"/>
              <w:rPr>
                <w:sz w:val="20"/>
                <w:szCs w:val="20"/>
                <w:color w:val="auto"/>
              </w:rPr>
            </w:pPr>
            <w:r>
              <w:rPr>
                <w:rFonts w:ascii="Arial" w:cs="Arial" w:eastAsia="Arial" w:hAnsi="Arial"/>
                <w:sz w:val="18"/>
                <w:szCs w:val="18"/>
                <w:color w:val="auto"/>
                <w:w w:val="88"/>
              </w:rPr>
              <w:t>82,493,211</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82,293,287</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82,473,521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63,095,857</w:t>
            </w:r>
          </w:p>
        </w:tc>
      </w:tr>
      <w:tr>
        <w:trPr>
          <w:trHeight w:val="257"/>
        </w:trPr>
        <w:tc>
          <w:tcPr>
            <w:tcW w:w="6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32"/>
        </w:trPr>
        <w:tc>
          <w:tcPr>
            <w:tcW w:w="6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Adjusted diluted net income per Ordinary Share attributable to the Group</w:t>
            </w:r>
          </w:p>
        </w:tc>
        <w:tc>
          <w:tcPr>
            <w:tcW w:w="12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$ 3.00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$ 2.55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$ 8.62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$ 7.11</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0"/>
        </w:trPr>
        <w:tc>
          <w:tcPr>
            <w:tcW w:w="6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10" w:name="page11"/>
    <w:bookmarkEnd w:id="10"/>
    <w:p>
      <w:pPr>
        <w:ind w:right="80" w:firstLine="8"/>
        <w:spacing w:after="0" w:line="277" w:lineRule="auto"/>
        <w:tabs>
          <w:tab w:leader="none" w:pos="245"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 related deferred revenue adjustment represents non-cash adjustments resulting from the revaluation of deferred revenue and the subsequent charge to revenue in connection with business combinations</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interest expense includes losses on modification or extinguishment of debt.</w:t>
      </w:r>
    </w:p>
    <w:p>
      <w:pPr>
        <w:spacing w:after="0" w:line="184" w:lineRule="exact"/>
        <w:rPr>
          <w:rFonts w:ascii="Arial" w:cs="Arial" w:eastAsia="Arial" w:hAnsi="Arial"/>
          <w:sz w:val="18"/>
          <w:szCs w:val="18"/>
          <w:color w:val="auto"/>
        </w:rPr>
      </w:pPr>
    </w:p>
    <w:p>
      <w:pPr>
        <w:ind w:right="460" w:firstLine="8"/>
        <w:spacing w:after="0" w:line="277" w:lineRule="auto"/>
        <w:tabs>
          <w:tab w:leader="none" w:pos="245"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Stock-based compensation expense represents the amount of recurring non-cash expense related to the Company’s equity compensation programs (inclusive of employer related taxes).</w:t>
      </w:r>
    </w:p>
    <w:p>
      <w:pPr>
        <w:spacing w:after="0" w:line="129" w:lineRule="exact"/>
        <w:rPr>
          <w:rFonts w:ascii="Arial" w:cs="Arial" w:eastAsia="Arial" w:hAnsi="Arial"/>
          <w:sz w:val="18"/>
          <w:szCs w:val="18"/>
          <w:color w:val="auto"/>
        </w:rPr>
      </w:pPr>
    </w:p>
    <w:p>
      <w:pPr>
        <w:ind w:right="380" w:firstLine="8"/>
        <w:spacing w:after="0" w:line="263"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156" w:lineRule="exact"/>
        <w:rPr>
          <w:rFonts w:ascii="Arial" w:cs="Arial" w:eastAsia="Arial" w:hAnsi="Arial"/>
          <w:sz w:val="18"/>
          <w:szCs w:val="18"/>
          <w:color w:val="auto"/>
        </w:rPr>
      </w:pPr>
    </w:p>
    <w:p>
      <w:pPr>
        <w:ind w:right="400" w:firstLine="8"/>
        <w:spacing w:after="0" w:line="277" w:lineRule="auto"/>
        <w:tabs>
          <w:tab w:leader="none" w:pos="24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Restructuring charges incurred relate to charges incurred in connection with the termination of leases at locations that are no longer being used and amounts incurred in connection with the elimination of redundant positions within the organization.</w:t>
      </w:r>
    </w:p>
    <w:p>
      <w:pPr>
        <w:spacing w:after="0" w:line="129" w:lineRule="exact"/>
        <w:rPr>
          <w:rFonts w:ascii="Arial" w:cs="Arial" w:eastAsia="Arial" w:hAnsi="Arial"/>
          <w:sz w:val="18"/>
          <w:szCs w:val="18"/>
          <w:color w:val="auto"/>
        </w:rPr>
      </w:pPr>
    </w:p>
    <w:p>
      <w:pPr>
        <w:jc w:val="both"/>
        <w:ind w:firstLine="8"/>
        <w:spacing w:after="0" w:line="263" w:lineRule="auto"/>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Transaction-related / integration-related costs include expenses/credits associated with our acquisitions, share-based compensation expense related to the acceleration of share-based compensation awards and replacement share-based awards, contingent consideration valuation adjustments, and any other costs incurred directly related to the integration of these acquisitions.</w:t>
      </w:r>
    </w:p>
    <w:p>
      <w:pPr>
        <w:spacing w:after="0" w:line="143" w:lineRule="exact"/>
        <w:rPr>
          <w:rFonts w:ascii="Arial" w:cs="Arial" w:eastAsia="Arial" w:hAnsi="Arial"/>
          <w:sz w:val="18"/>
          <w:szCs w:val="18"/>
          <w:color w:val="auto"/>
        </w:rPr>
      </w:pPr>
    </w:p>
    <w:p>
      <w:pPr>
        <w:ind w:firstLine="8"/>
        <w:spacing w:after="0" w:line="263"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56"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tax effect of adjusted pre-tax income at our estimated effective tax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ICON/ICLR-F</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Contact: Investor Relations +1 888 381 7923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 Chief Financial Officer +353 1 291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Kate Haven Vice President Investor Relations +1888 381 7923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at ICON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http://www.iconplc.com</w:t>
      </w:r>
    </w:p>
    <w:sectPr>
      <w:pgSz w:w="11900" w:h="16838" w:orient="portrait"/>
      <w:cols w:equalWidth="0" w:num="1">
        <w:col w:w="11220"/>
      </w:cols>
      <w:pgMar w:left="320" w:top="3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2022-11-02T16:19:15Z</dcterms:created>
  <dcterms:modified xsi:type="dcterms:W3CDTF">2022-11-02T16:19:15Z</dcterms:modified>
</cp:coreProperties>
</file>