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t>FORM 6-K</w:t>
      </w:r>
    </w:p>
    <w:p>
      <w:pPr>
        <w:spacing w:after="0" w:line="224"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8"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2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For the month ended December, 2019</w:t>
      </w:r>
    </w:p>
    <w:p>
      <w:pPr>
        <w:spacing w:after="0" w:line="200" w:lineRule="exact"/>
        <w:rPr>
          <w:sz w:val="24"/>
          <w:szCs w:val="24"/>
          <w:color w:val="auto"/>
        </w:rPr>
      </w:pPr>
    </w:p>
    <w:p>
      <w:pPr>
        <w:spacing w:after="0" w:line="236"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8" w:lineRule="exact"/>
        <w:rPr>
          <w:sz w:val="24"/>
          <w:szCs w:val="24"/>
          <w:color w:val="auto"/>
        </w:rPr>
      </w:pPr>
    </w:p>
    <w:p>
      <w:pPr>
        <w:ind w:left="4560"/>
        <w:spacing w:after="0"/>
        <w:tabs>
          <w:tab w:leader="none" w:pos="6480" w:val="left"/>
        </w:tabs>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b w:val="1"/>
          <w:bCs w:val="1"/>
          <w:u w:val="single" w:color="auto"/>
          <w:color w:val="auto"/>
        </w:rPr>
        <w:t>X</w:t>
      </w:r>
      <w:r>
        <w:rPr>
          <w:rFonts w:ascii="Arial" w:cs="Arial" w:eastAsia="Arial" w:hAnsi="Arial"/>
          <w:sz w:val="18"/>
          <w:szCs w:val="18"/>
          <w:u w:val="single" w:color="auto"/>
          <w:color w:val="auto"/>
        </w:rPr>
        <w:t>___</w:t>
      </w:r>
      <w:r>
        <w:rPr>
          <w:sz w:val="20"/>
          <w:szCs w:val="20"/>
          <w:color w:val="auto"/>
        </w:rPr>
        <w:tab/>
      </w:r>
      <w:r>
        <w:rPr>
          <w:rFonts w:ascii="Arial" w:cs="Arial" w:eastAsia="Arial" w:hAnsi="Arial"/>
          <w:sz w:val="16"/>
          <w:szCs w:val="16"/>
          <w:color w:val="auto"/>
        </w:rPr>
        <w:t>Form 40-F _____</w:t>
      </w: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8" w:lineRule="exact"/>
        <w:rPr>
          <w:sz w:val="24"/>
          <w:szCs w:val="24"/>
          <w:color w:val="auto"/>
        </w:rPr>
      </w:pPr>
    </w:p>
    <w:p>
      <w:pPr>
        <w:ind w:left="4560"/>
        <w:spacing w:after="0"/>
        <w:tabs>
          <w:tab w:leader="none" w:pos="64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8" w:lineRule="exact"/>
        <w:rPr>
          <w:sz w:val="24"/>
          <w:szCs w:val="24"/>
          <w:color w:val="auto"/>
        </w:rPr>
      </w:pPr>
    </w:p>
    <w:p>
      <w:pPr>
        <w:ind w:left="4560"/>
        <w:spacing w:after="0"/>
        <w:tabs>
          <w:tab w:leader="none" w:pos="64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3"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5" w:lineRule="exact"/>
        <w:rPr>
          <w:sz w:val="24"/>
          <w:szCs w:val="24"/>
          <w:color w:val="auto"/>
        </w:rPr>
      </w:pPr>
    </w:p>
    <w:p>
      <w:pPr>
        <w:ind w:left="4560"/>
        <w:spacing w:after="0"/>
        <w:tabs>
          <w:tab w:leader="none" w:pos="64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580"/>
          </w:cols>
          <w:pgMar w:left="280" w:top="229" w:right="10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39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359" w:lineRule="exact"/>
        <w:rPr>
          <w:sz w:val="20"/>
          <w:szCs w:val="20"/>
          <w:color w:val="auto"/>
        </w:rPr>
      </w:pPr>
    </w:p>
    <w:p>
      <w:pPr>
        <w:jc w:val="right"/>
        <w:ind w:right="1619"/>
        <w:spacing w:after="0"/>
        <w:tabs>
          <w:tab w:leader="none" w:pos="694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ICON plc Unaudited Interim Financial Statements (IFRS Single Company Finanical Statements)</w:t>
      </w:r>
    </w:p>
    <w:p>
      <w:pPr>
        <w:sectPr>
          <w:pgSz w:w="11900" w:h="16838" w:orient="portrait"/>
          <w:cols w:equalWidth="0" w:num="1">
            <w:col w:w="10179"/>
          </w:cols>
          <w:pgMar w:left="28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34"/>
        </w:trPr>
        <w:tc>
          <w:tcPr>
            <w:tcW w:w="7620" w:type="dxa"/>
            <w:vAlign w:val="bottom"/>
            <w:vMerge w:val="restart"/>
          </w:tcPr>
          <w:p>
            <w:pPr>
              <w:spacing w:after="0"/>
              <w:rPr>
                <w:sz w:val="20"/>
                <w:szCs w:val="20"/>
                <w:color w:val="auto"/>
              </w:rPr>
            </w:pPr>
            <w:r>
              <w:rPr>
                <w:rFonts w:ascii="Arial" w:cs="Arial" w:eastAsia="Arial" w:hAnsi="Arial"/>
                <w:sz w:val="18"/>
                <w:szCs w:val="18"/>
                <w:color w:val="auto"/>
              </w:rPr>
              <w:t>Date: December 11, 2019</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620" w:type="dxa"/>
            <w:vAlign w:val="bottom"/>
            <w:vMerge w:val="continue"/>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68" w:right="239" w:bottom="1440" w:gutter="0" w:footer="0" w:header="0"/>
        </w:sectPr>
      </w:pPr>
    </w:p>
    <w:bookmarkStart w:id="3" w:name="page4"/>
    <w:bookmarkEnd w:id="3"/>
    <w:p>
      <w:pPr>
        <w:jc w:val="right"/>
        <w:ind w:right="2379"/>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ICON Plc</w:t>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Unaudited Interim</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Financial Statements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For the interim period 1 January 2019 to 31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spacing w:after="0"/>
        <w:tabs>
          <w:tab w:leader="none" w:pos="2860" w:val="left"/>
        </w:tabs>
        <w:rPr>
          <w:sz w:val="20"/>
          <w:szCs w:val="20"/>
          <w:color w:val="auto"/>
        </w:rPr>
      </w:pPr>
      <w:r>
        <w:rPr>
          <w:rFonts w:ascii="Arial" w:cs="Arial" w:eastAsia="Arial" w:hAnsi="Arial"/>
          <w:sz w:val="22"/>
          <w:szCs w:val="22"/>
          <w:b w:val="1"/>
          <w:bCs w:val="1"/>
          <w:i w:val="1"/>
          <w:iCs w:val="1"/>
          <w:color w:val="auto"/>
        </w:rPr>
        <w:t>Registered number</w:t>
      </w:r>
      <w:r>
        <w:rPr>
          <w:sz w:val="20"/>
          <w:szCs w:val="20"/>
          <w:color w:val="auto"/>
        </w:rPr>
        <w:tab/>
      </w:r>
      <w:r>
        <w:rPr>
          <w:rFonts w:ascii="Arial" w:cs="Arial" w:eastAsia="Arial" w:hAnsi="Arial"/>
          <w:sz w:val="19"/>
          <w:szCs w:val="19"/>
          <w:b w:val="1"/>
          <w:bCs w:val="1"/>
          <w:i w:val="1"/>
          <w:iCs w:val="1"/>
          <w:color w:val="auto"/>
        </w:rPr>
        <w:t>: 145835</w:t>
      </w:r>
    </w:p>
    <w:p>
      <w:pPr>
        <w:sectPr>
          <w:pgSz w:w="11900" w:h="16838" w:orient="portrait"/>
          <w:cols w:equalWidth="0" w:num="1">
            <w:col w:w="9019"/>
          </w:cols>
          <w:pgMar w:left="1440" w:top="1199" w:right="1440"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i w:val="1"/>
                <w:iCs w:val="1"/>
                <w:color w:val="auto"/>
              </w:rPr>
              <w:t>Contents  Page</w:t>
            </w:r>
          </w:p>
        </w:tc>
        <w:tc>
          <w:tcPr>
            <w:tcW w:w="260" w:type="dxa"/>
            <w:vAlign w:val="bottom"/>
          </w:tcPr>
          <w:p>
            <w:pPr>
              <w:spacing w:after="0"/>
              <w:rPr>
                <w:sz w:val="20"/>
                <w:szCs w:val="20"/>
                <w:color w:val="auto"/>
              </w:rPr>
            </w:pPr>
          </w:p>
        </w:tc>
      </w:tr>
      <w:tr>
        <w:trPr>
          <w:trHeight w:val="431"/>
        </w:trPr>
        <w:tc>
          <w:tcPr>
            <w:tcW w:w="2800" w:type="dxa"/>
            <w:vAlign w:val="bottom"/>
          </w:tcPr>
          <w:p>
            <w:pPr>
              <w:spacing w:after="0"/>
              <w:rPr>
                <w:sz w:val="20"/>
                <w:szCs w:val="20"/>
                <w:color w:val="auto"/>
              </w:rPr>
            </w:pPr>
            <w:r>
              <w:rPr>
                <w:rFonts w:ascii="Arial" w:cs="Arial" w:eastAsia="Arial" w:hAnsi="Arial"/>
                <w:sz w:val="18"/>
                <w:szCs w:val="18"/>
                <w:color w:val="auto"/>
              </w:rPr>
              <w:t>Directors and other information   1</w:t>
            </w:r>
          </w:p>
        </w:tc>
        <w:tc>
          <w:tcPr>
            <w:tcW w:w="260" w:type="dxa"/>
            <w:vAlign w:val="bottom"/>
          </w:tcPr>
          <w:p>
            <w:pPr>
              <w:spacing w:after="0"/>
              <w:rPr>
                <w:sz w:val="24"/>
                <w:szCs w:val="24"/>
                <w:color w:val="auto"/>
              </w:rPr>
            </w:pPr>
          </w:p>
        </w:tc>
      </w:tr>
      <w:tr>
        <w:trPr>
          <w:trHeight w:val="431"/>
        </w:trPr>
        <w:tc>
          <w:tcPr>
            <w:tcW w:w="2800" w:type="dxa"/>
            <w:vAlign w:val="bottom"/>
          </w:tcPr>
          <w:p>
            <w:pPr>
              <w:spacing w:after="0"/>
              <w:rPr>
                <w:sz w:val="20"/>
                <w:szCs w:val="20"/>
                <w:color w:val="auto"/>
              </w:rPr>
            </w:pPr>
            <w:r>
              <w:rPr>
                <w:rFonts w:ascii="Arial" w:cs="Arial" w:eastAsia="Arial" w:hAnsi="Arial"/>
                <w:sz w:val="18"/>
                <w:szCs w:val="18"/>
                <w:color w:val="auto"/>
                <w:w w:val="91"/>
              </w:rPr>
              <w:t>Statement of directors’ responsibilities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1"/>
        </w:trPr>
        <w:tc>
          <w:tcPr>
            <w:tcW w:w="2800" w:type="dxa"/>
            <w:vAlign w:val="bottom"/>
          </w:tcPr>
          <w:p>
            <w:pPr>
              <w:spacing w:after="0"/>
              <w:rPr>
                <w:sz w:val="20"/>
                <w:szCs w:val="20"/>
                <w:color w:val="auto"/>
              </w:rPr>
            </w:pPr>
            <w:r>
              <w:rPr>
                <w:rFonts w:ascii="Arial" w:cs="Arial" w:eastAsia="Arial" w:hAnsi="Arial"/>
                <w:sz w:val="18"/>
                <w:szCs w:val="18"/>
                <w:color w:val="auto"/>
                <w:w w:val="96"/>
              </w:rPr>
              <w:t>Unaudited interim income statement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r>
    </w:tbl>
    <w:p>
      <w:pPr>
        <w:spacing w:after="0" w:line="201" w:lineRule="exact"/>
        <w:rPr>
          <w:sz w:val="20"/>
          <w:szCs w:val="20"/>
          <w:color w:val="auto"/>
        </w:rPr>
      </w:pPr>
    </w:p>
    <w:p>
      <w:pPr>
        <w:spacing w:after="0"/>
        <w:tabs>
          <w:tab w:leader="none" w:pos="4120" w:val="left"/>
        </w:tabs>
        <w:rPr>
          <w:sz w:val="20"/>
          <w:szCs w:val="20"/>
          <w:color w:val="auto"/>
        </w:rPr>
      </w:pPr>
      <w:r>
        <w:rPr>
          <w:rFonts w:ascii="Arial" w:cs="Arial" w:eastAsia="Arial" w:hAnsi="Arial"/>
          <w:sz w:val="17"/>
          <w:szCs w:val="17"/>
          <w:color w:val="auto"/>
        </w:rPr>
        <w:t>Unaudited interim statement of comprehensive income</w:t>
      </w:r>
      <w:r>
        <w:rPr>
          <w:sz w:val="20"/>
          <w:szCs w:val="20"/>
          <w:color w:val="auto"/>
        </w:rPr>
        <w:tab/>
      </w:r>
      <w:r>
        <w:rPr>
          <w:rFonts w:ascii="Arial" w:cs="Arial" w:eastAsia="Arial" w:hAnsi="Arial"/>
          <w:sz w:val="13"/>
          <w:szCs w:val="13"/>
          <w:color w:val="auto"/>
        </w:rPr>
        <w:t>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4"/>
              </w:rPr>
              <w:t>Unaudited interim statement of financial position</w:t>
            </w:r>
          </w:p>
        </w:tc>
        <w:tc>
          <w:tcPr>
            <w:tcW w:w="440" w:type="dxa"/>
            <w:vAlign w:val="bottom"/>
          </w:tcPr>
          <w:p>
            <w:pPr>
              <w:ind w:left="80"/>
              <w:spacing w:after="0"/>
              <w:rPr>
                <w:sz w:val="20"/>
                <w:szCs w:val="20"/>
                <w:color w:val="auto"/>
              </w:rPr>
            </w:pPr>
            <w:r>
              <w:rPr>
                <w:rFonts w:ascii="Arial" w:cs="Arial" w:eastAsia="Arial" w:hAnsi="Arial"/>
                <w:sz w:val="18"/>
                <w:szCs w:val="18"/>
                <w:color w:val="auto"/>
              </w:rPr>
              <w:t>5</w:t>
            </w: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w w:val="92"/>
              </w:rPr>
              <w:t>Unaudited interim statement of changes in equity</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6 – 7</w:t>
            </w: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rPr>
              <w:t>Unaudited interim statement of cash flows  8</w:t>
            </w:r>
          </w:p>
        </w:tc>
        <w:tc>
          <w:tcPr>
            <w:tcW w:w="44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Notes forming part of the non-statutory financial statements</w:t>
      </w:r>
      <w:r>
        <w:rPr>
          <w:sz w:val="20"/>
          <w:szCs w:val="20"/>
          <w:color w:val="auto"/>
        </w:rPr>
        <w:tab/>
      </w:r>
      <w:r>
        <w:rPr>
          <w:rFonts w:ascii="Arial" w:cs="Arial" w:eastAsia="Arial" w:hAnsi="Arial"/>
          <w:sz w:val="15"/>
          <w:szCs w:val="15"/>
          <w:color w:val="auto"/>
        </w:rPr>
        <w:t>9 – 32</w:t>
      </w:r>
    </w:p>
    <w:p>
      <w:pPr>
        <w:sectPr>
          <w:pgSz w:w="11900" w:h="16838" w:orient="portrait"/>
          <w:cols w:equalWidth="0" w:num="1">
            <w:col w:w="10219"/>
          </w:cols>
          <w:pgMar w:left="240" w:top="120" w:right="1440" w:bottom="1440" w:gutter="0" w:footer="0" w:header="0"/>
        </w:sectPr>
      </w:pPr>
    </w:p>
    <w:bookmarkStart w:id="5" w:name="page6"/>
    <w:bookmarkEnd w:id="5"/>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Directors and other information</w:t>
      </w:r>
    </w:p>
    <w:p>
      <w:pPr>
        <w:spacing w:after="0" w:line="200" w:lineRule="exact"/>
        <w:rPr>
          <w:sz w:val="20"/>
          <w:szCs w:val="20"/>
          <w:color w:val="auto"/>
        </w:rPr>
      </w:pPr>
    </w:p>
    <w:p>
      <w:pPr>
        <w:spacing w:after="0" w:line="3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Directors</w:t>
      </w:r>
      <w:r>
        <w:rPr>
          <w:sz w:val="20"/>
          <w:szCs w:val="20"/>
          <w:color w:val="auto"/>
        </w:rPr>
        <w:tab/>
      </w:r>
      <w:r>
        <w:rPr>
          <w:rFonts w:ascii="Arial" w:cs="Arial" w:eastAsia="Arial" w:hAnsi="Arial"/>
          <w:sz w:val="16"/>
          <w:szCs w:val="16"/>
          <w:color w:val="auto"/>
        </w:rPr>
        <w:t>Ciaran Murray</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Dr. Steve Cutler (Australian)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Prof. Hugh Brady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Dr. John Climax</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Joan Garahy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Prof. William Hall</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Prof. Dermot Kelleher (resigned 23 July 2019)</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Eugene McCague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Declan McKeon (resigned 23 July 2019)</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Ronan Murphy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Mary Pendergast (American)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Julie O’Neill (appointed 23 July 2019)</w:t>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6"/>
          <w:szCs w:val="16"/>
          <w:color w:val="auto"/>
        </w:rPr>
        <w:t>Diarmaid Cunningham</w:t>
      </w:r>
    </w:p>
    <w:p>
      <w:pPr>
        <w:spacing w:after="0" w:line="22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Registered office</w:t>
      </w:r>
      <w:r>
        <w:rPr>
          <w:sz w:val="20"/>
          <w:szCs w:val="20"/>
          <w:color w:val="auto"/>
        </w:rPr>
        <w:tab/>
      </w:r>
      <w:r>
        <w:rPr>
          <w:rFonts w:ascii="Arial" w:cs="Arial" w:eastAsia="Arial" w:hAnsi="Arial"/>
          <w:sz w:val="16"/>
          <w:szCs w:val="16"/>
          <w:color w:val="auto"/>
        </w:rPr>
        <w:t>South County Business Park</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Dublin 18</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Solicitors</w:t>
      </w:r>
      <w:r>
        <w:rPr>
          <w:sz w:val="20"/>
          <w:szCs w:val="20"/>
          <w:color w:val="auto"/>
        </w:rPr>
        <w:tab/>
      </w:r>
      <w:r>
        <w:rPr>
          <w:rFonts w:ascii="Arial" w:cs="Arial" w:eastAsia="Arial" w:hAnsi="Arial"/>
          <w:sz w:val="17"/>
          <w:szCs w:val="17"/>
          <w:color w:val="auto"/>
        </w:rPr>
        <w:t>A &amp; L Goodbody</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International Financial Services Centre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25-28 North Wall Quay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Dublin 1</w:t>
      </w:r>
    </w:p>
    <w:p>
      <w:pPr>
        <w:spacing w:after="0" w:line="21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Cahill Gordon Reindel LLP</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80 Pine Street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NY10005</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USA</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Registrars</w:t>
      </w:r>
      <w:r>
        <w:rPr>
          <w:sz w:val="20"/>
          <w:szCs w:val="20"/>
          <w:color w:val="auto"/>
        </w:rPr>
        <w:tab/>
      </w:r>
      <w:r>
        <w:rPr>
          <w:rFonts w:ascii="Arial" w:cs="Arial" w:eastAsia="Arial" w:hAnsi="Arial"/>
          <w:sz w:val="18"/>
          <w:szCs w:val="18"/>
          <w:color w:val="auto"/>
        </w:rPr>
        <w:t>Computershare Investor Services (Ireland) Limited</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3100 Lake Drive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Citywest Business Park</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Dublin 24</w:t>
      </w: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Bankers</w:t>
      </w:r>
      <w:r>
        <w:rPr>
          <w:sz w:val="20"/>
          <w:szCs w:val="20"/>
          <w:color w:val="auto"/>
        </w:rPr>
        <w:tab/>
      </w:r>
      <w:r>
        <w:rPr>
          <w:rFonts w:ascii="Arial" w:cs="Arial" w:eastAsia="Arial" w:hAnsi="Arial"/>
          <w:sz w:val="17"/>
          <w:szCs w:val="17"/>
          <w:color w:val="auto"/>
        </w:rPr>
        <w:t>Citibank</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Canada Square Canary Wharf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London E145LB</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United Kingdom</w:t>
      </w:r>
    </w:p>
    <w:p>
      <w:pPr>
        <w:spacing w:after="0" w:line="21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JP Morgan Chase Bank N.A.</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4 New York Plaza</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NY10004</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USA</w:t>
      </w: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Auditor</w:t>
      </w:r>
      <w:r>
        <w:rPr>
          <w:sz w:val="20"/>
          <w:szCs w:val="20"/>
          <w:color w:val="auto"/>
        </w:rPr>
        <w:tab/>
      </w:r>
      <w:r>
        <w:rPr>
          <w:rFonts w:ascii="Arial" w:cs="Arial" w:eastAsia="Arial" w:hAnsi="Arial"/>
          <w:sz w:val="17"/>
          <w:szCs w:val="17"/>
          <w:color w:val="auto"/>
        </w:rPr>
        <w:t>KPMG</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1 Stokes Place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St. Stephen’s Green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Dublin 2</w:t>
      </w:r>
    </w:p>
    <w:p>
      <w:pPr>
        <w:spacing w:after="0" w:line="200" w:lineRule="exact"/>
        <w:rPr>
          <w:sz w:val="20"/>
          <w:szCs w:val="20"/>
          <w:color w:val="auto"/>
        </w:rPr>
      </w:pP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20" w:right="1440" w:bottom="1440" w:gutter="0" w:footer="0" w:header="0"/>
        </w:sectPr>
      </w:pPr>
    </w:p>
    <w:bookmarkStart w:id="6" w:name="page7"/>
    <w:bookmarkEnd w:id="6"/>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Statement of directors’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directors are responsible for preparing these non-statutory financial statements which give a true and fair view of the state of affairs of the Company as an individual entity and the profit or loss of the company for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financial statements, the directors are required to:</w:t>
      </w:r>
    </w:p>
    <w:p>
      <w:pPr>
        <w:spacing w:after="0" w:line="13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select suitable accounting policies and then apply them consistently;</w:t>
      </w:r>
    </w:p>
    <w:p>
      <w:pPr>
        <w:spacing w:after="0" w:line="106"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18"/>
          <w:szCs w:val="18"/>
          <w:color w:val="auto"/>
        </w:rPr>
        <w:t>make judgments and estimates that are reasonable and prudent; and</w:t>
      </w:r>
    </w:p>
    <w:p>
      <w:pPr>
        <w:spacing w:after="0" w:line="93"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prepare the financial statements on the going concern basis unless it is inappropriate to presume that the company will continue in business.</w:t>
      </w:r>
    </w:p>
    <w:p>
      <w:pPr>
        <w:spacing w:after="0" w:line="18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directors are responsible for keeping proper books of account that disclose with reasonable accuracy at any time the assets, liabilities, financial position and profit or loss of the Company and enable them to ensure that its statutory financial statements, should they be required and which would be prepared separately, comply with the Companies Acts 2014. They are also responsible for safeguarding the assets of the Company and hence for taking reasonable steps for the prevention and detection of fraud and other irregularities.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 w:leader="none" w:pos="2340" w:val="left"/>
        </w:tabs>
        <w:rPr>
          <w:sz w:val="20"/>
          <w:szCs w:val="20"/>
          <w:color w:val="auto"/>
        </w:rPr>
      </w:pPr>
      <w:r>
        <w:rPr>
          <w:rFonts w:ascii="Arial" w:cs="Arial" w:eastAsia="Arial" w:hAnsi="Arial"/>
          <w:sz w:val="18"/>
          <w:szCs w:val="18"/>
          <w:color w:val="auto"/>
        </w:rPr>
        <w:t>Ronan Murphy</w:t>
        <w:tab/>
        <w:t>Steve Cutler</w:t>
      </w:r>
      <w:r>
        <w:rPr>
          <w:sz w:val="20"/>
          <w:szCs w:val="20"/>
          <w:color w:val="auto"/>
        </w:rPr>
        <w:tab/>
      </w:r>
      <w:r>
        <w:rPr>
          <w:rFonts w:ascii="Arial" w:cs="Arial" w:eastAsia="Arial" w:hAnsi="Arial"/>
          <w:sz w:val="15"/>
          <w:szCs w:val="15"/>
          <w:color w:val="auto"/>
        </w:rPr>
        <w:t>10 December 2019</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i w:val="1"/>
          <w:iCs w:val="1"/>
          <w:color w:val="auto"/>
        </w:rPr>
        <w:t>Director</w:t>
        <w:tab/>
        <w:t>Director</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0" w:right="279" w:bottom="1440" w:gutter="0" w:footer="0" w:header="0"/>
        </w:sectPr>
      </w:pPr>
    </w:p>
    <w:bookmarkStart w:id="7" w:name="page8"/>
    <w:bookmarkEnd w:id="7"/>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income statement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31 October 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i w:val="1"/>
                <w:iCs w:val="1"/>
                <w:color w:val="auto"/>
              </w:rPr>
              <w:t>Note</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Period ended</w:t>
            </w:r>
          </w:p>
        </w:tc>
        <w:tc>
          <w:tcPr>
            <w:tcW w:w="170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46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31 October</w:t>
            </w:r>
          </w:p>
        </w:tc>
        <w:tc>
          <w:tcPr>
            <w:tcW w:w="17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51"/>
        </w:trPr>
        <w:tc>
          <w:tcPr>
            <w:tcW w:w="46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960" w:type="dxa"/>
            <w:vAlign w:val="bottom"/>
          </w:tcPr>
          <w:p>
            <w:pPr>
              <w:jc w:val="right"/>
              <w:ind w:right="1790"/>
              <w:spacing w:after="0"/>
              <w:rPr>
                <w:sz w:val="20"/>
                <w:szCs w:val="20"/>
                <w:color w:val="auto"/>
              </w:rPr>
            </w:pPr>
            <w:r>
              <w:rPr>
                <w:rFonts w:ascii="Arial" w:cs="Arial" w:eastAsia="Arial" w:hAnsi="Arial"/>
                <w:sz w:val="18"/>
                <w:szCs w:val="18"/>
                <w:b w:val="1"/>
                <w:bCs w:val="1"/>
                <w:color w:val="auto"/>
              </w:rPr>
              <w:t>2019</w:t>
            </w:r>
          </w:p>
        </w:tc>
        <w:tc>
          <w:tcPr>
            <w:tcW w:w="170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4"/>
        </w:trPr>
        <w:tc>
          <w:tcPr>
            <w:tcW w:w="4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960" w:type="dxa"/>
            <w:vAlign w:val="bottom"/>
          </w:tcPr>
          <w:p>
            <w:pPr>
              <w:jc w:val="right"/>
              <w:ind w:right="1550"/>
              <w:spacing w:after="0"/>
              <w:rPr>
                <w:sz w:val="20"/>
                <w:szCs w:val="20"/>
                <w:color w:val="auto"/>
              </w:rPr>
            </w:pPr>
            <w:r>
              <w:rPr>
                <w:rFonts w:ascii="Arial" w:cs="Arial" w:eastAsia="Arial" w:hAnsi="Arial"/>
                <w:sz w:val="18"/>
                <w:szCs w:val="18"/>
                <w:b w:val="1"/>
                <w:bCs w:val="1"/>
                <w:color w:val="auto"/>
              </w:rPr>
              <w:t>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Audited</w:t>
            </w:r>
          </w:p>
        </w:tc>
      </w:tr>
      <w:tr>
        <w:trPr>
          <w:trHeight w:val="269"/>
        </w:trPr>
        <w:tc>
          <w:tcPr>
            <w:tcW w:w="46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Turnover</w:t>
            </w:r>
          </w:p>
        </w:tc>
        <w:tc>
          <w:tcPr>
            <w:tcW w:w="2120" w:type="dxa"/>
            <w:vAlign w:val="bottom"/>
          </w:tcPr>
          <w:p>
            <w:pPr>
              <w:jc w:val="right"/>
              <w:ind w:right="390"/>
              <w:spacing w:after="0"/>
              <w:rPr>
                <w:sz w:val="20"/>
                <w:szCs w:val="20"/>
                <w:color w:val="auto"/>
              </w:rPr>
            </w:pPr>
            <w:r>
              <w:rPr>
                <w:rFonts w:ascii="Arial" w:cs="Arial" w:eastAsia="Arial" w:hAnsi="Arial"/>
                <w:sz w:val="18"/>
                <w:szCs w:val="18"/>
                <w:i w:val="1"/>
                <w:iCs w:val="1"/>
                <w:color w:val="auto"/>
              </w:rPr>
              <w:t>2</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42,678</w:t>
            </w:r>
          </w:p>
        </w:tc>
        <w:tc>
          <w:tcPr>
            <w:tcW w:w="1700" w:type="dxa"/>
            <w:vAlign w:val="bottom"/>
          </w:tcPr>
          <w:p>
            <w:pPr>
              <w:jc w:val="right"/>
              <w:spacing w:after="0"/>
              <w:rPr>
                <w:sz w:val="20"/>
                <w:szCs w:val="20"/>
                <w:color w:val="auto"/>
              </w:rPr>
            </w:pPr>
            <w:r>
              <w:rPr>
                <w:rFonts w:ascii="Arial" w:cs="Arial" w:eastAsia="Arial" w:hAnsi="Arial"/>
                <w:sz w:val="18"/>
                <w:szCs w:val="18"/>
                <w:color w:val="auto"/>
              </w:rPr>
              <w:t>44,558</w:t>
            </w:r>
          </w:p>
        </w:tc>
      </w:tr>
      <w:tr>
        <w:trPr>
          <w:trHeight w:val="566"/>
        </w:trPr>
        <w:tc>
          <w:tcPr>
            <w:tcW w:w="464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2120" w:type="dxa"/>
            <w:vAlign w:val="bottom"/>
          </w:tcPr>
          <w:p>
            <w:pPr>
              <w:jc w:val="right"/>
              <w:ind w:right="390"/>
              <w:spacing w:after="0"/>
              <w:rPr>
                <w:sz w:val="20"/>
                <w:szCs w:val="20"/>
                <w:color w:val="auto"/>
              </w:rPr>
            </w:pPr>
            <w:r>
              <w:rPr>
                <w:rFonts w:ascii="Arial" w:cs="Arial" w:eastAsia="Arial" w:hAnsi="Arial"/>
                <w:sz w:val="18"/>
                <w:szCs w:val="18"/>
                <w:i w:val="1"/>
                <w:iCs w:val="1"/>
                <w:color w:val="auto"/>
              </w:rPr>
              <w:t>3</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(29,494)</w:t>
            </w:r>
          </w:p>
        </w:tc>
        <w:tc>
          <w:tcPr>
            <w:tcW w:w="1700" w:type="dxa"/>
            <w:vAlign w:val="bottom"/>
          </w:tcPr>
          <w:p>
            <w:pPr>
              <w:jc w:val="right"/>
              <w:spacing w:after="0"/>
              <w:rPr>
                <w:sz w:val="20"/>
                <w:szCs w:val="20"/>
                <w:color w:val="auto"/>
              </w:rPr>
            </w:pPr>
            <w:r>
              <w:rPr>
                <w:rFonts w:ascii="Arial" w:cs="Arial" w:eastAsia="Arial" w:hAnsi="Arial"/>
                <w:sz w:val="18"/>
                <w:szCs w:val="18"/>
                <w:color w:val="auto"/>
              </w:rPr>
              <w:t>(31,898)</w:t>
            </w:r>
          </w:p>
        </w:tc>
      </w:tr>
      <w:tr>
        <w:trPr>
          <w:trHeight w:val="269"/>
        </w:trPr>
        <w:tc>
          <w:tcPr>
            <w:tcW w:w="464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2120" w:type="dxa"/>
            <w:vAlign w:val="bottom"/>
          </w:tcPr>
          <w:p>
            <w:pPr>
              <w:jc w:val="right"/>
              <w:ind w:right="390"/>
              <w:spacing w:after="0"/>
              <w:rPr>
                <w:sz w:val="20"/>
                <w:szCs w:val="20"/>
                <w:color w:val="auto"/>
              </w:rPr>
            </w:pPr>
            <w:r>
              <w:rPr>
                <w:rFonts w:ascii="Arial" w:cs="Arial" w:eastAsia="Arial" w:hAnsi="Arial"/>
                <w:sz w:val="18"/>
                <w:szCs w:val="18"/>
                <w:i w:val="1"/>
                <w:iCs w:val="1"/>
                <w:color w:val="auto"/>
              </w:rPr>
              <w:t>4</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(16,732)</w:t>
            </w:r>
          </w:p>
        </w:tc>
        <w:tc>
          <w:tcPr>
            <w:tcW w:w="1700" w:type="dxa"/>
            <w:vAlign w:val="bottom"/>
          </w:tcPr>
          <w:p>
            <w:pPr>
              <w:jc w:val="right"/>
              <w:spacing w:after="0"/>
              <w:rPr>
                <w:sz w:val="20"/>
                <w:szCs w:val="20"/>
                <w:color w:val="auto"/>
              </w:rPr>
            </w:pPr>
            <w:r>
              <w:rPr>
                <w:rFonts w:ascii="Arial" w:cs="Arial" w:eastAsia="Arial" w:hAnsi="Arial"/>
                <w:sz w:val="18"/>
                <w:szCs w:val="18"/>
                <w:color w:val="auto"/>
              </w:rPr>
              <w:t>(18,906)</w:t>
            </w:r>
          </w:p>
        </w:tc>
      </w:tr>
      <w:tr>
        <w:trPr>
          <w:trHeight w:val="27"/>
        </w:trPr>
        <w:tc>
          <w:tcPr>
            <w:tcW w:w="4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3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Operating loss – continuing operations</w:t>
            </w:r>
          </w:p>
        </w:tc>
        <w:tc>
          <w:tcPr>
            <w:tcW w:w="2120" w:type="dxa"/>
            <w:vAlign w:val="bottom"/>
          </w:tcPr>
          <w:p>
            <w:pPr>
              <w:spacing w:after="0"/>
              <w:rPr>
                <w:sz w:val="24"/>
                <w:szCs w:val="24"/>
                <w:color w:val="auto"/>
              </w:rPr>
            </w:pP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(3,548)</w:t>
            </w:r>
          </w:p>
        </w:tc>
        <w:tc>
          <w:tcPr>
            <w:tcW w:w="1700" w:type="dxa"/>
            <w:vAlign w:val="bottom"/>
          </w:tcPr>
          <w:p>
            <w:pPr>
              <w:jc w:val="right"/>
              <w:spacing w:after="0"/>
              <w:rPr>
                <w:sz w:val="20"/>
                <w:szCs w:val="20"/>
                <w:color w:val="auto"/>
              </w:rPr>
            </w:pPr>
            <w:r>
              <w:rPr>
                <w:rFonts w:ascii="Arial" w:cs="Arial" w:eastAsia="Arial" w:hAnsi="Arial"/>
                <w:sz w:val="18"/>
                <w:szCs w:val="18"/>
                <w:color w:val="auto"/>
              </w:rPr>
              <w:t>(6,246)</w:t>
            </w:r>
          </w:p>
        </w:tc>
      </w:tr>
      <w:tr>
        <w:trPr>
          <w:trHeight w:val="566"/>
        </w:trPr>
        <w:tc>
          <w:tcPr>
            <w:tcW w:w="4640" w:type="dxa"/>
            <w:vAlign w:val="bottom"/>
          </w:tcPr>
          <w:p>
            <w:pPr>
              <w:ind w:left="40"/>
              <w:spacing w:after="0"/>
              <w:rPr>
                <w:sz w:val="20"/>
                <w:szCs w:val="20"/>
                <w:color w:val="auto"/>
              </w:rPr>
            </w:pPr>
            <w:r>
              <w:rPr>
                <w:rFonts w:ascii="Arial" w:cs="Arial" w:eastAsia="Arial" w:hAnsi="Arial"/>
                <w:sz w:val="18"/>
                <w:szCs w:val="18"/>
                <w:color w:val="auto"/>
              </w:rPr>
              <w:t>Financing income</w:t>
            </w:r>
          </w:p>
        </w:tc>
        <w:tc>
          <w:tcPr>
            <w:tcW w:w="212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179,552</w:t>
            </w:r>
          </w:p>
        </w:tc>
        <w:tc>
          <w:tcPr>
            <w:tcW w:w="1700" w:type="dxa"/>
            <w:vAlign w:val="bottom"/>
          </w:tcPr>
          <w:p>
            <w:pPr>
              <w:jc w:val="right"/>
              <w:spacing w:after="0"/>
              <w:rPr>
                <w:sz w:val="20"/>
                <w:szCs w:val="20"/>
                <w:color w:val="auto"/>
              </w:rPr>
            </w:pPr>
            <w:r>
              <w:rPr>
                <w:rFonts w:ascii="Arial" w:cs="Arial" w:eastAsia="Arial" w:hAnsi="Arial"/>
                <w:sz w:val="18"/>
                <w:szCs w:val="18"/>
                <w:color w:val="auto"/>
              </w:rPr>
              <w:t>173,339</w:t>
            </w:r>
          </w:p>
        </w:tc>
      </w:tr>
      <w:tr>
        <w:trPr>
          <w:trHeight w:val="269"/>
        </w:trPr>
        <w:tc>
          <w:tcPr>
            <w:tcW w:w="464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120" w:type="dxa"/>
            <w:vAlign w:val="bottom"/>
          </w:tcPr>
          <w:p>
            <w:pPr>
              <w:jc w:val="right"/>
              <w:ind w:right="390"/>
              <w:spacing w:after="0"/>
              <w:rPr>
                <w:sz w:val="20"/>
                <w:szCs w:val="20"/>
                <w:color w:val="auto"/>
              </w:rPr>
            </w:pPr>
            <w:r>
              <w:rPr>
                <w:rFonts w:ascii="Arial" w:cs="Arial" w:eastAsia="Arial" w:hAnsi="Arial"/>
                <w:sz w:val="18"/>
                <w:szCs w:val="18"/>
                <w:i w:val="1"/>
                <w:iCs w:val="1"/>
                <w:color w:val="auto"/>
              </w:rPr>
              <w:t>6</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3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Profit on ordinary activities before taxation</w:t>
            </w:r>
          </w:p>
        </w:tc>
        <w:tc>
          <w:tcPr>
            <w:tcW w:w="2120" w:type="dxa"/>
            <w:vAlign w:val="bottom"/>
          </w:tcPr>
          <w:p>
            <w:pPr>
              <w:spacing w:after="0"/>
              <w:rPr>
                <w:sz w:val="24"/>
                <w:szCs w:val="24"/>
                <w:color w:val="auto"/>
              </w:rPr>
            </w:pP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176,004</w:t>
            </w:r>
          </w:p>
        </w:tc>
        <w:tc>
          <w:tcPr>
            <w:tcW w:w="1700" w:type="dxa"/>
            <w:vAlign w:val="bottom"/>
          </w:tcPr>
          <w:p>
            <w:pPr>
              <w:jc w:val="right"/>
              <w:spacing w:after="0"/>
              <w:rPr>
                <w:sz w:val="20"/>
                <w:szCs w:val="20"/>
                <w:color w:val="auto"/>
              </w:rPr>
            </w:pPr>
            <w:r>
              <w:rPr>
                <w:rFonts w:ascii="Arial" w:cs="Arial" w:eastAsia="Arial" w:hAnsi="Arial"/>
                <w:sz w:val="18"/>
                <w:szCs w:val="18"/>
                <w:color w:val="auto"/>
              </w:rPr>
              <w:t>167,093</w:t>
            </w:r>
          </w:p>
        </w:tc>
      </w:tr>
      <w:tr>
        <w:trPr>
          <w:trHeight w:val="566"/>
        </w:trPr>
        <w:tc>
          <w:tcPr>
            <w:tcW w:w="4640" w:type="dxa"/>
            <w:vAlign w:val="bottom"/>
          </w:tcPr>
          <w:p>
            <w:pPr>
              <w:ind w:left="40"/>
              <w:spacing w:after="0"/>
              <w:rPr>
                <w:sz w:val="20"/>
                <w:szCs w:val="20"/>
                <w:color w:val="auto"/>
              </w:rPr>
            </w:pPr>
            <w:r>
              <w:rPr>
                <w:rFonts w:ascii="Arial" w:cs="Arial" w:eastAsia="Arial" w:hAnsi="Arial"/>
                <w:sz w:val="18"/>
                <w:szCs w:val="18"/>
                <w:color w:val="auto"/>
              </w:rPr>
              <w:t>Tax on profit on ordinary activities</w:t>
            </w:r>
          </w:p>
        </w:tc>
        <w:tc>
          <w:tcPr>
            <w:tcW w:w="2120" w:type="dxa"/>
            <w:vAlign w:val="bottom"/>
          </w:tcPr>
          <w:p>
            <w:pPr>
              <w:jc w:val="right"/>
              <w:ind w:right="390"/>
              <w:spacing w:after="0"/>
              <w:rPr>
                <w:sz w:val="20"/>
                <w:szCs w:val="20"/>
                <w:color w:val="auto"/>
              </w:rPr>
            </w:pPr>
            <w:r>
              <w:rPr>
                <w:rFonts w:ascii="Arial" w:cs="Arial" w:eastAsia="Arial" w:hAnsi="Arial"/>
                <w:sz w:val="18"/>
                <w:szCs w:val="18"/>
                <w:i w:val="1"/>
                <w:iCs w:val="1"/>
                <w:color w:val="auto"/>
              </w:rPr>
              <w:t>8</w:t>
            </w: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(212)</w:t>
            </w:r>
          </w:p>
        </w:tc>
        <w:tc>
          <w:tcPr>
            <w:tcW w:w="170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7"/>
        </w:trPr>
        <w:tc>
          <w:tcPr>
            <w:tcW w:w="4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3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Profit for the financial year - equity</w:t>
            </w:r>
          </w:p>
        </w:tc>
        <w:tc>
          <w:tcPr>
            <w:tcW w:w="2120" w:type="dxa"/>
            <w:vAlign w:val="bottom"/>
          </w:tcPr>
          <w:p>
            <w:pPr>
              <w:spacing w:after="0"/>
              <w:rPr>
                <w:sz w:val="24"/>
                <w:szCs w:val="24"/>
                <w:color w:val="auto"/>
              </w:rPr>
            </w:pPr>
          </w:p>
        </w:tc>
        <w:tc>
          <w:tcPr>
            <w:tcW w:w="2960" w:type="dxa"/>
            <w:vAlign w:val="bottom"/>
          </w:tcPr>
          <w:p>
            <w:pPr>
              <w:jc w:val="right"/>
              <w:ind w:right="630"/>
              <w:spacing w:after="0"/>
              <w:rPr>
                <w:sz w:val="20"/>
                <w:szCs w:val="20"/>
                <w:color w:val="auto"/>
              </w:rPr>
            </w:pPr>
            <w:r>
              <w:rPr>
                <w:rFonts w:ascii="Arial" w:cs="Arial" w:eastAsia="Arial" w:hAnsi="Arial"/>
                <w:sz w:val="18"/>
                <w:szCs w:val="18"/>
                <w:b w:val="1"/>
                <w:bCs w:val="1"/>
                <w:color w:val="auto"/>
              </w:rPr>
              <w:t>175,792</w:t>
            </w:r>
          </w:p>
        </w:tc>
        <w:tc>
          <w:tcPr>
            <w:tcW w:w="1700" w:type="dxa"/>
            <w:vAlign w:val="bottom"/>
          </w:tcPr>
          <w:p>
            <w:pPr>
              <w:jc w:val="right"/>
              <w:spacing w:after="0"/>
              <w:rPr>
                <w:sz w:val="20"/>
                <w:szCs w:val="20"/>
                <w:color w:val="auto"/>
              </w:rPr>
            </w:pPr>
            <w:r>
              <w:rPr>
                <w:rFonts w:ascii="Arial" w:cs="Arial" w:eastAsia="Arial" w:hAnsi="Arial"/>
                <w:sz w:val="18"/>
                <w:szCs w:val="18"/>
                <w:color w:val="auto"/>
              </w:rPr>
              <w:t>165,912</w:t>
            </w:r>
          </w:p>
        </w:tc>
      </w:tr>
      <w:tr>
        <w:trPr>
          <w:trHeight w:val="34"/>
        </w:trPr>
        <w:tc>
          <w:tcPr>
            <w:tcW w:w="4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20" w:right="239" w:bottom="1440" w:gutter="0" w:footer="0" w:header="0"/>
        </w:sectPr>
      </w:pPr>
    </w:p>
    <w:bookmarkStart w:id="8" w:name="page9"/>
    <w:bookmarkEnd w:id="8"/>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comprehensive income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31 October 2019</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Period ended</w:t>
            </w:r>
          </w:p>
        </w:tc>
        <w:tc>
          <w:tcPr>
            <w:tcW w:w="148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59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31 October</w:t>
            </w:r>
          </w:p>
        </w:tc>
        <w:tc>
          <w:tcPr>
            <w:tcW w:w="148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51"/>
        </w:trPr>
        <w:tc>
          <w:tcPr>
            <w:tcW w:w="5920" w:type="dxa"/>
            <w:vAlign w:val="bottom"/>
          </w:tcPr>
          <w:p>
            <w:pPr>
              <w:spacing w:after="0"/>
              <w:rPr>
                <w:sz w:val="21"/>
                <w:szCs w:val="21"/>
                <w:color w:val="auto"/>
              </w:rPr>
            </w:pPr>
          </w:p>
        </w:tc>
        <w:tc>
          <w:tcPr>
            <w:tcW w:w="2080" w:type="dxa"/>
            <w:vAlign w:val="bottom"/>
          </w:tcPr>
          <w:p>
            <w:pPr>
              <w:jc w:val="right"/>
              <w:ind w:right="390"/>
              <w:spacing w:after="0"/>
              <w:rPr>
                <w:sz w:val="20"/>
                <w:szCs w:val="20"/>
                <w:color w:val="auto"/>
              </w:rPr>
            </w:pPr>
            <w:r>
              <w:rPr>
                <w:rFonts w:ascii="Arial" w:cs="Arial" w:eastAsia="Arial" w:hAnsi="Arial"/>
                <w:sz w:val="18"/>
                <w:szCs w:val="18"/>
                <w:b w:val="1"/>
                <w:bCs w:val="1"/>
                <w:i w:val="1"/>
                <w:iCs w:val="1"/>
                <w:color w:val="auto"/>
              </w:rPr>
              <w:t>Note</w:t>
            </w: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4"/>
        </w:trPr>
        <w:tc>
          <w:tcPr>
            <w:tcW w:w="5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480" w:type="dxa"/>
            <w:vAlign w:val="bottom"/>
          </w:tcPr>
          <w:p>
            <w:pPr>
              <w:jc w:val="right"/>
              <w:spacing w:after="0"/>
              <w:rPr>
                <w:sz w:val="20"/>
                <w:szCs w:val="20"/>
                <w:color w:val="auto"/>
              </w:rPr>
            </w:pPr>
            <w:r>
              <w:rPr>
                <w:rFonts w:ascii="Arial" w:cs="Arial" w:eastAsia="Arial" w:hAnsi="Arial"/>
                <w:sz w:val="18"/>
                <w:szCs w:val="18"/>
                <w:color w:val="auto"/>
              </w:rPr>
              <w:t>Audited</w:t>
            </w:r>
          </w:p>
        </w:tc>
      </w:tr>
      <w:tr>
        <w:trPr>
          <w:trHeight w:val="269"/>
        </w:trPr>
        <w:tc>
          <w:tcPr>
            <w:tcW w:w="59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66"/>
        </w:trPr>
        <w:tc>
          <w:tcPr>
            <w:tcW w:w="5920" w:type="dxa"/>
            <w:vAlign w:val="bottom"/>
          </w:tcPr>
          <w:p>
            <w:pPr>
              <w:ind w:left="40"/>
              <w:spacing w:after="0"/>
              <w:rPr>
                <w:sz w:val="20"/>
                <w:szCs w:val="20"/>
                <w:color w:val="auto"/>
              </w:rPr>
            </w:pPr>
            <w:r>
              <w:rPr>
                <w:rFonts w:ascii="Arial" w:cs="Arial" w:eastAsia="Arial" w:hAnsi="Arial"/>
                <w:sz w:val="18"/>
                <w:szCs w:val="18"/>
                <w:color w:val="auto"/>
              </w:rPr>
              <w:t>Currency translation differences</w:t>
            </w:r>
          </w:p>
        </w:tc>
        <w:tc>
          <w:tcPr>
            <w:tcW w:w="2080" w:type="dxa"/>
            <w:vAlign w:val="bottom"/>
          </w:tcPr>
          <w:p>
            <w:pPr>
              <w:jc w:val="right"/>
              <w:ind w:right="390"/>
              <w:spacing w:after="0"/>
              <w:rPr>
                <w:sz w:val="20"/>
                <w:szCs w:val="20"/>
                <w:color w:val="auto"/>
              </w:rPr>
            </w:pPr>
            <w:r>
              <w:rPr>
                <w:rFonts w:ascii="Arial" w:cs="Arial" w:eastAsia="Arial" w:hAnsi="Arial"/>
                <w:sz w:val="18"/>
                <w:szCs w:val="18"/>
                <w:i w:val="1"/>
                <w:iCs w:val="1"/>
                <w:color w:val="auto"/>
              </w:rPr>
              <w:t>16</w:t>
            </w: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(117)</w:t>
            </w:r>
          </w:p>
        </w:tc>
        <w:tc>
          <w:tcPr>
            <w:tcW w:w="14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57"/>
        </w:trPr>
        <w:tc>
          <w:tcPr>
            <w:tcW w:w="5920" w:type="dxa"/>
            <w:vAlign w:val="bottom"/>
          </w:tcPr>
          <w:p>
            <w:pPr>
              <w:ind w:left="40"/>
              <w:spacing w:after="0"/>
              <w:rPr>
                <w:sz w:val="20"/>
                <w:szCs w:val="20"/>
                <w:color w:val="auto"/>
              </w:rPr>
            </w:pPr>
            <w:r>
              <w:rPr>
                <w:rFonts w:ascii="Arial" w:cs="Arial" w:eastAsia="Arial" w:hAnsi="Arial"/>
                <w:sz w:val="18"/>
                <w:szCs w:val="18"/>
                <w:color w:val="auto"/>
              </w:rPr>
              <w:t>Net loss recognised directly within other comprehensive income</w:t>
            </w:r>
          </w:p>
        </w:tc>
        <w:tc>
          <w:tcPr>
            <w:tcW w:w="2080" w:type="dxa"/>
            <w:vAlign w:val="bottom"/>
          </w:tcPr>
          <w:p>
            <w:pPr>
              <w:spacing w:after="0"/>
              <w:rPr>
                <w:sz w:val="24"/>
                <w:szCs w:val="24"/>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(117)</w:t>
            </w:r>
          </w:p>
        </w:tc>
        <w:tc>
          <w:tcPr>
            <w:tcW w:w="14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566"/>
        </w:trPr>
        <w:tc>
          <w:tcPr>
            <w:tcW w:w="5920" w:type="dxa"/>
            <w:vAlign w:val="bottom"/>
          </w:tcPr>
          <w:p>
            <w:pPr>
              <w:ind w:left="40"/>
              <w:spacing w:after="0"/>
              <w:rPr>
                <w:sz w:val="20"/>
                <w:szCs w:val="20"/>
                <w:color w:val="auto"/>
              </w:rPr>
            </w:pPr>
            <w:r>
              <w:rPr>
                <w:rFonts w:ascii="Arial" w:cs="Arial" w:eastAsia="Arial" w:hAnsi="Arial"/>
                <w:sz w:val="18"/>
                <w:szCs w:val="18"/>
                <w:color w:val="auto"/>
              </w:rPr>
              <w:t>Profit for the financial year</w:t>
            </w:r>
          </w:p>
        </w:tc>
        <w:tc>
          <w:tcPr>
            <w:tcW w:w="2080" w:type="dxa"/>
            <w:vAlign w:val="bottom"/>
          </w:tcPr>
          <w:p>
            <w:pPr>
              <w:spacing w:after="0"/>
              <w:rPr>
                <w:sz w:val="24"/>
                <w:szCs w:val="24"/>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175,792</w:t>
            </w:r>
          </w:p>
        </w:tc>
        <w:tc>
          <w:tcPr>
            <w:tcW w:w="1480" w:type="dxa"/>
            <w:vAlign w:val="bottom"/>
          </w:tcPr>
          <w:p>
            <w:pPr>
              <w:jc w:val="right"/>
              <w:spacing w:after="0"/>
              <w:rPr>
                <w:sz w:val="20"/>
                <w:szCs w:val="20"/>
                <w:color w:val="auto"/>
              </w:rPr>
            </w:pPr>
            <w:r>
              <w:rPr>
                <w:rFonts w:ascii="Arial" w:cs="Arial" w:eastAsia="Arial" w:hAnsi="Arial"/>
                <w:sz w:val="18"/>
                <w:szCs w:val="18"/>
                <w:color w:val="auto"/>
              </w:rPr>
              <w:t>165,912</w:t>
            </w:r>
          </w:p>
        </w:tc>
      </w:tr>
      <w:tr>
        <w:trPr>
          <w:trHeight w:val="27"/>
        </w:trPr>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33"/>
        </w:trPr>
        <w:tc>
          <w:tcPr>
            <w:tcW w:w="5920" w:type="dxa"/>
            <w:vAlign w:val="bottom"/>
          </w:tcPr>
          <w:p>
            <w:pPr>
              <w:ind w:left="40"/>
              <w:spacing w:after="0"/>
              <w:rPr>
                <w:sz w:val="20"/>
                <w:szCs w:val="20"/>
                <w:color w:val="auto"/>
              </w:rPr>
            </w:pPr>
            <w:r>
              <w:rPr>
                <w:rFonts w:ascii="Arial" w:cs="Arial" w:eastAsia="Arial" w:hAnsi="Arial"/>
                <w:sz w:val="18"/>
                <w:szCs w:val="18"/>
                <w:color w:val="auto"/>
              </w:rPr>
              <w:t>Total comprehensive income for the financial year</w:t>
            </w:r>
          </w:p>
        </w:tc>
        <w:tc>
          <w:tcPr>
            <w:tcW w:w="2080" w:type="dxa"/>
            <w:vAlign w:val="bottom"/>
          </w:tcPr>
          <w:p>
            <w:pPr>
              <w:spacing w:after="0"/>
              <w:rPr>
                <w:sz w:val="24"/>
                <w:szCs w:val="24"/>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175,675</w:t>
            </w:r>
          </w:p>
        </w:tc>
        <w:tc>
          <w:tcPr>
            <w:tcW w:w="1480" w:type="dxa"/>
            <w:vAlign w:val="bottom"/>
          </w:tcPr>
          <w:p>
            <w:pPr>
              <w:jc w:val="right"/>
              <w:spacing w:after="0"/>
              <w:rPr>
                <w:sz w:val="20"/>
                <w:szCs w:val="20"/>
                <w:color w:val="auto"/>
              </w:rPr>
            </w:pPr>
            <w:r>
              <w:rPr>
                <w:rFonts w:ascii="Arial" w:cs="Arial" w:eastAsia="Arial" w:hAnsi="Arial"/>
                <w:sz w:val="18"/>
                <w:szCs w:val="18"/>
                <w:color w:val="auto"/>
              </w:rPr>
              <w:t>165,780</w:t>
            </w:r>
          </w:p>
        </w:tc>
      </w:tr>
      <w:tr>
        <w:trPr>
          <w:trHeight w:val="34"/>
        </w:trPr>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39"/>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Attributable to:</w:t>
            </w: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9"/>
        </w:trPr>
        <w:tc>
          <w:tcPr>
            <w:tcW w:w="5920" w:type="dxa"/>
            <w:vAlign w:val="bottom"/>
          </w:tcPr>
          <w:p>
            <w:pPr>
              <w:ind w:left="40"/>
              <w:spacing w:after="0"/>
              <w:rPr>
                <w:sz w:val="20"/>
                <w:szCs w:val="20"/>
                <w:color w:val="auto"/>
              </w:rPr>
            </w:pPr>
            <w:r>
              <w:rPr>
                <w:rFonts w:ascii="Arial" w:cs="Arial" w:eastAsia="Arial" w:hAnsi="Arial"/>
                <w:sz w:val="18"/>
                <w:szCs w:val="18"/>
                <w:color w:val="auto"/>
              </w:rPr>
              <w:t>Equity holders of the Company</w:t>
            </w:r>
          </w:p>
        </w:tc>
        <w:tc>
          <w:tcPr>
            <w:tcW w:w="2080" w:type="dxa"/>
            <w:vAlign w:val="bottom"/>
          </w:tcPr>
          <w:p>
            <w:pPr>
              <w:spacing w:after="0"/>
              <w:rPr>
                <w:sz w:val="23"/>
                <w:szCs w:val="23"/>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175,675</w:t>
            </w:r>
          </w:p>
        </w:tc>
        <w:tc>
          <w:tcPr>
            <w:tcW w:w="1480" w:type="dxa"/>
            <w:vAlign w:val="bottom"/>
          </w:tcPr>
          <w:p>
            <w:pPr>
              <w:jc w:val="right"/>
              <w:spacing w:after="0"/>
              <w:rPr>
                <w:sz w:val="20"/>
                <w:szCs w:val="20"/>
                <w:color w:val="auto"/>
              </w:rPr>
            </w:pPr>
            <w:r>
              <w:rPr>
                <w:rFonts w:ascii="Arial" w:cs="Arial" w:eastAsia="Arial" w:hAnsi="Arial"/>
                <w:sz w:val="18"/>
                <w:szCs w:val="18"/>
                <w:color w:val="auto"/>
              </w:rPr>
              <w:t>165,780</w:t>
            </w:r>
          </w:p>
        </w:tc>
      </w:tr>
      <w:tr>
        <w:trPr>
          <w:trHeight w:val="27"/>
        </w:trPr>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33"/>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for the financial year</w:t>
            </w:r>
          </w:p>
        </w:tc>
        <w:tc>
          <w:tcPr>
            <w:tcW w:w="2080" w:type="dxa"/>
            <w:vAlign w:val="bottom"/>
          </w:tcPr>
          <w:p>
            <w:pPr>
              <w:spacing w:after="0"/>
              <w:rPr>
                <w:sz w:val="24"/>
                <w:szCs w:val="24"/>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175,675</w:t>
            </w:r>
          </w:p>
        </w:tc>
        <w:tc>
          <w:tcPr>
            <w:tcW w:w="1480" w:type="dxa"/>
            <w:vAlign w:val="bottom"/>
          </w:tcPr>
          <w:p>
            <w:pPr>
              <w:jc w:val="right"/>
              <w:spacing w:after="0"/>
              <w:rPr>
                <w:sz w:val="20"/>
                <w:szCs w:val="20"/>
                <w:color w:val="auto"/>
              </w:rPr>
            </w:pPr>
            <w:r>
              <w:rPr>
                <w:rFonts w:ascii="Arial" w:cs="Arial" w:eastAsia="Arial" w:hAnsi="Arial"/>
                <w:sz w:val="18"/>
                <w:szCs w:val="18"/>
                <w:color w:val="auto"/>
              </w:rPr>
              <w:t>165,780</w:t>
            </w:r>
          </w:p>
        </w:tc>
      </w:tr>
      <w:tr>
        <w:trPr>
          <w:trHeight w:val="34"/>
        </w:trPr>
        <w:tc>
          <w:tcPr>
            <w:tcW w:w="5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20" w:right="239" w:bottom="1440" w:gutter="0" w:footer="0" w:header="0"/>
        </w:sectPr>
      </w:pPr>
    </w:p>
    <w:bookmarkStart w:id="9" w:name="page10"/>
    <w:bookmarkEnd w:id="9"/>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financial position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at 31 October 2019</w:t>
      </w:r>
    </w:p>
    <w:p>
      <w:pPr>
        <w:spacing w:after="0" w:line="200" w:lineRule="exact"/>
        <w:rPr>
          <w:sz w:val="20"/>
          <w:szCs w:val="20"/>
          <w:color w:val="auto"/>
        </w:rPr>
      </w:pP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Period ended</w:t>
            </w:r>
          </w:p>
        </w:tc>
        <w:tc>
          <w:tcPr>
            <w:tcW w:w="1300" w:type="dxa"/>
            <w:vAlign w:val="bottom"/>
          </w:tcPr>
          <w:p>
            <w:pPr>
              <w:jc w:val="right"/>
              <w:spacing w:after="0"/>
              <w:rPr>
                <w:sz w:val="20"/>
                <w:szCs w:val="20"/>
                <w:color w:val="auto"/>
              </w:rPr>
            </w:pPr>
            <w:r>
              <w:rPr>
                <w:rFonts w:ascii="Arial" w:cs="Arial" w:eastAsia="Arial" w:hAnsi="Arial"/>
                <w:sz w:val="16"/>
                <w:szCs w:val="16"/>
                <w:color w:val="auto"/>
              </w:rPr>
              <w:t>Year ended</w:t>
            </w:r>
          </w:p>
        </w:tc>
      </w:tr>
      <w:tr>
        <w:trPr>
          <w:trHeight w:val="269"/>
        </w:trPr>
        <w:tc>
          <w:tcPr>
            <w:tcW w:w="5040" w:type="dxa"/>
            <w:vAlign w:val="bottom"/>
          </w:tcPr>
          <w:p>
            <w:pPr>
              <w:spacing w:after="0"/>
              <w:rPr>
                <w:sz w:val="23"/>
                <w:szCs w:val="23"/>
                <w:color w:val="auto"/>
              </w:rPr>
            </w:pPr>
          </w:p>
        </w:tc>
        <w:tc>
          <w:tcPr>
            <w:tcW w:w="3060" w:type="dxa"/>
            <w:vAlign w:val="bottom"/>
          </w:tcPr>
          <w:p>
            <w:pPr>
              <w:jc w:val="right"/>
              <w:ind w:right="419"/>
              <w:spacing w:after="0"/>
              <w:rPr>
                <w:sz w:val="20"/>
                <w:szCs w:val="20"/>
                <w:color w:val="auto"/>
              </w:rPr>
            </w:pPr>
            <w:r>
              <w:rPr>
                <w:rFonts w:ascii="Arial" w:cs="Arial" w:eastAsia="Arial" w:hAnsi="Arial"/>
                <w:sz w:val="16"/>
                <w:szCs w:val="16"/>
                <w:b w:val="1"/>
                <w:bCs w:val="1"/>
                <w:color w:val="auto"/>
              </w:rPr>
              <w:t>Note</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31 October</w:t>
            </w:r>
          </w:p>
        </w:tc>
        <w:tc>
          <w:tcPr>
            <w:tcW w:w="1300" w:type="dxa"/>
            <w:vAlign w:val="bottom"/>
          </w:tcPr>
          <w:p>
            <w:pPr>
              <w:jc w:val="right"/>
              <w:spacing w:after="0"/>
              <w:rPr>
                <w:sz w:val="20"/>
                <w:szCs w:val="20"/>
                <w:color w:val="auto"/>
              </w:rPr>
            </w:pPr>
            <w:r>
              <w:rPr>
                <w:rFonts w:ascii="Arial" w:cs="Arial" w:eastAsia="Arial" w:hAnsi="Arial"/>
                <w:sz w:val="16"/>
                <w:szCs w:val="16"/>
                <w:color w:val="auto"/>
              </w:rPr>
              <w:t>31 December</w:t>
            </w:r>
          </w:p>
        </w:tc>
      </w:tr>
      <w:tr>
        <w:trPr>
          <w:trHeight w:val="262"/>
        </w:trPr>
        <w:tc>
          <w:tcPr>
            <w:tcW w:w="50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300" w:type="dxa"/>
            <w:vAlign w:val="bottom"/>
          </w:tcPr>
          <w:p>
            <w:pPr>
              <w:jc w:val="right"/>
              <w:spacing w:after="0"/>
              <w:rPr>
                <w:sz w:val="20"/>
                <w:szCs w:val="20"/>
                <w:color w:val="auto"/>
              </w:rPr>
            </w:pPr>
            <w:r>
              <w:rPr>
                <w:rFonts w:ascii="Arial" w:cs="Arial" w:eastAsia="Arial" w:hAnsi="Arial"/>
                <w:sz w:val="16"/>
                <w:szCs w:val="16"/>
                <w:color w:val="auto"/>
              </w:rPr>
              <w:t>2018</w:t>
            </w:r>
          </w:p>
        </w:tc>
      </w:tr>
      <w:tr>
        <w:trPr>
          <w:trHeight w:val="210"/>
        </w:trPr>
        <w:tc>
          <w:tcPr>
            <w:tcW w:w="5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Unaudited</w:t>
            </w:r>
          </w:p>
        </w:tc>
        <w:tc>
          <w:tcPr>
            <w:tcW w:w="1300" w:type="dxa"/>
            <w:vAlign w:val="bottom"/>
          </w:tcPr>
          <w:p>
            <w:pPr>
              <w:jc w:val="right"/>
              <w:spacing w:after="0"/>
              <w:rPr>
                <w:sz w:val="20"/>
                <w:szCs w:val="20"/>
                <w:color w:val="auto"/>
              </w:rPr>
            </w:pPr>
            <w:r>
              <w:rPr>
                <w:rFonts w:ascii="Arial" w:cs="Arial" w:eastAsia="Arial" w:hAnsi="Arial"/>
                <w:sz w:val="16"/>
                <w:szCs w:val="16"/>
                <w:color w:val="auto"/>
              </w:rPr>
              <w:t>Audited</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60" w:type="dxa"/>
            <w:vAlign w:val="bottom"/>
          </w:tcPr>
          <w:p>
            <w:pPr>
              <w:spacing w:after="0"/>
              <w:rPr>
                <w:sz w:val="22"/>
                <w:szCs w:val="22"/>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$’000</w:t>
            </w:r>
          </w:p>
        </w:tc>
        <w:tc>
          <w:tcPr>
            <w:tcW w:w="13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30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10</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701</w:t>
            </w:r>
          </w:p>
        </w:tc>
        <w:tc>
          <w:tcPr>
            <w:tcW w:w="130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Right of use asset</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18</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4,454</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11</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80</w:t>
            </w:r>
          </w:p>
        </w:tc>
        <w:tc>
          <w:tcPr>
            <w:tcW w:w="13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75"/>
        </w:trPr>
        <w:tc>
          <w:tcPr>
            <w:tcW w:w="5040" w:type="dxa"/>
            <w:vAlign w:val="bottom"/>
          </w:tcPr>
          <w:p>
            <w:pPr>
              <w:ind w:left="40"/>
              <w:spacing w:after="0"/>
              <w:rPr>
                <w:sz w:val="20"/>
                <w:szCs w:val="20"/>
                <w:color w:val="auto"/>
              </w:rPr>
            </w:pPr>
            <w:r>
              <w:rPr>
                <w:rFonts w:ascii="Arial" w:cs="Arial" w:eastAsia="Arial" w:hAnsi="Arial"/>
                <w:sz w:val="16"/>
                <w:szCs w:val="16"/>
                <w:color w:val="auto"/>
              </w:rPr>
              <w:t>Investment in subsidiaries</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12</w:t>
            </w:r>
          </w:p>
        </w:tc>
        <w:tc>
          <w:tcPr>
            <w:tcW w:w="1820" w:type="dxa"/>
            <w:vAlign w:val="bottom"/>
          </w:tcPr>
          <w:p>
            <w:pPr>
              <w:jc w:val="right"/>
              <w:ind w:right="319"/>
              <w:spacing w:after="0"/>
              <w:rPr>
                <w:sz w:val="20"/>
                <w:szCs w:val="20"/>
                <w:color w:val="auto"/>
              </w:rPr>
            </w:pPr>
            <w:r>
              <w:rPr>
                <w:rFonts w:ascii="Arial" w:cs="Arial" w:eastAsia="Arial" w:hAnsi="Arial"/>
                <w:sz w:val="18"/>
                <w:szCs w:val="18"/>
                <w:b w:val="1"/>
                <w:bCs w:val="1"/>
                <w:color w:val="auto"/>
              </w:rPr>
              <w:t>250,595</w:t>
            </w:r>
          </w:p>
        </w:tc>
        <w:tc>
          <w:tcPr>
            <w:tcW w:w="1300" w:type="dxa"/>
            <w:vAlign w:val="bottom"/>
          </w:tcPr>
          <w:p>
            <w:pPr>
              <w:jc w:val="right"/>
              <w:spacing w:after="0"/>
              <w:rPr>
                <w:sz w:val="20"/>
                <w:szCs w:val="20"/>
                <w:color w:val="auto"/>
              </w:rPr>
            </w:pPr>
            <w:r>
              <w:rPr>
                <w:rFonts w:ascii="Arial" w:cs="Arial" w:eastAsia="Arial" w:hAnsi="Arial"/>
                <w:sz w:val="16"/>
                <w:szCs w:val="16"/>
                <w:color w:val="auto"/>
              </w:rPr>
              <w:t>264,347</w:t>
            </w: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Other non current asset</w:t>
            </w:r>
          </w:p>
        </w:tc>
        <w:tc>
          <w:tcPr>
            <w:tcW w:w="3060" w:type="dxa"/>
            <w:vAlign w:val="bottom"/>
          </w:tcPr>
          <w:p>
            <w:pPr>
              <w:spacing w:after="0"/>
              <w:rPr>
                <w:sz w:val="21"/>
                <w:szCs w:val="21"/>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36</w:t>
            </w: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8</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453</w:t>
            </w:r>
          </w:p>
        </w:tc>
        <w:tc>
          <w:tcPr>
            <w:tcW w:w="13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33"/>
        </w:trPr>
        <w:tc>
          <w:tcPr>
            <w:tcW w:w="50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non-current assets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256,319</w:t>
            </w:r>
          </w:p>
        </w:tc>
        <w:tc>
          <w:tcPr>
            <w:tcW w:w="1300" w:type="dxa"/>
            <w:vAlign w:val="bottom"/>
          </w:tcPr>
          <w:p>
            <w:pPr>
              <w:jc w:val="right"/>
              <w:spacing w:after="0"/>
              <w:rPr>
                <w:sz w:val="20"/>
                <w:szCs w:val="20"/>
                <w:color w:val="auto"/>
              </w:rPr>
            </w:pPr>
            <w:r>
              <w:rPr>
                <w:rFonts w:ascii="Arial" w:cs="Arial" w:eastAsia="Arial" w:hAnsi="Arial"/>
                <w:sz w:val="16"/>
                <w:szCs w:val="16"/>
                <w:color w:val="auto"/>
              </w:rPr>
              <w:t>265,628</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13</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2,863</w:t>
            </w:r>
          </w:p>
        </w:tc>
        <w:tc>
          <w:tcPr>
            <w:tcW w:w="1300" w:type="dxa"/>
            <w:vAlign w:val="bottom"/>
          </w:tcPr>
          <w:p>
            <w:pPr>
              <w:jc w:val="right"/>
              <w:spacing w:after="0"/>
              <w:rPr>
                <w:sz w:val="20"/>
                <w:szCs w:val="20"/>
                <w:color w:val="auto"/>
              </w:rPr>
            </w:pPr>
            <w:r>
              <w:rPr>
                <w:rFonts w:ascii="Arial" w:cs="Arial" w:eastAsia="Arial" w:hAnsi="Arial"/>
                <w:sz w:val="16"/>
                <w:szCs w:val="16"/>
                <w:color w:val="auto"/>
              </w:rPr>
              <w:t>2,138</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Amounts due from subsidiary undertakings</w:t>
            </w:r>
          </w:p>
        </w:tc>
        <w:tc>
          <w:tcPr>
            <w:tcW w:w="3060" w:type="dxa"/>
            <w:vAlign w:val="bottom"/>
          </w:tcPr>
          <w:p>
            <w:pPr>
              <w:spacing w:after="0"/>
              <w:rPr>
                <w:sz w:val="22"/>
                <w:szCs w:val="22"/>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544,366</w:t>
            </w:r>
          </w:p>
        </w:tc>
        <w:tc>
          <w:tcPr>
            <w:tcW w:w="1300" w:type="dxa"/>
            <w:vAlign w:val="bottom"/>
          </w:tcPr>
          <w:p>
            <w:pPr>
              <w:jc w:val="right"/>
              <w:spacing w:after="0"/>
              <w:rPr>
                <w:sz w:val="20"/>
                <w:szCs w:val="20"/>
                <w:color w:val="auto"/>
              </w:rPr>
            </w:pPr>
            <w:r>
              <w:rPr>
                <w:rFonts w:ascii="Arial" w:cs="Arial" w:eastAsia="Arial" w:hAnsi="Arial"/>
                <w:sz w:val="16"/>
                <w:szCs w:val="16"/>
                <w:color w:val="auto"/>
              </w:rPr>
              <w:t>430,810</w:t>
            </w: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Current taxes receivable</w:t>
            </w:r>
          </w:p>
        </w:tc>
        <w:tc>
          <w:tcPr>
            <w:tcW w:w="3060" w:type="dxa"/>
            <w:vAlign w:val="bottom"/>
          </w:tcPr>
          <w:p>
            <w:pPr>
              <w:spacing w:after="0"/>
              <w:rPr>
                <w:sz w:val="23"/>
                <w:szCs w:val="23"/>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769</w:t>
            </w:r>
          </w:p>
        </w:tc>
        <w:tc>
          <w:tcPr>
            <w:tcW w:w="130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60" w:type="dxa"/>
            <w:vAlign w:val="bottom"/>
          </w:tcPr>
          <w:p>
            <w:pPr>
              <w:spacing w:after="0"/>
              <w:rPr>
                <w:sz w:val="23"/>
                <w:szCs w:val="23"/>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75,446</w:t>
            </w:r>
          </w:p>
        </w:tc>
        <w:tc>
          <w:tcPr>
            <w:tcW w:w="1300" w:type="dxa"/>
            <w:vAlign w:val="bottom"/>
          </w:tcPr>
          <w:p>
            <w:pPr>
              <w:jc w:val="right"/>
              <w:spacing w:after="0"/>
              <w:rPr>
                <w:sz w:val="20"/>
                <w:szCs w:val="20"/>
                <w:color w:val="auto"/>
              </w:rPr>
            </w:pPr>
            <w:r>
              <w:rPr>
                <w:rFonts w:ascii="Arial" w:cs="Arial" w:eastAsia="Arial" w:hAnsi="Arial"/>
                <w:sz w:val="16"/>
                <w:szCs w:val="16"/>
                <w:color w:val="auto"/>
              </w:rPr>
              <w:t>100,048</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current assets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623,444</w:t>
            </w:r>
          </w:p>
        </w:tc>
        <w:tc>
          <w:tcPr>
            <w:tcW w:w="1300" w:type="dxa"/>
            <w:vAlign w:val="bottom"/>
          </w:tcPr>
          <w:p>
            <w:pPr>
              <w:jc w:val="right"/>
              <w:spacing w:after="0"/>
              <w:rPr>
                <w:sz w:val="20"/>
                <w:szCs w:val="20"/>
                <w:color w:val="auto"/>
              </w:rPr>
            </w:pPr>
            <w:r>
              <w:rPr>
                <w:rFonts w:ascii="Arial" w:cs="Arial" w:eastAsia="Arial" w:hAnsi="Arial"/>
                <w:sz w:val="16"/>
                <w:szCs w:val="16"/>
                <w:color w:val="auto"/>
              </w:rPr>
              <w:t>533,669</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392"/>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879,763</w:t>
            </w:r>
          </w:p>
        </w:tc>
        <w:tc>
          <w:tcPr>
            <w:tcW w:w="1300" w:type="dxa"/>
            <w:vAlign w:val="bottom"/>
          </w:tcPr>
          <w:p>
            <w:pPr>
              <w:jc w:val="right"/>
              <w:spacing w:after="0"/>
              <w:rPr>
                <w:sz w:val="20"/>
                <w:szCs w:val="20"/>
                <w:color w:val="auto"/>
              </w:rPr>
            </w:pPr>
            <w:r>
              <w:rPr>
                <w:rFonts w:ascii="Arial" w:cs="Arial" w:eastAsia="Arial" w:hAnsi="Arial"/>
                <w:sz w:val="16"/>
                <w:szCs w:val="16"/>
                <w:color w:val="auto"/>
              </w:rPr>
              <w:t>799,297</w:t>
            </w:r>
          </w:p>
        </w:tc>
      </w:tr>
      <w:tr>
        <w:trPr>
          <w:trHeight w:val="53"/>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12"/>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3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Share capital</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15,16</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4,637</w:t>
            </w:r>
          </w:p>
        </w:tc>
        <w:tc>
          <w:tcPr>
            <w:tcW w:w="1300" w:type="dxa"/>
            <w:vAlign w:val="bottom"/>
          </w:tcPr>
          <w:p>
            <w:pPr>
              <w:jc w:val="right"/>
              <w:spacing w:after="0"/>
              <w:rPr>
                <w:sz w:val="20"/>
                <w:szCs w:val="20"/>
                <w:color w:val="auto"/>
              </w:rPr>
            </w:pPr>
            <w:r>
              <w:rPr>
                <w:rFonts w:ascii="Arial" w:cs="Arial" w:eastAsia="Arial" w:hAnsi="Arial"/>
                <w:sz w:val="16"/>
                <w:szCs w:val="16"/>
                <w:color w:val="auto"/>
              </w:rPr>
              <w:t>4,658</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Share premium</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16</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304,653</w:t>
            </w:r>
          </w:p>
        </w:tc>
        <w:tc>
          <w:tcPr>
            <w:tcW w:w="1300" w:type="dxa"/>
            <w:vAlign w:val="bottom"/>
          </w:tcPr>
          <w:p>
            <w:pPr>
              <w:jc w:val="right"/>
              <w:spacing w:after="0"/>
              <w:rPr>
                <w:sz w:val="20"/>
                <w:szCs w:val="20"/>
                <w:color w:val="auto"/>
              </w:rPr>
            </w:pPr>
            <w:r>
              <w:rPr>
                <w:rFonts w:ascii="Arial" w:cs="Arial" w:eastAsia="Arial" w:hAnsi="Arial"/>
                <w:sz w:val="16"/>
                <w:szCs w:val="16"/>
                <w:color w:val="auto"/>
              </w:rPr>
              <w:t>283,629</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Capital redemption reserve</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16</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1,050</w:t>
            </w:r>
          </w:p>
        </w:tc>
        <w:tc>
          <w:tcPr>
            <w:tcW w:w="130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Share-based payment reserve</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16</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125,179</w:t>
            </w:r>
          </w:p>
        </w:tc>
        <w:tc>
          <w:tcPr>
            <w:tcW w:w="1300" w:type="dxa"/>
            <w:vAlign w:val="bottom"/>
          </w:tcPr>
          <w:p>
            <w:pPr>
              <w:jc w:val="right"/>
              <w:spacing w:after="0"/>
              <w:rPr>
                <w:sz w:val="20"/>
                <w:szCs w:val="20"/>
                <w:color w:val="auto"/>
              </w:rPr>
            </w:pPr>
            <w:r>
              <w:rPr>
                <w:rFonts w:ascii="Arial" w:cs="Arial" w:eastAsia="Arial" w:hAnsi="Arial"/>
                <w:sz w:val="16"/>
                <w:szCs w:val="16"/>
                <w:color w:val="auto"/>
              </w:rPr>
              <w:t>134,208</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Other reserves</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16</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(107,581)</w:t>
            </w:r>
          </w:p>
        </w:tc>
        <w:tc>
          <w:tcPr>
            <w:tcW w:w="1300" w:type="dxa"/>
            <w:vAlign w:val="bottom"/>
          </w:tcPr>
          <w:p>
            <w:pPr>
              <w:jc w:val="right"/>
              <w:spacing w:after="0"/>
              <w:rPr>
                <w:sz w:val="20"/>
                <w:szCs w:val="20"/>
                <w:color w:val="auto"/>
              </w:rPr>
            </w:pPr>
            <w:r>
              <w:rPr>
                <w:rFonts w:ascii="Arial" w:cs="Arial" w:eastAsia="Arial" w:hAnsi="Arial"/>
                <w:sz w:val="16"/>
                <w:szCs w:val="16"/>
                <w:color w:val="auto"/>
              </w:rPr>
              <w:t>(107,464)</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16</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530,051</w:t>
            </w:r>
          </w:p>
        </w:tc>
        <w:tc>
          <w:tcPr>
            <w:tcW w:w="1300" w:type="dxa"/>
            <w:vAlign w:val="bottom"/>
          </w:tcPr>
          <w:p>
            <w:pPr>
              <w:jc w:val="right"/>
              <w:spacing w:after="0"/>
              <w:rPr>
                <w:sz w:val="20"/>
                <w:szCs w:val="20"/>
                <w:color w:val="auto"/>
              </w:rPr>
            </w:pPr>
            <w:r>
              <w:rPr>
                <w:rFonts w:ascii="Arial" w:cs="Arial" w:eastAsia="Arial" w:hAnsi="Arial"/>
                <w:sz w:val="16"/>
                <w:szCs w:val="16"/>
                <w:color w:val="auto"/>
              </w:rPr>
              <w:t>465,110</w:t>
            </w:r>
          </w:p>
        </w:tc>
      </w:tr>
      <w:tr>
        <w:trPr>
          <w:trHeight w:val="33"/>
        </w:trPr>
        <w:tc>
          <w:tcPr>
            <w:tcW w:w="50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Attributable to equity holders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857,989</w:t>
            </w:r>
          </w:p>
        </w:tc>
        <w:tc>
          <w:tcPr>
            <w:tcW w:w="1300" w:type="dxa"/>
            <w:vAlign w:val="bottom"/>
          </w:tcPr>
          <w:p>
            <w:pPr>
              <w:jc w:val="right"/>
              <w:spacing w:after="0"/>
              <w:rPr>
                <w:sz w:val="20"/>
                <w:szCs w:val="20"/>
                <w:color w:val="auto"/>
              </w:rPr>
            </w:pPr>
            <w:r>
              <w:rPr>
                <w:rFonts w:ascii="Arial" w:cs="Arial" w:eastAsia="Arial" w:hAnsi="Arial"/>
                <w:sz w:val="16"/>
                <w:szCs w:val="16"/>
                <w:color w:val="auto"/>
              </w:rPr>
              <w:t>781,124</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338"/>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857,989</w:t>
            </w:r>
          </w:p>
        </w:tc>
        <w:tc>
          <w:tcPr>
            <w:tcW w:w="1300" w:type="dxa"/>
            <w:vAlign w:val="bottom"/>
          </w:tcPr>
          <w:p>
            <w:pPr>
              <w:jc w:val="right"/>
              <w:spacing w:after="0"/>
              <w:rPr>
                <w:sz w:val="20"/>
                <w:szCs w:val="20"/>
                <w:color w:val="auto"/>
              </w:rPr>
            </w:pPr>
            <w:r>
              <w:rPr>
                <w:rFonts w:ascii="Arial" w:cs="Arial" w:eastAsia="Arial" w:hAnsi="Arial"/>
                <w:sz w:val="16"/>
                <w:szCs w:val="16"/>
                <w:color w:val="auto"/>
              </w:rPr>
              <w:t>781,124</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30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Non-current other liabilities</w:t>
            </w:r>
          </w:p>
        </w:tc>
        <w:tc>
          <w:tcPr>
            <w:tcW w:w="3060" w:type="dxa"/>
            <w:vAlign w:val="bottom"/>
          </w:tcPr>
          <w:p>
            <w:pPr>
              <w:spacing w:after="0"/>
              <w:rPr>
                <w:sz w:val="23"/>
                <w:szCs w:val="23"/>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8,082</w:t>
            </w:r>
          </w:p>
        </w:tc>
        <w:tc>
          <w:tcPr>
            <w:tcW w:w="1300" w:type="dxa"/>
            <w:vAlign w:val="bottom"/>
          </w:tcPr>
          <w:p>
            <w:pPr>
              <w:jc w:val="right"/>
              <w:spacing w:after="0"/>
              <w:rPr>
                <w:sz w:val="20"/>
                <w:szCs w:val="20"/>
                <w:color w:val="auto"/>
              </w:rPr>
            </w:pPr>
            <w:r>
              <w:rPr>
                <w:rFonts w:ascii="Arial" w:cs="Arial" w:eastAsia="Arial" w:hAnsi="Arial"/>
                <w:sz w:val="16"/>
                <w:szCs w:val="16"/>
                <w:color w:val="auto"/>
              </w:rPr>
              <w:t>2,533</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non-current liabilities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8,082</w:t>
            </w:r>
          </w:p>
        </w:tc>
        <w:tc>
          <w:tcPr>
            <w:tcW w:w="1300" w:type="dxa"/>
            <w:vAlign w:val="bottom"/>
          </w:tcPr>
          <w:p>
            <w:pPr>
              <w:jc w:val="right"/>
              <w:spacing w:after="0"/>
              <w:rPr>
                <w:sz w:val="20"/>
                <w:szCs w:val="20"/>
                <w:color w:val="auto"/>
              </w:rPr>
            </w:pPr>
            <w:r>
              <w:rPr>
                <w:rFonts w:ascii="Arial" w:cs="Arial" w:eastAsia="Arial" w:hAnsi="Arial"/>
                <w:sz w:val="16"/>
                <w:szCs w:val="16"/>
                <w:color w:val="auto"/>
              </w:rPr>
              <w:t>2,533</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060" w:type="dxa"/>
            <w:vAlign w:val="bottom"/>
          </w:tcPr>
          <w:p>
            <w:pPr>
              <w:spacing w:after="0"/>
              <w:rPr>
                <w:sz w:val="23"/>
                <w:szCs w:val="23"/>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Amounts due to subsidiary undertakings</w:t>
            </w:r>
          </w:p>
        </w:tc>
        <w:tc>
          <w:tcPr>
            <w:tcW w:w="3060" w:type="dxa"/>
            <w:vAlign w:val="bottom"/>
          </w:tcPr>
          <w:p>
            <w:pPr>
              <w:spacing w:after="0"/>
              <w:rPr>
                <w:sz w:val="23"/>
                <w:szCs w:val="23"/>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2,893</w:t>
            </w:r>
          </w:p>
        </w:tc>
        <w:tc>
          <w:tcPr>
            <w:tcW w:w="1300" w:type="dxa"/>
            <w:vAlign w:val="bottom"/>
          </w:tcPr>
          <w:p>
            <w:pPr>
              <w:jc w:val="right"/>
              <w:spacing w:after="0"/>
              <w:rPr>
                <w:sz w:val="20"/>
                <w:szCs w:val="20"/>
                <w:color w:val="auto"/>
              </w:rPr>
            </w:pPr>
            <w:r>
              <w:rPr>
                <w:rFonts w:ascii="Arial" w:cs="Arial" w:eastAsia="Arial" w:hAnsi="Arial"/>
                <w:sz w:val="16"/>
                <w:szCs w:val="16"/>
                <w:color w:val="auto"/>
              </w:rPr>
              <w:t>2.969</w:t>
            </w:r>
          </w:p>
        </w:tc>
      </w:tr>
      <w:tr>
        <w:trPr>
          <w:trHeight w:val="269"/>
        </w:trPr>
        <w:tc>
          <w:tcPr>
            <w:tcW w:w="5040" w:type="dxa"/>
            <w:vAlign w:val="bottom"/>
          </w:tcPr>
          <w:p>
            <w:pPr>
              <w:ind w:left="40"/>
              <w:spacing w:after="0"/>
              <w:rPr>
                <w:sz w:val="20"/>
                <w:szCs w:val="20"/>
                <w:color w:val="auto"/>
              </w:rPr>
            </w:pPr>
            <w:r>
              <w:rPr>
                <w:rFonts w:ascii="Arial" w:cs="Arial" w:eastAsia="Arial" w:hAnsi="Arial"/>
                <w:sz w:val="16"/>
                <w:szCs w:val="16"/>
                <w:color w:val="auto"/>
              </w:rPr>
              <w:t>Accrued and other liabilities</w:t>
            </w:r>
          </w:p>
        </w:tc>
        <w:tc>
          <w:tcPr>
            <w:tcW w:w="3060" w:type="dxa"/>
            <w:vAlign w:val="bottom"/>
          </w:tcPr>
          <w:p>
            <w:pPr>
              <w:jc w:val="right"/>
              <w:ind w:right="419"/>
              <w:spacing w:after="0"/>
              <w:rPr>
                <w:sz w:val="20"/>
                <w:szCs w:val="20"/>
                <w:color w:val="auto"/>
              </w:rPr>
            </w:pPr>
            <w:r>
              <w:rPr>
                <w:rFonts w:ascii="Arial" w:cs="Arial" w:eastAsia="Arial" w:hAnsi="Arial"/>
                <w:sz w:val="16"/>
                <w:szCs w:val="16"/>
                <w:i w:val="1"/>
                <w:iCs w:val="1"/>
                <w:color w:val="auto"/>
              </w:rPr>
              <w:t>14</w:t>
            </w: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10,437</w:t>
            </w:r>
          </w:p>
        </w:tc>
        <w:tc>
          <w:tcPr>
            <w:tcW w:w="1300" w:type="dxa"/>
            <w:vAlign w:val="bottom"/>
          </w:tcPr>
          <w:p>
            <w:pPr>
              <w:jc w:val="right"/>
              <w:spacing w:after="0"/>
              <w:rPr>
                <w:sz w:val="20"/>
                <w:szCs w:val="20"/>
                <w:color w:val="auto"/>
              </w:rPr>
            </w:pPr>
            <w:r>
              <w:rPr>
                <w:rFonts w:ascii="Arial" w:cs="Arial" w:eastAsia="Arial" w:hAnsi="Arial"/>
                <w:sz w:val="16"/>
                <w:szCs w:val="16"/>
                <w:color w:val="auto"/>
              </w:rPr>
              <w:t>11,907</w:t>
            </w:r>
          </w:p>
        </w:tc>
      </w:tr>
      <w:tr>
        <w:trPr>
          <w:trHeight w:val="256"/>
        </w:trPr>
        <w:tc>
          <w:tcPr>
            <w:tcW w:w="5040" w:type="dxa"/>
            <w:vAlign w:val="bottom"/>
          </w:tcPr>
          <w:p>
            <w:pPr>
              <w:ind w:left="40"/>
              <w:spacing w:after="0"/>
              <w:rPr>
                <w:sz w:val="20"/>
                <w:szCs w:val="20"/>
                <w:color w:val="auto"/>
              </w:rPr>
            </w:pPr>
            <w:r>
              <w:rPr>
                <w:rFonts w:ascii="Arial" w:cs="Arial" w:eastAsia="Arial" w:hAnsi="Arial"/>
                <w:sz w:val="16"/>
                <w:szCs w:val="16"/>
                <w:color w:val="auto"/>
              </w:rPr>
              <w:t>Current taxes payable</w:t>
            </w:r>
          </w:p>
        </w:tc>
        <w:tc>
          <w:tcPr>
            <w:tcW w:w="3060" w:type="dxa"/>
            <w:vAlign w:val="bottom"/>
          </w:tcPr>
          <w:p>
            <w:pPr>
              <w:spacing w:after="0"/>
              <w:rPr>
                <w:sz w:val="22"/>
                <w:szCs w:val="22"/>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362</w:t>
            </w:r>
          </w:p>
        </w:tc>
        <w:tc>
          <w:tcPr>
            <w:tcW w:w="130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5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current liabilities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13,692</w:t>
            </w:r>
          </w:p>
        </w:tc>
        <w:tc>
          <w:tcPr>
            <w:tcW w:w="1300" w:type="dxa"/>
            <w:vAlign w:val="bottom"/>
          </w:tcPr>
          <w:p>
            <w:pPr>
              <w:jc w:val="right"/>
              <w:spacing w:after="0"/>
              <w:rPr>
                <w:sz w:val="20"/>
                <w:szCs w:val="20"/>
                <w:color w:val="auto"/>
              </w:rPr>
            </w:pPr>
            <w:r>
              <w:rPr>
                <w:rFonts w:ascii="Arial" w:cs="Arial" w:eastAsia="Arial" w:hAnsi="Arial"/>
                <w:sz w:val="16"/>
                <w:szCs w:val="16"/>
                <w:color w:val="auto"/>
              </w:rPr>
              <w:t>15,640</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05"/>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21,774</w:t>
            </w:r>
          </w:p>
        </w:tc>
        <w:tc>
          <w:tcPr>
            <w:tcW w:w="1300" w:type="dxa"/>
            <w:vAlign w:val="bottom"/>
          </w:tcPr>
          <w:p>
            <w:pPr>
              <w:jc w:val="right"/>
              <w:spacing w:after="0"/>
              <w:rPr>
                <w:sz w:val="20"/>
                <w:szCs w:val="20"/>
                <w:color w:val="auto"/>
              </w:rPr>
            </w:pPr>
            <w:r>
              <w:rPr>
                <w:rFonts w:ascii="Arial" w:cs="Arial" w:eastAsia="Arial" w:hAnsi="Arial"/>
                <w:sz w:val="16"/>
                <w:szCs w:val="16"/>
                <w:color w:val="auto"/>
              </w:rPr>
              <w:t>18,173</w:t>
            </w:r>
          </w:p>
        </w:tc>
      </w:tr>
      <w:tr>
        <w:trPr>
          <w:trHeight w:val="46"/>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338"/>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Total equity and liabilities</w:t>
            </w:r>
          </w:p>
        </w:tc>
        <w:tc>
          <w:tcPr>
            <w:tcW w:w="3060" w:type="dxa"/>
            <w:vAlign w:val="bottom"/>
          </w:tcPr>
          <w:p>
            <w:pPr>
              <w:spacing w:after="0"/>
              <w:rPr>
                <w:sz w:val="24"/>
                <w:szCs w:val="24"/>
                <w:color w:val="auto"/>
              </w:rPr>
            </w:pPr>
          </w:p>
        </w:tc>
        <w:tc>
          <w:tcPr>
            <w:tcW w:w="1820" w:type="dxa"/>
            <w:vAlign w:val="bottom"/>
          </w:tcPr>
          <w:p>
            <w:pPr>
              <w:jc w:val="right"/>
              <w:ind w:right="319"/>
              <w:spacing w:after="0"/>
              <w:rPr>
                <w:sz w:val="20"/>
                <w:szCs w:val="20"/>
                <w:color w:val="auto"/>
              </w:rPr>
            </w:pPr>
            <w:r>
              <w:rPr>
                <w:rFonts w:ascii="Arial" w:cs="Arial" w:eastAsia="Arial" w:hAnsi="Arial"/>
                <w:sz w:val="16"/>
                <w:szCs w:val="16"/>
                <w:b w:val="1"/>
                <w:bCs w:val="1"/>
                <w:color w:val="auto"/>
              </w:rPr>
              <w:t>879,763</w:t>
            </w:r>
          </w:p>
        </w:tc>
        <w:tc>
          <w:tcPr>
            <w:tcW w:w="1300" w:type="dxa"/>
            <w:vAlign w:val="bottom"/>
          </w:tcPr>
          <w:p>
            <w:pPr>
              <w:jc w:val="right"/>
              <w:spacing w:after="0"/>
              <w:rPr>
                <w:sz w:val="20"/>
                <w:szCs w:val="20"/>
                <w:color w:val="auto"/>
              </w:rPr>
            </w:pPr>
            <w:r>
              <w:rPr>
                <w:rFonts w:ascii="Arial" w:cs="Arial" w:eastAsia="Arial" w:hAnsi="Arial"/>
                <w:sz w:val="16"/>
                <w:szCs w:val="16"/>
                <w:color w:val="auto"/>
              </w:rPr>
              <w:t>799,297</w:t>
            </w:r>
          </w:p>
        </w:tc>
      </w:tr>
      <w:tr>
        <w:trPr>
          <w:trHeight w:val="53"/>
        </w:trPr>
        <w:tc>
          <w:tcPr>
            <w:tcW w:w="50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pacing w:after="0" w:line="200" w:lineRule="exact"/>
        <w:rPr>
          <w:sz w:val="20"/>
          <w:szCs w:val="20"/>
          <w:color w:val="auto"/>
        </w:rPr>
      </w:pP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Ronan Murphy</w:t>
      </w:r>
      <w:r>
        <w:rPr>
          <w:sz w:val="20"/>
          <w:szCs w:val="20"/>
          <w:color w:val="auto"/>
        </w:rPr>
        <w:tab/>
      </w:r>
      <w:r>
        <w:rPr>
          <w:rFonts w:ascii="Arial" w:cs="Arial" w:eastAsia="Arial" w:hAnsi="Arial"/>
          <w:sz w:val="16"/>
          <w:szCs w:val="16"/>
          <w:color w:val="auto"/>
        </w:rPr>
        <w:t>Steve Cutler</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i w:val="1"/>
          <w:iCs w:val="1"/>
          <w:color w:val="auto"/>
        </w:rPr>
        <w:t>Director</w:t>
        <w:tab/>
        <w:t>Director</w:t>
      </w:r>
    </w:p>
    <w:p>
      <w:pPr>
        <w:sectPr>
          <w:pgSz w:w="11900" w:h="16838" w:orient="portrait"/>
          <w:cols w:equalWidth="0" w:num="1">
            <w:col w:w="11300"/>
          </w:cols>
          <w:pgMar w:left="240" w:top="120" w:right="359" w:bottom="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019"/>
          </w:cols>
          <w:pgMar w:left="1440" w:top="338" w:right="1440" w:bottom="1440" w:gutter="0" w:footer="0" w:header="0"/>
        </w:sectPr>
      </w:pPr>
    </w:p>
    <w:bookmarkStart w:id="11" w:name="page12"/>
    <w:bookmarkEnd w:id="11"/>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31 October 2019</w:t>
      </w:r>
    </w:p>
    <w:p>
      <w:pPr>
        <w:spacing w:after="0" w:line="200" w:lineRule="exact"/>
        <w:rPr>
          <w:sz w:val="20"/>
          <w:szCs w:val="20"/>
          <w:color w:val="auto"/>
        </w:rPr>
      </w:pPr>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Share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Share-Based</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Currency</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6"/>
        </w:trPr>
        <w:tc>
          <w:tcPr>
            <w:tcW w:w="35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of shares</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Premium</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Redemption</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Payment</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Reserves</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Reserve</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202"/>
        </w:trPr>
        <w:tc>
          <w:tcPr>
            <w:tcW w:w="3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Reserve</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Reserve</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69"/>
        </w:trPr>
        <w:tc>
          <w:tcPr>
            <w:tcW w:w="3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431"/>
        </w:trPr>
        <w:tc>
          <w:tcPr>
            <w:tcW w:w="3540" w:type="dxa"/>
            <w:vAlign w:val="bottom"/>
          </w:tcPr>
          <w:p>
            <w:pPr>
              <w:ind w:left="40"/>
              <w:spacing w:after="0"/>
              <w:rPr>
                <w:sz w:val="20"/>
                <w:szCs w:val="20"/>
                <w:color w:val="auto"/>
              </w:rPr>
            </w:pPr>
            <w:r>
              <w:rPr>
                <w:rFonts w:ascii="Arial" w:cs="Arial" w:eastAsia="Arial" w:hAnsi="Arial"/>
                <w:sz w:val="14"/>
                <w:szCs w:val="14"/>
                <w:color w:val="auto"/>
              </w:rPr>
              <w:t>Balance at 1 January 2019</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53,971,706</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4,658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283,629</w:t>
            </w:r>
          </w:p>
        </w:tc>
        <w:tc>
          <w:tcPr>
            <w:tcW w:w="900" w:type="dxa"/>
            <w:vAlign w:val="bottom"/>
          </w:tcPr>
          <w:p>
            <w:pPr>
              <w:jc w:val="right"/>
              <w:spacing w:after="0"/>
              <w:rPr>
                <w:sz w:val="20"/>
                <w:szCs w:val="20"/>
                <w:color w:val="auto"/>
              </w:rPr>
            </w:pPr>
            <w:r>
              <w:rPr>
                <w:rFonts w:ascii="Arial" w:cs="Arial" w:eastAsia="Arial" w:hAnsi="Arial"/>
                <w:sz w:val="14"/>
                <w:szCs w:val="14"/>
                <w:color w:val="auto"/>
              </w:rPr>
              <w:t>983</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134,208</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6,071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(113,535)</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465,110</w:t>
            </w:r>
          </w:p>
        </w:tc>
        <w:tc>
          <w:tcPr>
            <w:tcW w:w="760" w:type="dxa"/>
            <w:vAlign w:val="bottom"/>
          </w:tcPr>
          <w:p>
            <w:pPr>
              <w:jc w:val="right"/>
              <w:spacing w:after="0"/>
              <w:rPr>
                <w:sz w:val="20"/>
                <w:szCs w:val="20"/>
                <w:color w:val="auto"/>
              </w:rPr>
            </w:pPr>
            <w:r>
              <w:rPr>
                <w:rFonts w:ascii="Arial" w:cs="Arial" w:eastAsia="Arial" w:hAnsi="Arial"/>
                <w:sz w:val="14"/>
                <w:szCs w:val="14"/>
                <w:color w:val="auto"/>
              </w:rPr>
              <w:t>781,124</w:t>
            </w:r>
          </w:p>
        </w:tc>
      </w:tr>
      <w:tr>
        <w:trPr>
          <w:trHeight w:val="431"/>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Total comprehensive income for the interim period</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rPr>
              <w:t>Profit for the interim period</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175,792</w:t>
            </w:r>
          </w:p>
        </w:tc>
        <w:tc>
          <w:tcPr>
            <w:tcW w:w="760" w:type="dxa"/>
            <w:vAlign w:val="bottom"/>
          </w:tcPr>
          <w:p>
            <w:pPr>
              <w:jc w:val="right"/>
              <w:spacing w:after="0"/>
              <w:rPr>
                <w:sz w:val="20"/>
                <w:szCs w:val="20"/>
                <w:color w:val="auto"/>
              </w:rPr>
            </w:pPr>
            <w:r>
              <w:rPr>
                <w:rFonts w:ascii="Arial" w:cs="Arial" w:eastAsia="Arial" w:hAnsi="Arial"/>
                <w:sz w:val="14"/>
                <w:szCs w:val="14"/>
                <w:color w:val="auto"/>
              </w:rPr>
              <w:t>175,792</w:t>
            </w:r>
          </w:p>
        </w:tc>
      </w:tr>
      <w:tr>
        <w:trPr>
          <w:trHeight w:val="269"/>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w:t>
            </w: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35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other comprehensive income</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35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comprehensive income for the period</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175,792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175,675</w:t>
            </w:r>
          </w:p>
        </w:tc>
      </w:tr>
      <w:tr>
        <w:trPr>
          <w:trHeight w:val="419"/>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w w:val="98"/>
              </w:rPr>
              <w:t>Transactions with owners, recorded directly in equity</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rPr>
              <w:t>Exercise of share options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318,463</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21,024</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21,045</w:t>
            </w: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rPr>
              <w:t>Share-based payment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21,805</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21,805</w:t>
            </w: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w w:val="97"/>
              </w:rPr>
              <w:t>Issue of shares arising from issue of restricted share units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351,165</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rPr>
              <w:t>Share issue costs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rPr>
              <w:t>Repurchase of ordinary shares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(1,000,000)</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(141,573)</w:t>
            </w:r>
          </w:p>
        </w:tc>
        <w:tc>
          <w:tcPr>
            <w:tcW w:w="760" w:type="dxa"/>
            <w:vAlign w:val="bottom"/>
          </w:tcPr>
          <w:p>
            <w:pPr>
              <w:jc w:val="right"/>
              <w:spacing w:after="0"/>
              <w:rPr>
                <w:sz w:val="20"/>
                <w:szCs w:val="20"/>
                <w:color w:val="auto"/>
              </w:rPr>
            </w:pPr>
            <w:r>
              <w:rPr>
                <w:rFonts w:ascii="Arial" w:cs="Arial" w:eastAsia="Arial" w:hAnsi="Arial"/>
                <w:sz w:val="14"/>
                <w:szCs w:val="14"/>
                <w:color w:val="auto"/>
              </w:rPr>
              <w:t>(141,573)</w:t>
            </w:r>
          </w:p>
        </w:tc>
      </w:tr>
      <w:tr>
        <w:trPr>
          <w:trHeight w:val="202"/>
        </w:trPr>
        <w:tc>
          <w:tcPr>
            <w:tcW w:w="3540" w:type="dxa"/>
            <w:vAlign w:val="bottom"/>
          </w:tcPr>
          <w:p>
            <w:pPr>
              <w:ind w:left="40"/>
              <w:spacing w:after="0"/>
              <w:rPr>
                <w:sz w:val="20"/>
                <w:szCs w:val="20"/>
                <w:color w:val="auto"/>
              </w:rPr>
            </w:pPr>
            <w:r>
              <w:rPr>
                <w:rFonts w:ascii="Arial" w:cs="Arial" w:eastAsia="Arial" w:hAnsi="Arial"/>
                <w:sz w:val="14"/>
                <w:szCs w:val="14"/>
                <w:color w:val="auto"/>
              </w:rPr>
              <w:t>Share repurchase costs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(103)</w:t>
            </w: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0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Transfer of exercised and expired share–based awards</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(30,834)</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30,834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35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contributions by and distributions to owners</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(330,372)</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(9,029)</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(110,851)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(98,810)</w:t>
            </w:r>
          </w:p>
        </w:tc>
      </w:tr>
      <w:tr>
        <w:trPr>
          <w:trHeight w:val="190"/>
        </w:trPr>
        <w:tc>
          <w:tcPr>
            <w:tcW w:w="3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transactions with owners</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(330,372)</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(9,029)</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(110,851)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(98,810)</w:t>
            </w:r>
          </w:p>
        </w:tc>
      </w:tr>
      <w:tr>
        <w:trPr>
          <w:trHeight w:val="53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31 October 2019</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53,641,334</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4,637</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304,653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1,050</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125,179</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6,071</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(113,652)</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530,051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857,989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20" w:right="239" w:bottom="1440" w:gutter="0" w:footer="0" w:header="0"/>
        </w:sectPr>
      </w:pPr>
    </w:p>
    <w:bookmarkStart w:id="12" w:name="page13"/>
    <w:bookmarkEnd w:id="12"/>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Non statutory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year ended 31 December 2018</w:t>
      </w:r>
    </w:p>
    <w:p>
      <w:pPr>
        <w:spacing w:after="0" w:line="200" w:lineRule="exact"/>
        <w:rPr>
          <w:sz w:val="20"/>
          <w:szCs w:val="20"/>
          <w:color w:val="auto"/>
        </w:rPr>
      </w:pPr>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Share-Based</w:t>
            </w: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Other</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Currency</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Retained</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of shares</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Premium</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Redemption</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Payment</w:t>
            </w: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Reserves</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Reserve</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Reserve</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Reserve</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$’000</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$’000</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$’000</w:t>
            </w: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rPr>
              <w:t>$’000</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$’000</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397"/>
        </w:trPr>
        <w:tc>
          <w:tcPr>
            <w:tcW w:w="1200" w:type="dxa"/>
            <w:vAlign w:val="bottom"/>
          </w:tcPr>
          <w:p>
            <w:pPr>
              <w:ind w:left="40"/>
              <w:spacing w:after="0"/>
              <w:rPr>
                <w:sz w:val="20"/>
                <w:szCs w:val="20"/>
                <w:color w:val="auto"/>
              </w:rPr>
            </w:pPr>
            <w:r>
              <w:rPr>
                <w:rFonts w:ascii="Arial" w:cs="Arial" w:eastAsia="Arial" w:hAnsi="Arial"/>
                <w:sz w:val="14"/>
                <w:szCs w:val="14"/>
                <w:color w:val="auto"/>
              </w:rPr>
              <w:t>Balance at 1</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January 2018</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54,081,601</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4,664</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266,852</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912</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145,153</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6,071</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(113,403)</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389,286</w:t>
            </w:r>
          </w:p>
        </w:tc>
        <w:tc>
          <w:tcPr>
            <w:tcW w:w="880" w:type="dxa"/>
            <w:vAlign w:val="bottom"/>
          </w:tcPr>
          <w:p>
            <w:pPr>
              <w:jc w:val="right"/>
              <w:spacing w:after="0"/>
              <w:rPr>
                <w:sz w:val="20"/>
                <w:szCs w:val="20"/>
                <w:color w:val="auto"/>
              </w:rPr>
            </w:pPr>
            <w:r>
              <w:rPr>
                <w:rFonts w:ascii="Arial" w:cs="Arial" w:eastAsia="Arial" w:hAnsi="Arial"/>
                <w:sz w:val="14"/>
                <w:szCs w:val="14"/>
                <w:color w:val="auto"/>
              </w:rPr>
              <w:t>699,535</w:t>
            </w:r>
          </w:p>
        </w:tc>
        <w:tc>
          <w:tcPr>
            <w:tcW w:w="0" w:type="dxa"/>
            <w:vAlign w:val="bottom"/>
          </w:tcPr>
          <w:p>
            <w:pPr>
              <w:spacing w:after="0"/>
              <w:rPr>
                <w:sz w:val="1"/>
                <w:szCs w:val="1"/>
                <w:color w:val="auto"/>
              </w:rPr>
            </w:pPr>
          </w:p>
        </w:tc>
      </w:tr>
      <w:tr>
        <w:trPr>
          <w:trHeight w:val="326"/>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comprehensive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income for the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Profit for the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year</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165,912</w:t>
            </w:r>
          </w:p>
        </w:tc>
        <w:tc>
          <w:tcPr>
            <w:tcW w:w="880" w:type="dxa"/>
            <w:vAlign w:val="bottom"/>
          </w:tcPr>
          <w:p>
            <w:pPr>
              <w:jc w:val="right"/>
              <w:spacing w:after="0"/>
              <w:rPr>
                <w:sz w:val="20"/>
                <w:szCs w:val="20"/>
                <w:color w:val="auto"/>
              </w:rPr>
            </w:pPr>
            <w:r>
              <w:rPr>
                <w:rFonts w:ascii="Arial" w:cs="Arial" w:eastAsia="Arial" w:hAnsi="Arial"/>
                <w:sz w:val="14"/>
                <w:szCs w:val="14"/>
                <w:color w:val="auto"/>
              </w:rPr>
              <w:t>165,912</w:t>
            </w:r>
          </w:p>
        </w:tc>
        <w:tc>
          <w:tcPr>
            <w:tcW w:w="0" w:type="dxa"/>
            <w:vAlign w:val="bottom"/>
          </w:tcPr>
          <w:p>
            <w:pPr>
              <w:spacing w:after="0"/>
              <w:rPr>
                <w:sz w:val="1"/>
                <w:szCs w:val="1"/>
                <w:color w:val="auto"/>
              </w:rPr>
            </w:pPr>
          </w:p>
        </w:tc>
      </w:tr>
      <w:tr>
        <w:trPr>
          <w:trHeight w:val="164"/>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comprehensive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Foreign</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currency</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translation</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(132)</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318"/>
        </w:trPr>
        <w:tc>
          <w:tcPr>
            <w:tcW w:w="1200" w:type="dxa"/>
            <w:vAlign w:val="bottom"/>
          </w:tcPr>
          <w:p>
            <w:pPr>
              <w:ind w:left="40"/>
              <w:spacing w:after="0"/>
              <w:rPr>
                <w:sz w:val="20"/>
                <w:szCs w:val="20"/>
                <w:color w:val="auto"/>
              </w:rPr>
            </w:pPr>
            <w:r>
              <w:rPr>
                <w:rFonts w:ascii="Arial" w:cs="Arial" w:eastAsia="Arial" w:hAnsi="Arial"/>
                <w:sz w:val="14"/>
                <w:szCs w:val="14"/>
                <w:color w:val="auto"/>
              </w:rPr>
              <w:t>Total other</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comprehensive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income</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(132)</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318"/>
        </w:trPr>
        <w:tc>
          <w:tcPr>
            <w:tcW w:w="1200" w:type="dxa"/>
            <w:vAlign w:val="bottom"/>
          </w:tcPr>
          <w:p>
            <w:pPr>
              <w:ind w:left="40"/>
              <w:spacing w:after="0"/>
              <w:rPr>
                <w:sz w:val="20"/>
                <w:szCs w:val="20"/>
                <w:color w:val="auto"/>
              </w:rPr>
            </w:pPr>
            <w:r>
              <w:rPr>
                <w:rFonts w:ascii="Arial" w:cs="Arial" w:eastAsia="Arial" w:hAnsi="Arial"/>
                <w:sz w:val="14"/>
                <w:szCs w:val="14"/>
                <w:color w:val="auto"/>
              </w:rPr>
              <w:t>Total</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comprehensive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income for the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(132)</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165,912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165,780</w:t>
            </w:r>
          </w:p>
        </w:tc>
        <w:tc>
          <w:tcPr>
            <w:tcW w:w="0" w:type="dxa"/>
            <w:vAlign w:val="bottom"/>
          </w:tcPr>
          <w:p>
            <w:pPr>
              <w:spacing w:after="0"/>
              <w:rPr>
                <w:sz w:val="1"/>
                <w:szCs w:val="1"/>
                <w:color w:val="auto"/>
              </w:rPr>
            </w:pPr>
          </w:p>
        </w:tc>
      </w:tr>
      <w:tr>
        <w:trPr>
          <w:trHeight w:val="314"/>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Transactions</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with owners,</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recorded</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directly in</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Exercise of</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share options</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408,699</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29</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16,777</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16,806</w:t>
            </w: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Share-based</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payment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28,009</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28,009</w:t>
            </w: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Issue of shares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arising from</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issue of</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restricted share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units</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489,568</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36</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Share issue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costs</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(16)</w:t>
            </w: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Repurchase of</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ordinary shares</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(1,008,162)</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(71)</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(128,960)</w:t>
            </w:r>
          </w:p>
        </w:tc>
        <w:tc>
          <w:tcPr>
            <w:tcW w:w="880" w:type="dxa"/>
            <w:vAlign w:val="bottom"/>
          </w:tcPr>
          <w:p>
            <w:pPr>
              <w:jc w:val="right"/>
              <w:spacing w:after="0"/>
              <w:rPr>
                <w:sz w:val="20"/>
                <w:szCs w:val="20"/>
                <w:color w:val="auto"/>
              </w:rPr>
            </w:pPr>
            <w:r>
              <w:rPr>
                <w:rFonts w:ascii="Arial" w:cs="Arial" w:eastAsia="Arial" w:hAnsi="Arial"/>
                <w:sz w:val="14"/>
                <w:szCs w:val="14"/>
                <w:color w:val="auto"/>
              </w:rPr>
              <w:t>(128,960)</w:t>
            </w: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repurchase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40"/>
              <w:spacing w:after="0"/>
              <w:rPr>
                <w:sz w:val="20"/>
                <w:szCs w:val="20"/>
                <w:color w:val="auto"/>
              </w:rPr>
            </w:pPr>
            <w:r>
              <w:rPr>
                <w:rFonts w:ascii="Arial" w:cs="Arial" w:eastAsia="Arial" w:hAnsi="Arial"/>
                <w:sz w:val="14"/>
                <w:szCs w:val="14"/>
                <w:color w:val="auto"/>
              </w:rPr>
              <w:t>costs</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(66)</w:t>
            </w: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8"/>
        </w:trPr>
        <w:tc>
          <w:tcPr>
            <w:tcW w:w="1200" w:type="dxa"/>
            <w:vAlign w:val="bottom"/>
          </w:tcPr>
          <w:p>
            <w:pPr>
              <w:ind w:left="40"/>
              <w:spacing w:after="0"/>
              <w:rPr>
                <w:sz w:val="20"/>
                <w:szCs w:val="20"/>
                <w:color w:val="auto"/>
              </w:rPr>
            </w:pPr>
            <w:r>
              <w:rPr>
                <w:rFonts w:ascii="Arial" w:cs="Arial" w:eastAsia="Arial" w:hAnsi="Arial"/>
                <w:sz w:val="14"/>
                <w:szCs w:val="14"/>
                <w:color w:val="auto"/>
              </w:rPr>
              <w:t>Transfer of</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exercised and</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expired share–</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based awards</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(38,954)</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38,954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1200" w:type="dxa"/>
            <w:vAlign w:val="bottom"/>
          </w:tcPr>
          <w:p>
            <w:pPr>
              <w:ind w:left="40"/>
              <w:spacing w:after="0"/>
              <w:rPr>
                <w:sz w:val="20"/>
                <w:szCs w:val="20"/>
                <w:color w:val="auto"/>
              </w:rPr>
            </w:pPr>
            <w:r>
              <w:rPr>
                <w:rFonts w:ascii="Arial" w:cs="Arial" w:eastAsia="Arial" w:hAnsi="Arial"/>
                <w:sz w:val="14"/>
                <w:szCs w:val="14"/>
                <w:color w:val="auto"/>
              </w:rPr>
              <w:t>Total</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contributions</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by and</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distributions to</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owners</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(109,895)</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16,777</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(10,945)</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(90,088)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(84,191)</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1200" w:type="dxa"/>
            <w:vAlign w:val="bottom"/>
          </w:tcPr>
          <w:p>
            <w:pPr>
              <w:ind w:left="40"/>
              <w:spacing w:after="0"/>
              <w:rPr>
                <w:sz w:val="20"/>
                <w:szCs w:val="20"/>
                <w:color w:val="auto"/>
              </w:rPr>
            </w:pPr>
            <w:r>
              <w:rPr>
                <w:rFonts w:ascii="Arial" w:cs="Arial" w:eastAsia="Arial" w:hAnsi="Arial"/>
                <w:sz w:val="14"/>
                <w:szCs w:val="14"/>
                <w:color w:val="auto"/>
              </w:rPr>
              <w:t>Total</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color w:val="auto"/>
              </w:rPr>
              <w:t>transactions</w:t>
            </w: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with owners</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(109,895)</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16,777</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(10,945)</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(90,088)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(84,191)</w:t>
            </w:r>
          </w:p>
        </w:tc>
        <w:tc>
          <w:tcPr>
            <w:tcW w:w="0" w:type="dxa"/>
            <w:vAlign w:val="bottom"/>
          </w:tcPr>
          <w:p>
            <w:pPr>
              <w:spacing w:after="0"/>
              <w:rPr>
                <w:sz w:val="1"/>
                <w:szCs w:val="1"/>
                <w:color w:val="auto"/>
              </w:rPr>
            </w:pPr>
          </w:p>
        </w:tc>
      </w:tr>
      <w:tr>
        <w:trPr>
          <w:trHeight w:val="475"/>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Balance at 31</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December</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53,971,706</w:t>
            </w: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4,658</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283,629</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983</w:t>
            </w:r>
          </w:p>
        </w:tc>
        <w:tc>
          <w:tcPr>
            <w:tcW w:w="12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134,208</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6,071</w:t>
            </w:r>
          </w:p>
        </w:tc>
        <w:tc>
          <w:tcPr>
            <w:tcW w:w="11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(113,535)</w:t>
            </w: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465,110</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781,124</w:t>
            </w:r>
          </w:p>
        </w:tc>
        <w:tc>
          <w:tcPr>
            <w:tcW w:w="0" w:type="dxa"/>
            <w:vAlign w:val="bottom"/>
          </w:tcPr>
          <w:p>
            <w:pPr>
              <w:spacing w:after="0"/>
              <w:rPr>
                <w:sz w:val="1"/>
                <w:szCs w:val="1"/>
                <w:color w:val="auto"/>
              </w:rPr>
            </w:pPr>
          </w:p>
        </w:tc>
      </w:tr>
      <w:tr>
        <w:trPr>
          <w:trHeight w:val="205"/>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120" w:right="1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520"/>
          </w:cols>
          <w:pgMar w:left="240" w:top="120" w:right="1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31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Period ended</w:t>
            </w:r>
          </w:p>
        </w:tc>
        <w:tc>
          <w:tcPr>
            <w:tcW w:w="146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59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31 October</w:t>
            </w:r>
          </w:p>
        </w:tc>
        <w:tc>
          <w:tcPr>
            <w:tcW w:w="146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51"/>
        </w:trPr>
        <w:tc>
          <w:tcPr>
            <w:tcW w:w="59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4"/>
        </w:trPr>
        <w:tc>
          <w:tcPr>
            <w:tcW w:w="5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Unaudited</w:t>
            </w:r>
          </w:p>
        </w:tc>
        <w:tc>
          <w:tcPr>
            <w:tcW w:w="1460" w:type="dxa"/>
            <w:vAlign w:val="bottom"/>
          </w:tcPr>
          <w:p>
            <w:pPr>
              <w:jc w:val="right"/>
              <w:spacing w:after="0"/>
              <w:rPr>
                <w:sz w:val="20"/>
                <w:szCs w:val="20"/>
                <w:color w:val="auto"/>
              </w:rPr>
            </w:pPr>
            <w:r>
              <w:rPr>
                <w:rFonts w:ascii="Arial" w:cs="Arial" w:eastAsia="Arial" w:hAnsi="Arial"/>
                <w:sz w:val="18"/>
                <w:szCs w:val="18"/>
                <w:color w:val="auto"/>
              </w:rPr>
              <w:t>Audited</w:t>
            </w:r>
          </w:p>
        </w:tc>
      </w:tr>
      <w:tr>
        <w:trPr>
          <w:trHeight w:val="269"/>
        </w:trPr>
        <w:tc>
          <w:tcPr>
            <w:tcW w:w="59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4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Profit for the financial period</w:t>
            </w:r>
          </w:p>
        </w:tc>
        <w:tc>
          <w:tcPr>
            <w:tcW w:w="1880" w:type="dxa"/>
            <w:vAlign w:val="bottom"/>
          </w:tcPr>
          <w:p>
            <w:pPr>
              <w:spacing w:after="0"/>
              <w:rPr>
                <w:sz w:val="24"/>
                <w:szCs w:val="24"/>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175,792</w:t>
            </w:r>
          </w:p>
        </w:tc>
        <w:tc>
          <w:tcPr>
            <w:tcW w:w="1460" w:type="dxa"/>
            <w:vAlign w:val="bottom"/>
          </w:tcPr>
          <w:p>
            <w:pPr>
              <w:jc w:val="right"/>
              <w:spacing w:after="0"/>
              <w:rPr>
                <w:sz w:val="20"/>
                <w:szCs w:val="20"/>
                <w:color w:val="auto"/>
              </w:rPr>
            </w:pPr>
            <w:r>
              <w:rPr>
                <w:rFonts w:ascii="Arial" w:cs="Arial" w:eastAsia="Arial" w:hAnsi="Arial"/>
                <w:sz w:val="18"/>
                <w:szCs w:val="18"/>
                <w:color w:val="auto"/>
              </w:rPr>
              <w:t>165,912</w:t>
            </w:r>
          </w:p>
        </w:tc>
      </w:tr>
      <w:tr>
        <w:trPr>
          <w:trHeight w:val="251"/>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net income to net cash generated from</w:t>
            </w:r>
          </w:p>
        </w:tc>
        <w:tc>
          <w:tcPr>
            <w:tcW w:w="18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880" w:type="dxa"/>
            <w:vAlign w:val="bottom"/>
          </w:tcPr>
          <w:p>
            <w:pPr>
              <w:ind w:left="1040"/>
              <w:spacing w:after="0"/>
              <w:rPr>
                <w:sz w:val="20"/>
                <w:szCs w:val="20"/>
                <w:color w:val="auto"/>
              </w:rPr>
            </w:pPr>
            <w:r>
              <w:rPr>
                <w:rFonts w:ascii="Arial" w:cs="Arial" w:eastAsia="Arial" w:hAnsi="Arial"/>
                <w:sz w:val="18"/>
                <w:szCs w:val="18"/>
                <w:i w:val="1"/>
                <w:iCs w:val="1"/>
                <w:color w:val="auto"/>
              </w:rPr>
              <w:t>10</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149</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Amortisation of intangible asset</w:t>
            </w:r>
          </w:p>
        </w:tc>
        <w:tc>
          <w:tcPr>
            <w:tcW w:w="1880" w:type="dxa"/>
            <w:vAlign w:val="bottom"/>
          </w:tcPr>
          <w:p>
            <w:pPr>
              <w:ind w:left="1040"/>
              <w:spacing w:after="0"/>
              <w:rPr>
                <w:sz w:val="20"/>
                <w:szCs w:val="20"/>
                <w:color w:val="auto"/>
              </w:rPr>
            </w:pPr>
            <w:r>
              <w:rPr>
                <w:rFonts w:ascii="Arial" w:cs="Arial" w:eastAsia="Arial" w:hAnsi="Arial"/>
                <w:sz w:val="18"/>
                <w:szCs w:val="18"/>
                <w:i w:val="1"/>
                <w:iCs w:val="1"/>
                <w:color w:val="auto"/>
              </w:rPr>
              <w:t>11</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25</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Amortisation of lease asset</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1,251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Share-based payment</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5,194</w:t>
            </w:r>
          </w:p>
        </w:tc>
        <w:tc>
          <w:tcPr>
            <w:tcW w:w="146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182,411</w:t>
            </w:r>
          </w:p>
        </w:tc>
        <w:tc>
          <w:tcPr>
            <w:tcW w:w="1460" w:type="dxa"/>
            <w:vAlign w:val="bottom"/>
          </w:tcPr>
          <w:p>
            <w:pPr>
              <w:jc w:val="right"/>
              <w:spacing w:after="0"/>
              <w:rPr>
                <w:sz w:val="20"/>
                <w:szCs w:val="20"/>
                <w:color w:val="auto"/>
              </w:rPr>
            </w:pPr>
            <w:r>
              <w:rPr>
                <w:rFonts w:ascii="Arial" w:cs="Arial" w:eastAsia="Arial" w:hAnsi="Arial"/>
                <w:sz w:val="18"/>
                <w:szCs w:val="18"/>
                <w:color w:val="auto"/>
              </w:rPr>
              <w:t>173,726</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79"/>
        </w:trPr>
        <w:tc>
          <w:tcPr>
            <w:tcW w:w="5960" w:type="dxa"/>
            <w:vAlign w:val="bottom"/>
          </w:tcPr>
          <w:p>
            <w:pPr>
              <w:ind w:left="40"/>
              <w:spacing w:after="0"/>
              <w:rPr>
                <w:sz w:val="20"/>
                <w:szCs w:val="20"/>
                <w:color w:val="auto"/>
              </w:rPr>
            </w:pPr>
            <w:r>
              <w:rPr>
                <w:rFonts w:ascii="Arial" w:cs="Arial" w:eastAsia="Arial" w:hAnsi="Arial"/>
                <w:sz w:val="18"/>
                <w:szCs w:val="18"/>
                <w:color w:val="auto"/>
              </w:rPr>
              <w:t>Increase in other current assets</w:t>
            </w:r>
          </w:p>
        </w:tc>
        <w:tc>
          <w:tcPr>
            <w:tcW w:w="1880" w:type="dxa"/>
            <w:vAlign w:val="bottom"/>
          </w:tcPr>
          <w:p>
            <w:pPr>
              <w:spacing w:after="0"/>
              <w:rPr>
                <w:sz w:val="24"/>
                <w:szCs w:val="24"/>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(727)</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Decrease/(Increase) in other non current assets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Decrease in accounts payable and accrued and other liabilities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(1,530)</w:t>
            </w:r>
          </w:p>
        </w:tc>
        <w:tc>
          <w:tcPr>
            <w:tcW w:w="146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Increase in other non-current other liabilities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5,549</w:t>
            </w:r>
          </w:p>
        </w:tc>
        <w:tc>
          <w:tcPr>
            <w:tcW w:w="146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Increase in income taxes payable</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230</w:t>
            </w:r>
          </w:p>
        </w:tc>
        <w:tc>
          <w:tcPr>
            <w:tcW w:w="146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Cash provided by operations</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185,934</w:t>
            </w:r>
          </w:p>
        </w:tc>
        <w:tc>
          <w:tcPr>
            <w:tcW w:w="1460" w:type="dxa"/>
            <w:vAlign w:val="bottom"/>
          </w:tcPr>
          <w:p>
            <w:pPr>
              <w:jc w:val="right"/>
              <w:spacing w:after="0"/>
              <w:rPr>
                <w:sz w:val="20"/>
                <w:szCs w:val="20"/>
                <w:color w:val="auto"/>
              </w:rPr>
            </w:pPr>
            <w:r>
              <w:rPr>
                <w:rFonts w:ascii="Arial" w:cs="Arial" w:eastAsia="Arial" w:hAnsi="Arial"/>
                <w:sz w:val="18"/>
                <w:szCs w:val="18"/>
                <w:color w:val="auto"/>
              </w:rPr>
              <w:t>176,260</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(674)</w:t>
            </w:r>
          </w:p>
        </w:tc>
        <w:tc>
          <w:tcPr>
            <w:tcW w:w="146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cash inflow from operating activities</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185,260</w:t>
            </w:r>
          </w:p>
        </w:tc>
        <w:tc>
          <w:tcPr>
            <w:tcW w:w="1460" w:type="dxa"/>
            <w:vAlign w:val="bottom"/>
          </w:tcPr>
          <w:p>
            <w:pPr>
              <w:jc w:val="right"/>
              <w:spacing w:after="0"/>
              <w:rPr>
                <w:sz w:val="20"/>
                <w:szCs w:val="20"/>
                <w:color w:val="auto"/>
              </w:rPr>
            </w:pPr>
            <w:r>
              <w:rPr>
                <w:rFonts w:ascii="Arial" w:cs="Arial" w:eastAsia="Arial" w:hAnsi="Arial"/>
                <w:sz w:val="18"/>
                <w:szCs w:val="18"/>
                <w:color w:val="auto"/>
              </w:rPr>
              <w:t>175,297</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Purchase of computer software</w:t>
            </w:r>
          </w:p>
        </w:tc>
        <w:tc>
          <w:tcPr>
            <w:tcW w:w="1880" w:type="dxa"/>
            <w:vAlign w:val="bottom"/>
          </w:tcPr>
          <w:p>
            <w:pPr>
              <w:ind w:left="1040"/>
              <w:spacing w:after="0"/>
              <w:rPr>
                <w:sz w:val="20"/>
                <w:szCs w:val="20"/>
                <w:color w:val="auto"/>
              </w:rPr>
            </w:pPr>
            <w:r>
              <w:rPr>
                <w:rFonts w:ascii="Arial" w:cs="Arial" w:eastAsia="Arial" w:hAnsi="Arial"/>
                <w:sz w:val="18"/>
                <w:szCs w:val="18"/>
                <w:i w:val="1"/>
                <w:iCs w:val="1"/>
                <w:color w:val="auto"/>
              </w:rPr>
              <w:t>11</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Purchase of property, plant and equipment</w:t>
            </w:r>
          </w:p>
        </w:tc>
        <w:tc>
          <w:tcPr>
            <w:tcW w:w="1880" w:type="dxa"/>
            <w:vAlign w:val="bottom"/>
          </w:tcPr>
          <w:p>
            <w:pPr>
              <w:ind w:left="1040"/>
              <w:spacing w:after="0"/>
              <w:rPr>
                <w:sz w:val="20"/>
                <w:szCs w:val="20"/>
                <w:color w:val="auto"/>
              </w:rPr>
            </w:pPr>
            <w:r>
              <w:rPr>
                <w:rFonts w:ascii="Arial" w:cs="Arial" w:eastAsia="Arial" w:hAnsi="Arial"/>
                <w:sz w:val="18"/>
                <w:szCs w:val="18"/>
                <w:i w:val="1"/>
                <w:iCs w:val="1"/>
                <w:color w:val="auto"/>
              </w:rPr>
              <w:t>10</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(261)</w:t>
            </w:r>
          </w:p>
        </w:tc>
        <w:tc>
          <w:tcPr>
            <w:tcW w:w="14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Purchase of right of use assets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(5,705)</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(Increase)/decrease in amounts due from subsidiary undertakings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(83,278)</w:t>
            </w:r>
          </w:p>
        </w:tc>
        <w:tc>
          <w:tcPr>
            <w:tcW w:w="1460" w:type="dxa"/>
            <w:vAlign w:val="bottom"/>
          </w:tcPr>
          <w:p>
            <w:pPr>
              <w:jc w:val="right"/>
              <w:spacing w:after="0"/>
              <w:rPr>
                <w:sz w:val="20"/>
                <w:szCs w:val="20"/>
                <w:color w:val="auto"/>
              </w:rPr>
            </w:pPr>
            <w:r>
              <w:rPr>
                <w:rFonts w:ascii="Arial" w:cs="Arial" w:eastAsia="Arial" w:hAnsi="Arial"/>
                <w:sz w:val="18"/>
                <w:szCs w:val="18"/>
                <w:color w:val="auto"/>
              </w:rPr>
              <w:t>(13,954)</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Increase in investment in subsidiaries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cash used by investing activities</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(89,247)</w:t>
            </w:r>
          </w:p>
        </w:tc>
        <w:tc>
          <w:tcPr>
            <w:tcW w:w="1460" w:type="dxa"/>
            <w:vAlign w:val="bottom"/>
          </w:tcPr>
          <w:p>
            <w:pPr>
              <w:jc w:val="right"/>
              <w:spacing w:after="0"/>
              <w:rPr>
                <w:sz w:val="20"/>
                <w:szCs w:val="20"/>
                <w:color w:val="auto"/>
              </w:rPr>
            </w:pPr>
            <w:r>
              <w:rPr>
                <w:rFonts w:ascii="Arial" w:cs="Arial" w:eastAsia="Arial" w:hAnsi="Arial"/>
                <w:sz w:val="18"/>
                <w:szCs w:val="18"/>
                <w:color w:val="auto"/>
              </w:rPr>
              <w:t>(14,578)</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Proceeds from exercise of share options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21,070</w:t>
            </w:r>
          </w:p>
        </w:tc>
        <w:tc>
          <w:tcPr>
            <w:tcW w:w="1460" w:type="dxa"/>
            <w:vAlign w:val="bottom"/>
          </w:tcPr>
          <w:p>
            <w:pPr>
              <w:jc w:val="right"/>
              <w:spacing w:after="0"/>
              <w:rPr>
                <w:sz w:val="20"/>
                <w:szCs w:val="20"/>
                <w:color w:val="auto"/>
              </w:rPr>
            </w:pPr>
            <w:r>
              <w:rPr>
                <w:rFonts w:ascii="Arial" w:cs="Arial" w:eastAsia="Arial" w:hAnsi="Arial"/>
                <w:sz w:val="18"/>
                <w:szCs w:val="18"/>
                <w:color w:val="auto"/>
              </w:rPr>
              <w:t>16,842</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Share issuance costs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(9)</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Repurchase of ordinary shares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(141,573)</w:t>
            </w:r>
          </w:p>
        </w:tc>
        <w:tc>
          <w:tcPr>
            <w:tcW w:w="1460" w:type="dxa"/>
            <w:vAlign w:val="bottom"/>
          </w:tcPr>
          <w:p>
            <w:pPr>
              <w:jc w:val="right"/>
              <w:spacing w:after="0"/>
              <w:rPr>
                <w:sz w:val="20"/>
                <w:szCs w:val="20"/>
                <w:color w:val="auto"/>
              </w:rPr>
            </w:pPr>
            <w:r>
              <w:rPr>
                <w:rFonts w:ascii="Arial" w:cs="Arial" w:eastAsia="Arial" w:hAnsi="Arial"/>
                <w:sz w:val="18"/>
                <w:szCs w:val="18"/>
                <w:color w:val="auto"/>
              </w:rPr>
              <w:t>(128,960)</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Share repurchase costs</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(103)</w:t>
            </w:r>
          </w:p>
        </w:tc>
        <w:tc>
          <w:tcPr>
            <w:tcW w:w="1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(120,615)</w:t>
            </w:r>
          </w:p>
        </w:tc>
        <w:tc>
          <w:tcPr>
            <w:tcW w:w="1460" w:type="dxa"/>
            <w:vAlign w:val="bottom"/>
          </w:tcPr>
          <w:p>
            <w:pPr>
              <w:jc w:val="right"/>
              <w:spacing w:after="0"/>
              <w:rPr>
                <w:sz w:val="20"/>
                <w:szCs w:val="20"/>
                <w:color w:val="auto"/>
              </w:rPr>
            </w:pPr>
            <w:r>
              <w:rPr>
                <w:rFonts w:ascii="Arial" w:cs="Arial" w:eastAsia="Arial" w:hAnsi="Arial"/>
                <w:sz w:val="18"/>
                <w:szCs w:val="18"/>
                <w:color w:val="auto"/>
              </w:rPr>
              <w:t>(112,200)</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(24,602)</w:t>
            </w:r>
          </w:p>
        </w:tc>
        <w:tc>
          <w:tcPr>
            <w:tcW w:w="1460" w:type="dxa"/>
            <w:vAlign w:val="bottom"/>
          </w:tcPr>
          <w:p>
            <w:pPr>
              <w:jc w:val="right"/>
              <w:spacing w:after="0"/>
              <w:rPr>
                <w:sz w:val="20"/>
                <w:szCs w:val="20"/>
                <w:color w:val="auto"/>
              </w:rPr>
            </w:pPr>
            <w:r>
              <w:rPr>
                <w:rFonts w:ascii="Arial" w:cs="Arial" w:eastAsia="Arial" w:hAnsi="Arial"/>
                <w:sz w:val="18"/>
                <w:szCs w:val="18"/>
                <w:color w:val="auto"/>
              </w:rPr>
              <w:t>48,519</w:t>
            </w:r>
          </w:p>
        </w:tc>
      </w:tr>
      <w:tr>
        <w:trPr>
          <w:trHeight w:val="269"/>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 at start of year</w:t>
            </w:r>
          </w:p>
        </w:tc>
        <w:tc>
          <w:tcPr>
            <w:tcW w:w="1880" w:type="dxa"/>
            <w:vAlign w:val="bottom"/>
          </w:tcPr>
          <w:p>
            <w:pPr>
              <w:spacing w:after="0"/>
              <w:rPr>
                <w:sz w:val="23"/>
                <w:szCs w:val="23"/>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100,048</w:t>
            </w:r>
          </w:p>
        </w:tc>
        <w:tc>
          <w:tcPr>
            <w:tcW w:w="1460" w:type="dxa"/>
            <w:vAlign w:val="bottom"/>
          </w:tcPr>
          <w:p>
            <w:pPr>
              <w:jc w:val="right"/>
              <w:spacing w:after="0"/>
              <w:rPr>
                <w:sz w:val="20"/>
                <w:szCs w:val="20"/>
                <w:color w:val="auto"/>
              </w:rPr>
            </w:pPr>
            <w:r>
              <w:rPr>
                <w:rFonts w:ascii="Arial" w:cs="Arial" w:eastAsia="Arial" w:hAnsi="Arial"/>
                <w:sz w:val="18"/>
                <w:szCs w:val="18"/>
                <w:color w:val="auto"/>
              </w:rPr>
              <w:t>51,529</w:t>
            </w:r>
          </w:p>
        </w:tc>
      </w:tr>
      <w:tr>
        <w:trPr>
          <w:trHeight w:val="27"/>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year</w:t>
            </w:r>
          </w:p>
        </w:tc>
        <w:tc>
          <w:tcPr>
            <w:tcW w:w="1880" w:type="dxa"/>
            <w:vAlign w:val="bottom"/>
          </w:tcPr>
          <w:p>
            <w:pPr>
              <w:spacing w:after="0"/>
              <w:rPr>
                <w:sz w:val="20"/>
                <w:szCs w:val="20"/>
                <w:color w:val="auto"/>
              </w:rPr>
            </w:pP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75,446</w:t>
            </w:r>
          </w:p>
        </w:tc>
        <w:tc>
          <w:tcPr>
            <w:tcW w:w="1460" w:type="dxa"/>
            <w:vAlign w:val="bottom"/>
          </w:tcPr>
          <w:p>
            <w:pPr>
              <w:jc w:val="right"/>
              <w:spacing w:after="0"/>
              <w:rPr>
                <w:sz w:val="20"/>
                <w:szCs w:val="20"/>
                <w:color w:val="auto"/>
              </w:rPr>
            </w:pPr>
            <w:r>
              <w:rPr>
                <w:rFonts w:ascii="Arial" w:cs="Arial" w:eastAsia="Arial" w:hAnsi="Arial"/>
                <w:sz w:val="18"/>
                <w:szCs w:val="18"/>
                <w:color w:val="auto"/>
              </w:rPr>
              <w:t>100,048</w:t>
            </w:r>
          </w:p>
        </w:tc>
      </w:tr>
      <w:tr>
        <w:trPr>
          <w:trHeight w:val="34"/>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0" w:right="239" w:bottom="7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20" w:right="239" w:bottom="768" w:gutter="0" w:footer="0" w:header="0"/>
          <w:type w:val="continuous"/>
        </w:sectPr>
      </w:pPr>
    </w:p>
    <w:bookmarkStart w:id="14" w:name="page15"/>
    <w:bookmarkEnd w:id="14"/>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20"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8" w:lineRule="exact"/>
        <w:rPr>
          <w:sz w:val="20"/>
          <w:szCs w:val="20"/>
          <w:color w:val="auto"/>
        </w:rPr>
      </w:pPr>
    </w:p>
    <w:p>
      <w:pPr>
        <w:ind w:left="400" w:right="520" w:firstLine="808"/>
        <w:spacing w:after="0" w:line="276" w:lineRule="auto"/>
        <w:rPr>
          <w:sz w:val="20"/>
          <w:szCs w:val="20"/>
          <w:color w:val="auto"/>
        </w:rPr>
      </w:pPr>
      <w:r>
        <w:rPr>
          <w:rFonts w:ascii="Arial" w:cs="Arial" w:eastAsia="Arial" w:hAnsi="Arial"/>
          <w:sz w:val="18"/>
          <w:szCs w:val="18"/>
          <w:color w:val="auto"/>
        </w:rPr>
        <w:t>The following accounting policies have been applied consistently in dealing with items which are considered material in relation to the Company’s financial statements.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4" w:lineRule="exact"/>
        <w:rPr>
          <w:sz w:val="20"/>
          <w:szCs w:val="20"/>
          <w:color w:val="auto"/>
        </w:rPr>
      </w:pPr>
    </w:p>
    <w:p>
      <w:pPr>
        <w:ind w:left="400" w:right="460" w:firstLine="808"/>
        <w:spacing w:after="0" w:line="276" w:lineRule="auto"/>
        <w:rPr>
          <w:sz w:val="20"/>
          <w:szCs w:val="20"/>
          <w:color w:val="auto"/>
        </w:rPr>
      </w:pPr>
      <w:r>
        <w:rPr>
          <w:rFonts w:ascii="Arial" w:cs="Arial" w:eastAsia="Arial" w:hAnsi="Arial"/>
          <w:sz w:val="18"/>
          <w:szCs w:val="18"/>
          <w:color w:val="auto"/>
        </w:rPr>
        <w:t>The financial statements have been prepared in accordance with IFRS as adopted by the EU and those parts of the Companies Act 2014 applicable to companies reporting under IFRS.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224" w:lineRule="exact"/>
        <w:rPr>
          <w:sz w:val="20"/>
          <w:szCs w:val="20"/>
          <w:color w:val="auto"/>
        </w:rPr>
      </w:pPr>
    </w:p>
    <w:p>
      <w:pPr>
        <w:ind w:left="400" w:right="80" w:firstLine="808"/>
        <w:spacing w:after="0" w:line="258" w:lineRule="auto"/>
        <w:rPr>
          <w:sz w:val="20"/>
          <w:szCs w:val="20"/>
          <w:color w:val="auto"/>
        </w:rPr>
      </w:pPr>
      <w:r>
        <w:rPr>
          <w:rFonts w:ascii="Arial" w:cs="Arial" w:eastAsia="Arial" w:hAnsi="Arial"/>
          <w:sz w:val="18"/>
          <w:szCs w:val="18"/>
          <w:color w:val="auto"/>
        </w:rPr>
        <w:t>These financial statements are not the statutory financial statements of the Company which company law requires to be prepared and laid before the members at an Annual General Meeting. Statutory financial statements, for the year-ended 31 December 2018, have been prepared separately as consolidated financial statements and present information about the group comprising of this Company and its subsidiaries and associated undertakings.</w:t>
      </w:r>
    </w:p>
    <w:p>
      <w:pPr>
        <w:spacing w:after="0" w:line="188" w:lineRule="exact"/>
        <w:rPr>
          <w:sz w:val="20"/>
          <w:szCs w:val="20"/>
          <w:color w:val="auto"/>
        </w:rPr>
      </w:pPr>
    </w:p>
    <w:p>
      <w:pPr>
        <w:ind w:left="400" w:right="60" w:firstLine="808"/>
        <w:spacing w:after="0" w:line="254" w:lineRule="auto"/>
        <w:rPr>
          <w:sz w:val="20"/>
          <w:szCs w:val="20"/>
          <w:color w:val="auto"/>
        </w:rPr>
      </w:pPr>
      <w:r>
        <w:rPr>
          <w:rFonts w:ascii="Arial" w:cs="Arial" w:eastAsia="Arial" w:hAnsi="Arial"/>
          <w:sz w:val="18"/>
          <w:szCs w:val="18"/>
          <w:color w:val="auto"/>
        </w:rPr>
        <w:t>These non-statutory unaudited interim financial statements have been prepared solely to facilitate the directors to present information about this Company on a stand-alone basis for filing with the Company Registration Office and to record the Company’s profits available for distribution in its relevant financial statements in accordance with Companies Act 2014, as it continues its share repurchase programme. Except that the financial statements are not consolidated financial statements and do not contain all relevant information required under Company law in Ireland, they have been prepared under the historical cost convention, in accordance with International Financial Reporting Standards. The financial statements include the financial statements of the Company and its branches (Italy, Latvia, Lithuania and Poland). Inter branch transactions and balances have been eliminated in their preparation.</w:t>
      </w:r>
    </w:p>
    <w:p>
      <w:pPr>
        <w:spacing w:after="0" w:line="19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New and amended standards adopted by the Company</w:t>
      </w:r>
    </w:p>
    <w:p>
      <w:pPr>
        <w:spacing w:after="0" w:line="224"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Leases</w:t>
      </w:r>
    </w:p>
    <w:p>
      <w:pPr>
        <w:spacing w:after="0" w:line="224" w:lineRule="exact"/>
        <w:rPr>
          <w:sz w:val="20"/>
          <w:szCs w:val="20"/>
          <w:color w:val="auto"/>
        </w:rPr>
      </w:pPr>
    </w:p>
    <w:p>
      <w:pPr>
        <w:ind w:left="400" w:firstLine="808"/>
        <w:spacing w:after="0" w:line="289" w:lineRule="auto"/>
        <w:rPr>
          <w:sz w:val="20"/>
          <w:szCs w:val="20"/>
          <w:color w:val="auto"/>
        </w:rPr>
      </w:pPr>
      <w:r>
        <w:rPr>
          <w:rFonts w:ascii="Arial" w:cs="Arial" w:eastAsia="Arial" w:hAnsi="Arial"/>
          <w:sz w:val="16"/>
          <w:szCs w:val="16"/>
          <w:color w:val="auto"/>
        </w:rPr>
        <w:t>The new leasing standard (IFRS 16 'Leases') was issued in January 2018. IFRS 16 'Leases' supersedes the requirements in IAS 17 'Leases' and requires that lessees recognise rights and obligations from virtually all leases (other than leases that meet the definition of a short-term lease) on their balance sheets as right-of-use assets with corresponding lease liabilities. The standard also provides additional guidance on how to classify leases and how to determine the lease term for accounting purposes. IFRS 16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for the 12 months ended 31 December, 2018 are therefore presented under the previous leasing accounting principles, IAS 17 'Leases'. Operating lease liabilities and right-of-use assets have been recorded on the Balance Sheet as at 1 January, 2019 of $5.4 million. The net operating cost of leases recorded in the 10 months ended 31 October, 2019 was $1.25 million.</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is no impact of adopting ASC 842 on opening retained earnings at January 1, 2019.</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Intangible assets – computer software</w:t>
      </w:r>
    </w:p>
    <w:p>
      <w:pPr>
        <w:spacing w:after="0" w:line="211" w:lineRule="exact"/>
        <w:rPr>
          <w:sz w:val="20"/>
          <w:szCs w:val="20"/>
          <w:color w:val="auto"/>
        </w:rPr>
      </w:pPr>
    </w:p>
    <w:p>
      <w:pPr>
        <w:jc w:val="both"/>
        <w:ind w:left="400" w:right="20" w:firstLine="808"/>
        <w:spacing w:after="0" w:line="255" w:lineRule="auto"/>
        <w:rPr>
          <w:sz w:val="20"/>
          <w:szCs w:val="20"/>
          <w:color w:val="auto"/>
        </w:rPr>
      </w:pPr>
      <w:r>
        <w:rPr>
          <w:rFonts w:ascii="Arial" w:cs="Arial" w:eastAsia="Arial" w:hAnsi="Arial"/>
          <w:sz w:val="18"/>
          <w:szCs w:val="18"/>
          <w:color w:val="auto"/>
        </w:rPr>
        <w:t>Intangible assets are stated at cost less accumulated amortisation and impairment losses. Useful lives of intangibles are reviewed and adjusted if appropriate at each reporting date. Residual value is estimated to be zero. Amortisation is charged to the income statement on a straight line basis over the estimated useful lives of intangible assets, currently estimated as follows:</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Years</w:t>
      </w:r>
    </w:p>
    <w:p>
      <w:pPr>
        <w:spacing w:after="0" w:line="9" w:lineRule="exact"/>
        <w:rPr>
          <w:sz w:val="20"/>
          <w:szCs w:val="20"/>
          <w:color w:val="auto"/>
        </w:rPr>
      </w:pPr>
    </w:p>
    <w:p>
      <w:pPr>
        <w:ind w:left="1200"/>
        <w:spacing w:after="0"/>
        <w:tabs>
          <w:tab w:leader="none" w:pos="2740" w:val="left"/>
        </w:tabs>
        <w:rPr>
          <w:sz w:val="20"/>
          <w:szCs w:val="20"/>
          <w:color w:val="auto"/>
        </w:rPr>
      </w:pPr>
      <w:r>
        <w:rPr>
          <w:rFonts w:ascii="Arial" w:cs="Arial" w:eastAsia="Arial" w:hAnsi="Arial"/>
          <w:sz w:val="18"/>
          <w:szCs w:val="18"/>
          <w:color w:val="auto"/>
        </w:rPr>
        <w:t>Computer software</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20" w:right="239" w:bottom="1440" w:gutter="0" w:footer="0" w:header="0"/>
        </w:sectPr>
      </w:pPr>
    </w:p>
    <w:bookmarkStart w:id="15" w:name="page16"/>
    <w:bookmarkEnd w:id="15"/>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0" w:right="8540" w:hanging="1192"/>
        <w:spacing w:after="0" w:line="602" w:lineRule="auto"/>
        <w:tabs>
          <w:tab w:leader="none" w:pos="39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Accounting policies (continued) </w:t>
      </w:r>
      <w:r>
        <w:rPr>
          <w:rFonts w:ascii="Arial" w:cs="Arial" w:eastAsia="Arial" w:hAnsi="Arial"/>
          <w:sz w:val="15"/>
          <w:szCs w:val="15"/>
          <w:b w:val="1"/>
          <w:bCs w:val="1"/>
          <w:i w:val="1"/>
          <w:iCs w:val="1"/>
          <w:color w:val="auto"/>
        </w:rPr>
        <w:t>Foreign currencies</w:t>
      </w:r>
    </w:p>
    <w:p>
      <w:pPr>
        <w:spacing w:after="0" w:line="1" w:lineRule="exact"/>
        <w:rPr>
          <w:sz w:val="20"/>
          <w:szCs w:val="20"/>
          <w:color w:val="auto"/>
        </w:rPr>
      </w:pPr>
    </w:p>
    <w:p>
      <w:pPr>
        <w:ind w:left="400" w:firstLine="808"/>
        <w:spacing w:after="0" w:line="275" w:lineRule="auto"/>
        <w:rPr>
          <w:sz w:val="20"/>
          <w:szCs w:val="20"/>
          <w:color w:val="auto"/>
        </w:rPr>
      </w:pPr>
      <w:r>
        <w:rPr>
          <w:rFonts w:ascii="Arial" w:cs="Arial" w:eastAsia="Arial" w:hAnsi="Arial"/>
          <w:sz w:val="16"/>
          <w:szCs w:val="16"/>
          <w:color w:val="auto"/>
        </w:rPr>
        <w:t>The financial statements are prepared in US Dollars ($). The functional currency of the Company changed from Euro (€) to US dollars ($) on 1 August 2015. The change in functional currency was accounted for prospectively from the date of change. All items were translated using the exchange rate at the date of change and the resulting translated amounts for non-monetary items were recorded at their historical cost from 1 August 2015. The Company financial statements are presented in US dollars. Transactions in currencies other than USD are recorded at the rate ruling at the date of the transaction or at a contracted rate. Monetary assets and liabilities denominated in currencies other than USD are translated at exchange rates prevailing at the statement of financial position date. Adjustments resulting from these transactions are charged or credited to income.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Property, plant and equipment are stated at cost less accumulated depreciation and any provisions for impairment.</w:t>
      </w:r>
    </w:p>
    <w:p>
      <w:pPr>
        <w:spacing w:after="0" w:line="197" w:lineRule="exact"/>
        <w:rPr>
          <w:sz w:val="20"/>
          <w:szCs w:val="20"/>
          <w:color w:val="auto"/>
        </w:rPr>
      </w:pPr>
    </w:p>
    <w:p>
      <w:pPr>
        <w:ind w:left="400" w:right="220" w:firstLine="808"/>
        <w:spacing w:after="0" w:line="238" w:lineRule="auto"/>
        <w:rPr>
          <w:sz w:val="20"/>
          <w:szCs w:val="20"/>
          <w:color w:val="auto"/>
        </w:rPr>
      </w:pPr>
      <w:r>
        <w:rPr>
          <w:rFonts w:ascii="Arial" w:cs="Arial" w:eastAsia="Arial" w:hAnsi="Arial"/>
          <w:sz w:val="18"/>
          <w:szCs w:val="18"/>
          <w:color w:val="auto"/>
        </w:rPr>
        <w:t>Depreciation is calculated to write off the original cost of property, plant and equipment less its estimated residual value over its expected useful lives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Years</w:t>
      </w:r>
    </w:p>
    <w:p>
      <w:pPr>
        <w:spacing w:after="0" w:line="7" w:lineRule="exact"/>
        <w:rPr>
          <w:sz w:val="20"/>
          <w:szCs w:val="20"/>
          <w:color w:val="auto"/>
        </w:rPr>
      </w:pPr>
    </w:p>
    <w:p>
      <w:pPr>
        <w:ind w:left="1200"/>
        <w:spacing w:after="0"/>
        <w:tabs>
          <w:tab w:leader="none" w:pos="2880" w:val="left"/>
        </w:tabs>
        <w:rPr>
          <w:sz w:val="20"/>
          <w:szCs w:val="20"/>
          <w:color w:val="auto"/>
        </w:rPr>
      </w:pPr>
      <w:r>
        <w:rPr>
          <w:rFonts w:ascii="Arial" w:cs="Arial" w:eastAsia="Arial" w:hAnsi="Arial"/>
          <w:sz w:val="18"/>
          <w:szCs w:val="18"/>
          <w:color w:val="auto"/>
        </w:rPr>
        <w:t>Computer equipment</w:t>
      </w:r>
      <w:r>
        <w:rPr>
          <w:sz w:val="20"/>
          <w:szCs w:val="20"/>
          <w:color w:val="auto"/>
        </w:rPr>
        <w:tab/>
      </w:r>
      <w:r>
        <w:rPr>
          <w:rFonts w:ascii="Arial" w:cs="Arial" w:eastAsia="Arial" w:hAnsi="Arial"/>
          <w:sz w:val="16"/>
          <w:szCs w:val="16"/>
          <w:color w:val="auto"/>
        </w:rPr>
        <w:t>2-8</w:t>
      </w:r>
    </w:p>
    <w:p>
      <w:pPr>
        <w:spacing w:after="0" w:line="9" w:lineRule="exact"/>
        <w:rPr>
          <w:sz w:val="20"/>
          <w:szCs w:val="20"/>
          <w:color w:val="auto"/>
        </w:rPr>
      </w:pPr>
    </w:p>
    <w:p>
      <w:pPr>
        <w:ind w:left="1200"/>
        <w:spacing w:after="0"/>
        <w:tabs>
          <w:tab w:leader="none" w:pos="3400" w:val="left"/>
        </w:tabs>
        <w:rPr>
          <w:sz w:val="20"/>
          <w:szCs w:val="20"/>
          <w:color w:val="auto"/>
        </w:rPr>
      </w:pPr>
      <w:r>
        <w:rPr>
          <w:rFonts w:ascii="Arial" w:cs="Arial" w:eastAsia="Arial" w:hAnsi="Arial"/>
          <w:sz w:val="18"/>
          <w:szCs w:val="18"/>
          <w:color w:val="auto"/>
        </w:rPr>
        <w:t>Office furniture and fixtures</w:t>
      </w:r>
      <w:r>
        <w:rPr>
          <w:sz w:val="20"/>
          <w:szCs w:val="20"/>
          <w:color w:val="auto"/>
        </w:rPr>
        <w:tab/>
      </w:r>
      <w:r>
        <w:rPr>
          <w:rFonts w:ascii="Arial" w:cs="Arial" w:eastAsia="Arial" w:hAnsi="Arial"/>
          <w:sz w:val="13"/>
          <w:szCs w:val="13"/>
          <w:color w:val="auto"/>
        </w:rPr>
        <w:t>8</w:t>
      </w:r>
    </w:p>
    <w:p>
      <w:pPr>
        <w:spacing w:after="0" w:line="196" w:lineRule="exact"/>
        <w:rPr>
          <w:sz w:val="20"/>
          <w:szCs w:val="20"/>
          <w:color w:val="auto"/>
        </w:rPr>
      </w:pPr>
    </w:p>
    <w:p>
      <w:pPr>
        <w:ind w:left="400" w:right="80" w:firstLine="808"/>
        <w:spacing w:after="0" w:line="290" w:lineRule="auto"/>
        <w:rPr>
          <w:sz w:val="20"/>
          <w:szCs w:val="20"/>
          <w:color w:val="auto"/>
        </w:rPr>
      </w:pPr>
      <w:r>
        <w:rPr>
          <w:rFonts w:ascii="Arial" w:cs="Arial" w:eastAsia="Arial" w:hAnsi="Arial"/>
          <w:sz w:val="17"/>
          <w:szCs w:val="17"/>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134" w:lineRule="exact"/>
        <w:rPr>
          <w:sz w:val="20"/>
          <w:szCs w:val="20"/>
          <w:color w:val="auto"/>
        </w:rPr>
      </w:pPr>
    </w:p>
    <w:p>
      <w:pPr>
        <w:ind w:left="400" w:right="140" w:firstLine="808"/>
        <w:spacing w:after="0" w:line="261"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 are removed from the financial statements and the net amount, less any proceeds, is taken to the income statement.</w:t>
      </w:r>
    </w:p>
    <w:p>
      <w:pPr>
        <w:spacing w:after="0" w:line="156" w:lineRule="exact"/>
        <w:rPr>
          <w:sz w:val="20"/>
          <w:szCs w:val="20"/>
          <w:color w:val="auto"/>
        </w:rPr>
      </w:pPr>
    </w:p>
    <w:p>
      <w:pPr>
        <w:ind w:left="400" w:right="20" w:firstLine="808"/>
        <w:spacing w:after="0" w:line="241" w:lineRule="auto"/>
        <w:rPr>
          <w:sz w:val="20"/>
          <w:szCs w:val="20"/>
          <w:color w:val="auto"/>
        </w:rPr>
      </w:pPr>
      <w:r>
        <w:rPr>
          <w:rFonts w:ascii="Arial" w:cs="Arial" w:eastAsia="Arial" w:hAnsi="Arial"/>
          <w:sz w:val="18"/>
          <w:szCs w:val="18"/>
          <w:color w:val="auto"/>
        </w:rPr>
        <w:t>The carrying amounts of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73" w:lineRule="exact"/>
        <w:rPr>
          <w:sz w:val="20"/>
          <w:szCs w:val="20"/>
          <w:color w:val="auto"/>
        </w:rPr>
      </w:pPr>
    </w:p>
    <w:p>
      <w:pPr>
        <w:ind w:left="400" w:right="120" w:firstLine="808"/>
        <w:spacing w:after="0" w:line="269" w:lineRule="auto"/>
        <w:rPr>
          <w:sz w:val="20"/>
          <w:szCs w:val="20"/>
          <w:color w:val="auto"/>
        </w:rPr>
      </w:pPr>
      <w:r>
        <w:rPr>
          <w:rFonts w:ascii="Arial" w:cs="Arial" w:eastAsia="Arial" w:hAnsi="Arial"/>
          <w:sz w:val="17"/>
          <w:szCs w:val="17"/>
          <w:color w:val="auto"/>
        </w:rPr>
        <w:t>Subsequent costs are included in an asset’s carrying amount or recognised as a separate asset, as appropriate, only when it is probable that future economic benefits associated with the item will flow to the Company and the cost of the replaced item can be measured reliably. All other repair and maintenance costs are charged to the income statement during the financial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60"/>
          </w:cols>
          <w:pgMar w:left="240" w:top="120" w:right="299" w:bottom="1440" w:gutter="0" w:footer="0" w:header="0"/>
        </w:sectPr>
      </w:pPr>
    </w:p>
    <w:bookmarkStart w:id="16" w:name="page17"/>
    <w:bookmarkEnd w:id="16"/>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i w:val="1"/>
          <w:iCs w:val="1"/>
          <w:color w:val="auto"/>
        </w:rPr>
        <w:t>(continued)</w:t>
      </w:r>
    </w:p>
    <w:p>
      <w:pPr>
        <w:spacing w:after="0" w:line="215" w:lineRule="exact"/>
        <w:rPr>
          <w:sz w:val="20"/>
          <w:szCs w:val="20"/>
          <w:color w:val="auto"/>
        </w:rPr>
      </w:pPr>
    </w:p>
    <w:p>
      <w:pPr>
        <w:ind w:left="400" w:firstLine="808"/>
        <w:spacing w:after="0" w:line="243" w:lineRule="auto"/>
        <w:rPr>
          <w:sz w:val="20"/>
          <w:szCs w:val="20"/>
          <w:color w:val="auto"/>
        </w:rPr>
      </w:pPr>
      <w:r>
        <w:rPr>
          <w:rFonts w:ascii="Arial" w:cs="Arial" w:eastAsia="Arial" w:hAnsi="Arial"/>
          <w:sz w:val="18"/>
          <w:szCs w:val="18"/>
          <w:color w:val="auto"/>
        </w:rPr>
        <w:t>IFRS 9 - Financial Instruments replaced IAS 39 Financial instruments: Recognition and Measurement effective from 1 January 2018. The Company assessed the business models and contractual cash flows which apply to its financial assets and classified the assets into the appropriate IFRS 9 categories accordingly. The results and financial position in respect of the year and period ended 31 December 2018 and 31 October 2018 respectively, both, therefore, reflect adoption of IFRS 9 at 1 January 2018.</w:t>
      </w:r>
    </w:p>
    <w:p>
      <w:pPr>
        <w:spacing w:after="0" w:line="172" w:lineRule="exact"/>
        <w:rPr>
          <w:sz w:val="20"/>
          <w:szCs w:val="20"/>
          <w:color w:val="auto"/>
        </w:rPr>
      </w:pPr>
    </w:p>
    <w:p>
      <w:pPr>
        <w:ind w:left="400"/>
        <w:spacing w:after="0"/>
        <w:tabs>
          <w:tab w:leader="none" w:pos="7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97" w:lineRule="exact"/>
        <w:rPr>
          <w:sz w:val="20"/>
          <w:szCs w:val="20"/>
          <w:color w:val="auto"/>
        </w:rPr>
      </w:pPr>
    </w:p>
    <w:p>
      <w:pPr>
        <w:ind w:left="400" w:right="440"/>
        <w:spacing w:after="0" w:line="276" w:lineRule="auto"/>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57" w:lineRule="exact"/>
        <w:rPr>
          <w:sz w:val="20"/>
          <w:szCs w:val="20"/>
          <w:color w:val="auto"/>
        </w:rPr>
      </w:pPr>
    </w:p>
    <w:p>
      <w:pPr>
        <w:ind w:left="1200"/>
        <w:spacing w:after="0"/>
        <w:tabs>
          <w:tab w:leader="none" w:pos="1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Trade receivables</w:t>
      </w:r>
    </w:p>
    <w:p>
      <w:pPr>
        <w:spacing w:after="0" w:line="197" w:lineRule="exact"/>
        <w:rPr>
          <w:sz w:val="20"/>
          <w:szCs w:val="20"/>
          <w:color w:val="auto"/>
        </w:rPr>
      </w:pPr>
    </w:p>
    <w:p>
      <w:pPr>
        <w:ind w:left="400" w:right="200"/>
        <w:spacing w:after="0" w:line="341" w:lineRule="auto"/>
        <w:rPr>
          <w:sz w:val="20"/>
          <w:szCs w:val="20"/>
          <w:color w:val="auto"/>
        </w:rPr>
      </w:pPr>
      <w:r>
        <w:rPr>
          <w:rFonts w:ascii="Arial" w:cs="Arial" w:eastAsia="Arial" w:hAnsi="Arial"/>
          <w:sz w:val="16"/>
          <w:szCs w:val="16"/>
          <w:color w:val="auto"/>
        </w:rPr>
        <w:t>The Company’s financial assets measured at amortised cost, the most significant of which are trade receivables and unbilled receivables, are subject to IFRS 9's new expected credit loss model. The Company's impairment methodology has been revised in line with the requirements of IFRS 9.</w:t>
      </w:r>
    </w:p>
    <w:p>
      <w:pPr>
        <w:spacing w:after="0" w:line="124" w:lineRule="exact"/>
        <w:rPr>
          <w:sz w:val="20"/>
          <w:szCs w:val="20"/>
          <w:color w:val="auto"/>
        </w:rPr>
      </w:pPr>
    </w:p>
    <w:p>
      <w:pPr>
        <w:ind w:left="400"/>
        <w:spacing w:after="0" w:line="256" w:lineRule="auto"/>
        <w:rPr>
          <w:sz w:val="20"/>
          <w:szCs w:val="20"/>
          <w:color w:val="auto"/>
        </w:rPr>
      </w:pPr>
      <w:r>
        <w:rPr>
          <w:rFonts w:ascii="Arial" w:cs="Arial" w:eastAsia="Arial" w:hAnsi="Arial"/>
          <w:sz w:val="18"/>
          <w:szCs w:val="18"/>
          <w:color w:val="auto"/>
        </w:rPr>
        <w:t>For trade receivables and unbilled revenue, the Company applies the simplified approach permitted by IFRS 9, which requires expected lifetime losses to be recognised from initial recognition of the receivables As part of the IFRS 9 transition, the Company assessed its existing trade and unbilled receivables for impairment, using reasonable and supportable information that is available without undue cost or effort, to determine the credit risk of the receivables at the date on which they were initially recognised and compared that to the credit risk as at 1 January 2018. This assessment did not resulted in a material adjustment to trade and unbilled receivables.</w:t>
      </w:r>
    </w:p>
    <w:p>
      <w:pPr>
        <w:spacing w:after="0" w:line="190" w:lineRule="exact"/>
        <w:rPr>
          <w:sz w:val="20"/>
          <w:szCs w:val="20"/>
          <w:color w:val="auto"/>
        </w:rPr>
      </w:pPr>
    </w:p>
    <w:p>
      <w:pPr>
        <w:ind w:left="1200"/>
        <w:spacing w:after="0"/>
        <w:tabs>
          <w:tab w:leader="none" w:pos="15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Investments in subsidiaries</w:t>
      </w:r>
    </w:p>
    <w:p>
      <w:pPr>
        <w:spacing w:after="0" w:line="211" w:lineRule="exact"/>
        <w:rPr>
          <w:sz w:val="20"/>
          <w:szCs w:val="20"/>
          <w:color w:val="auto"/>
        </w:rPr>
      </w:pPr>
    </w:p>
    <w:p>
      <w:pPr>
        <w:ind w:left="380"/>
        <w:spacing w:after="0" w:line="276" w:lineRule="auto"/>
        <w:rPr>
          <w:sz w:val="20"/>
          <w:szCs w:val="20"/>
          <w:color w:val="auto"/>
        </w:rPr>
      </w:pPr>
      <w:r>
        <w:rPr>
          <w:rFonts w:ascii="Arial" w:cs="Arial" w:eastAsia="Arial" w:hAnsi="Arial"/>
          <w:sz w:val="18"/>
          <w:szCs w:val="18"/>
          <w:color w:val="auto"/>
        </w:rPr>
        <w:t>Investments in subsidiary undertakings are stated at cost less any accumulated impairment and are reviewed for impairment if there are indicators that the carrying value may not be recoverable.</w:t>
      </w:r>
    </w:p>
    <w:p>
      <w:pPr>
        <w:spacing w:after="0" w:line="171" w:lineRule="exact"/>
        <w:rPr>
          <w:sz w:val="20"/>
          <w:szCs w:val="20"/>
          <w:color w:val="auto"/>
        </w:rPr>
      </w:pPr>
    </w:p>
    <w:p>
      <w:pPr>
        <w:ind w:left="380"/>
        <w:spacing w:after="0" w:line="276" w:lineRule="auto"/>
        <w:rPr>
          <w:sz w:val="20"/>
          <w:szCs w:val="20"/>
          <w:color w:val="auto"/>
        </w:rPr>
      </w:pPr>
      <w:r>
        <w:rPr>
          <w:rFonts w:ascii="Arial" w:cs="Arial" w:eastAsia="Arial" w:hAnsi="Arial"/>
          <w:sz w:val="18"/>
          <w:szCs w:val="18"/>
          <w:color w:val="auto"/>
        </w:rPr>
        <w:t>Intercompany loans receivable and payable are initially recognised at fair value. These are subsequently measured at amortised cost, less any loss allowance.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20" w:right="239" w:bottom="1440" w:gutter="0" w:footer="0" w:header="0"/>
        </w:sectPr>
      </w:pPr>
    </w:p>
    <w:bookmarkStart w:id="17" w:name="page18"/>
    <w:bookmarkEnd w:id="17"/>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i w:val="1"/>
          <w:iCs w:val="1"/>
          <w:color w:val="auto"/>
        </w:rPr>
        <w:t>(continued)</w:t>
      </w:r>
    </w:p>
    <w:p>
      <w:pPr>
        <w:spacing w:after="0" w:line="21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Share capital</w:t>
      </w:r>
    </w:p>
    <w:p>
      <w:pPr>
        <w:spacing w:after="0" w:line="211" w:lineRule="exact"/>
        <w:rPr>
          <w:sz w:val="20"/>
          <w:szCs w:val="20"/>
          <w:color w:val="auto"/>
        </w:rPr>
      </w:pPr>
    </w:p>
    <w:p>
      <w:pPr>
        <w:jc w:val="both"/>
        <w:ind w:left="380"/>
        <w:spacing w:after="0" w:line="276"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1" w:lineRule="exact"/>
        <w:rPr>
          <w:sz w:val="20"/>
          <w:szCs w:val="20"/>
          <w:color w:val="auto"/>
        </w:rPr>
      </w:pPr>
    </w:p>
    <w:p>
      <w:pPr>
        <w:jc w:val="both"/>
        <w:ind w:left="380" w:right="20"/>
        <w:spacing w:after="0" w:line="276" w:lineRule="auto"/>
        <w:rPr>
          <w:sz w:val="20"/>
          <w:szCs w:val="20"/>
          <w:color w:val="auto"/>
        </w:rPr>
      </w:pPr>
      <w:r>
        <w:rPr>
          <w:rFonts w:ascii="Arial" w:cs="Arial" w:eastAsia="Arial" w:hAnsi="Arial"/>
          <w:sz w:val="18"/>
          <w:szCs w:val="18"/>
          <w:color w:val="auto"/>
        </w:rPr>
        <w:t>Where ordinary shares are repurchased by the Company they are cancelled and the nominal value of the shares is transferred to a capital redemption reserve fund within equity.</w:t>
      </w:r>
    </w:p>
    <w:p>
      <w:pPr>
        <w:spacing w:after="0" w:line="157"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(a) Pension and other post-employment benefits</w:t>
      </w:r>
    </w:p>
    <w:p>
      <w:pPr>
        <w:spacing w:after="0" w:line="11"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color w:val="auto"/>
        </w:rPr>
        <w:t>The Company operates a defined contribution pension plan. A defined contribution plan is a pension plan under which the Company pays fixed contributions into a separate entity. The Company has no legal or constructive obligation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 Share-based payments</w:t>
      </w:r>
    </w:p>
    <w:p>
      <w:pPr>
        <w:spacing w:after="0" w:line="23" w:lineRule="exact"/>
        <w:rPr>
          <w:sz w:val="20"/>
          <w:szCs w:val="20"/>
          <w:color w:val="auto"/>
        </w:rPr>
      </w:pPr>
    </w:p>
    <w:p>
      <w:pPr>
        <w:jc w:val="both"/>
        <w:ind w:left="380"/>
        <w:spacing w:after="0" w:line="267" w:lineRule="auto"/>
        <w:rPr>
          <w:sz w:val="20"/>
          <w:szCs w:val="20"/>
          <w:color w:val="auto"/>
        </w:rPr>
      </w:pPr>
      <w:r>
        <w:rPr>
          <w:rFonts w:ascii="Arial" w:cs="Arial" w:eastAsia="Arial" w:hAnsi="Arial"/>
          <w:sz w:val="17"/>
          <w:szCs w:val="17"/>
          <w:color w:val="auto"/>
        </w:rPr>
        <w:t>Share-based payments comprise options to acquire ordinary shares in the Company, restricted share units (RSUs) and performance share units (PSUs) in the form of ordinary share entitlements after a certain period of time. These are awarded to the certain key employees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individual become unconditionally entitled to the options, RSU or PSU. The fair value of options granted is measured using a binomial lattice model, taking into account the terms and conditions upon which the options were granted. The fair value of RSUs and PSUs is equal to the market price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period in relation to options or RSUs that are expected to vest. The amount recognised as an expense is adjusted to reflect the actual number of share options, RSUs or PSUs that vest.</w:t>
      </w:r>
    </w:p>
    <w:p>
      <w:pPr>
        <w:spacing w:after="0" w:line="182" w:lineRule="exact"/>
        <w:rPr>
          <w:sz w:val="20"/>
          <w:szCs w:val="20"/>
          <w:color w:val="auto"/>
        </w:rPr>
      </w:pPr>
    </w:p>
    <w:p>
      <w:pPr>
        <w:jc w:val="both"/>
        <w:ind w:left="380"/>
        <w:spacing w:after="0" w:line="258" w:lineRule="auto"/>
        <w:rPr>
          <w:sz w:val="20"/>
          <w:szCs w:val="20"/>
          <w:color w:val="auto"/>
        </w:rPr>
      </w:pPr>
      <w:r>
        <w:rPr>
          <w:rFonts w:ascii="Arial" w:cs="Arial" w:eastAsia="Arial" w:hAnsi="Arial"/>
          <w:sz w:val="18"/>
          <w:szCs w:val="18"/>
          <w:color w:val="auto"/>
        </w:rPr>
        <w:t>The share-based payment expense associated with the plans is recognised by the entity which receives services in exchange for the share-based payment compensation. Share-based payment expense is recognised over the requisite service period for awards of equity instruments to employees based on the grant date fair value of those awards expected to ultimately vest. Forfeitures are estimated on the date of grant and revised if actual or expected forfeiture activity differs materially from original estimates.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income statement of the Company is charged with the expense related to the services received by the Company.</w:t>
      </w:r>
    </w:p>
    <w:p>
      <w:pPr>
        <w:spacing w:after="0" w:line="23"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color w:val="auto"/>
        </w:rPr>
        <w:t>The remaining portions of the share-based payments represent a contribution to Company entities and are added to the carrying amount of those investments. Under an agreement, the subsidiaries pay the Company an amount equal to the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0" w:right="239" w:bottom="1440" w:gutter="0" w:footer="0" w:header="0"/>
        </w:sectPr>
      </w:pPr>
    </w:p>
    <w:bookmarkStart w:id="18" w:name="page19"/>
    <w:bookmarkEnd w:id="18"/>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color w:val="auto"/>
        </w:rPr>
        <w:t>(continued)</w:t>
      </w:r>
    </w:p>
    <w:p>
      <w:pPr>
        <w:spacing w:after="0" w:line="20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10" w:lineRule="exact"/>
        <w:rPr>
          <w:rFonts w:ascii="Arial" w:cs="Arial" w:eastAsia="Arial" w:hAnsi="Arial"/>
          <w:sz w:val="18"/>
          <w:szCs w:val="18"/>
          <w:b w:val="1"/>
          <w:bCs w:val="1"/>
          <w:color w:val="auto"/>
        </w:rPr>
      </w:pPr>
    </w:p>
    <w:p>
      <w:pPr>
        <w:jc w:val="both"/>
        <w:ind w:left="3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earns revenue from contract research services provided in Ireland and recognises revenue as those services are provided. The company’s revenue is a function of the group’s global transfer pricing model. ICON Ireland acts as the group entrepreneur under the group’s global transfer pricing model given its role in the development and management of the group, it’s ownership of key intellectual property and customer relationships, its key role in the mitigation of risks faced by the group and its responsibility for maintaining the group’s global network. ICON Ireland enters into the majority of the group’s customer contracts. ICON Ireland remunerates the company on the basis of a guaranteed cost plus mark up for the services it performs. The cost plus mark up for the company is established to ensure that ICON Ireland and the company are involved in the conduct of services for customers and earn an appropriate arms-length return having regard to the assets owned, risks borne, and functions performed by the company from these transactions.</w:t>
      </w:r>
    </w:p>
    <w:p>
      <w:pPr>
        <w:spacing w:after="0" w:line="150"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Direct costs</w:t>
      </w:r>
    </w:p>
    <w:p>
      <w:pPr>
        <w:spacing w:after="0" w:line="211" w:lineRule="exact"/>
        <w:rPr>
          <w:sz w:val="20"/>
          <w:szCs w:val="20"/>
          <w:color w:val="auto"/>
        </w:rPr>
      </w:pPr>
    </w:p>
    <w:p>
      <w:pPr>
        <w:jc w:val="both"/>
        <w:ind w:left="380"/>
        <w:spacing w:after="0" w:line="276"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57"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97" w:lineRule="exact"/>
        <w:rPr>
          <w:sz w:val="20"/>
          <w:szCs w:val="20"/>
          <w:color w:val="auto"/>
        </w:rPr>
      </w:pPr>
    </w:p>
    <w:p>
      <w:pPr>
        <w:jc w:val="both"/>
        <w:ind w:left="380"/>
        <w:spacing w:after="0" w:line="341" w:lineRule="auto"/>
        <w:rPr>
          <w:sz w:val="20"/>
          <w:szCs w:val="20"/>
          <w:color w:val="auto"/>
        </w:rPr>
      </w:pPr>
      <w:r>
        <w:rPr>
          <w:rFonts w:ascii="Arial" w:cs="Arial" w:eastAsia="Arial" w:hAnsi="Arial"/>
          <w:sz w:val="16"/>
          <w:szCs w:val="16"/>
          <w:color w:val="auto"/>
        </w:rPr>
        <w:t>Other operating expenses consist of compensation, associated employee benefits and share-based payments for non-project-related employees and other indirect costs associated with the business. Other operating expenses also includes depreciation expenses and the amortisation of intangible assets.</w:t>
      </w:r>
    </w:p>
    <w:p>
      <w:pPr>
        <w:spacing w:after="0" w:line="110"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Financing expense</w:t>
      </w:r>
    </w:p>
    <w:p>
      <w:pPr>
        <w:spacing w:after="0" w:line="211"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Financing expense comprises interest payable on borrowings calculated using the effective interest rate method, finance charges on finance leases, foreign exchange gains and losses on bank loans, interest costs on defined benefit obligations, non-cash finance charge on contingent consideration and gains and losses on hedging instruments that are recognised in the income statement.</w:t>
      </w:r>
    </w:p>
    <w:p>
      <w:pPr>
        <w:spacing w:after="0" w:line="182"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Income Statement over the term the facility is available to the Company.</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Financing income</w:t>
      </w:r>
    </w:p>
    <w:p>
      <w:pPr>
        <w:spacing w:after="0" w:line="211" w:lineRule="exact"/>
        <w:rPr>
          <w:sz w:val="20"/>
          <w:szCs w:val="20"/>
          <w:color w:val="auto"/>
        </w:rPr>
      </w:pPr>
    </w:p>
    <w:p>
      <w:pPr>
        <w:jc w:val="both"/>
        <w:ind w:left="380" w:right="20"/>
        <w:spacing w:after="0" w:line="276" w:lineRule="auto"/>
        <w:rPr>
          <w:sz w:val="20"/>
          <w:szCs w:val="20"/>
          <w:color w:val="auto"/>
        </w:rPr>
      </w:pPr>
      <w:r>
        <w:rPr>
          <w:rFonts w:ascii="Arial" w:cs="Arial" w:eastAsia="Arial" w:hAnsi="Arial"/>
          <w:sz w:val="18"/>
          <w:szCs w:val="18"/>
          <w:color w:val="auto"/>
        </w:rPr>
        <w:t>Interest income is recognised in the income statement as it accrues, using the effective interest rate method and includes interest receivable on funds invested and actuarial gains on pension plan assets.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Financing income also includes dividends received from group undertakings.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20" w:right="239" w:bottom="1440" w:gutter="0" w:footer="0" w:header="0"/>
        </w:sectPr>
      </w:pPr>
    </w:p>
    <w:bookmarkStart w:id="19" w:name="page20"/>
    <w:bookmarkEnd w:id="19"/>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i w:val="1"/>
          <w:iCs w:val="1"/>
          <w:color w:val="auto"/>
        </w:rPr>
        <w:t>(continued)</w:t>
      </w:r>
    </w:p>
    <w:p>
      <w:pPr>
        <w:spacing w:after="0" w:line="21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Income tax</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 in the income statement represents the sum of income tax currently payable and deferred income tax.</w:t>
      </w:r>
    </w:p>
    <w:p>
      <w:pPr>
        <w:spacing w:after="0" w:line="224" w:lineRule="exact"/>
        <w:rPr>
          <w:sz w:val="20"/>
          <w:szCs w:val="20"/>
          <w:color w:val="auto"/>
        </w:rPr>
      </w:pPr>
    </w:p>
    <w:p>
      <w:pPr>
        <w:jc w:val="both"/>
        <w:ind w:left="380"/>
        <w:spacing w:after="0" w:line="258" w:lineRule="auto"/>
        <w:rPr>
          <w:sz w:val="20"/>
          <w:szCs w:val="20"/>
          <w:color w:val="auto"/>
        </w:rPr>
      </w:pPr>
      <w:r>
        <w:rPr>
          <w:rFonts w:ascii="Arial" w:cs="Arial" w:eastAsia="Arial" w:hAnsi="Arial"/>
          <w:sz w:val="18"/>
          <w:szCs w:val="18"/>
          <w:color w:val="auto"/>
        </w:rPr>
        <w:t>Income tax currently payable is based on taxable profit for the year. Taxable profit differs from profit as reported in the income statement as it excludes items of income or expense that are taxable or deductible in other years and further excludes items that are not taxable or deductible. The Company’s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188" w:lineRule="exact"/>
        <w:rPr>
          <w:sz w:val="20"/>
          <w:szCs w:val="20"/>
          <w:color w:val="auto"/>
        </w:rPr>
      </w:pPr>
    </w:p>
    <w:p>
      <w:pPr>
        <w:jc w:val="both"/>
        <w:ind w:left="380"/>
        <w:spacing w:after="0" w:line="258" w:lineRule="auto"/>
        <w:rPr>
          <w:sz w:val="20"/>
          <w:szCs w:val="20"/>
          <w:color w:val="auto"/>
        </w:rPr>
      </w:pPr>
      <w:r>
        <w:rPr>
          <w:rFonts w:ascii="Arial" w:cs="Arial" w:eastAsia="Arial" w:hAnsi="Arial"/>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income tax assets and liabilities are measured at the tax rates that are expected to apply in the year when the asset is expected to be realised or the liability to be settled.</w:t>
      </w:r>
    </w:p>
    <w:p>
      <w:pPr>
        <w:spacing w:after="0" w:line="188" w:lineRule="exact"/>
        <w:rPr>
          <w:sz w:val="20"/>
          <w:szCs w:val="20"/>
          <w:color w:val="auto"/>
        </w:rPr>
      </w:pPr>
    </w:p>
    <w:p>
      <w:pPr>
        <w:jc w:val="both"/>
        <w:ind w:left="380"/>
        <w:spacing w:after="0" w:line="278" w:lineRule="auto"/>
        <w:rPr>
          <w:sz w:val="20"/>
          <w:szCs w:val="20"/>
          <w:color w:val="auto"/>
        </w:rPr>
      </w:pPr>
      <w:r>
        <w:rPr>
          <w:rFonts w:ascii="Arial" w:cs="Arial" w:eastAsia="Arial" w:hAnsi="Arial"/>
          <w:sz w:val="17"/>
          <w:szCs w:val="17"/>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36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97" w:lineRule="exact"/>
        <w:rPr>
          <w:sz w:val="20"/>
          <w:szCs w:val="20"/>
          <w:color w:val="auto"/>
        </w:rPr>
      </w:pPr>
    </w:p>
    <w:p>
      <w:pPr>
        <w:jc w:val="both"/>
        <w:ind w:left="380"/>
        <w:spacing w:after="0" w:line="341" w:lineRule="auto"/>
        <w:rPr>
          <w:sz w:val="20"/>
          <w:szCs w:val="20"/>
          <w:color w:val="auto"/>
        </w:rPr>
      </w:pPr>
      <w:r>
        <w:rPr>
          <w:rFonts w:ascii="Arial" w:cs="Arial" w:eastAsia="Arial" w:hAnsi="Arial"/>
          <w:sz w:val="16"/>
          <w:szCs w:val="16"/>
          <w:color w:val="auto"/>
        </w:rPr>
        <w:t>Other operating expenses consist of compensation, associated employee benefits and share-based payments for non-project-related employees and other indirect costs associated with the business. Other operating expenses also includes depreciation expenses and the amortisation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20" w:right="239" w:bottom="1440" w:gutter="0" w:footer="0" w:header="0"/>
        </w:sectPr>
      </w:pPr>
    </w:p>
    <w:bookmarkStart w:id="20" w:name="page21"/>
    <w:bookmarkEnd w:id="20"/>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2.   Turnover</w:t>
            </w:r>
          </w:p>
        </w:tc>
        <w:tc>
          <w:tcPr>
            <w:tcW w:w="33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4"/>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Period ended</w:t>
            </w:r>
          </w:p>
        </w:tc>
        <w:tc>
          <w:tcPr>
            <w:tcW w:w="178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31 October</w:t>
            </w:r>
          </w:p>
        </w:tc>
        <w:tc>
          <w:tcPr>
            <w:tcW w:w="178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78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$’000</w:t>
            </w:r>
          </w:p>
        </w:tc>
        <w:tc>
          <w:tcPr>
            <w:tcW w:w="17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55"/>
        </w:trPr>
        <w:tc>
          <w:tcPr>
            <w:tcW w:w="36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The analyses of turnover by activity and geographical</w:t>
            </w:r>
          </w:p>
        </w:tc>
        <w:tc>
          <w:tcPr>
            <w:tcW w:w="33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30"/>
        </w:trPr>
        <w:tc>
          <w:tcPr>
            <w:tcW w:w="3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area is as follows:</w:t>
            </w:r>
          </w:p>
        </w:tc>
        <w:tc>
          <w:tcPr>
            <w:tcW w:w="33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66"/>
        </w:trPr>
        <w:tc>
          <w:tcPr>
            <w:tcW w:w="3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Activity</w:t>
            </w:r>
          </w:p>
        </w:tc>
        <w:tc>
          <w:tcPr>
            <w:tcW w:w="3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Clinical research income</w:t>
            </w: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34,397</w:t>
            </w:r>
          </w:p>
        </w:tc>
        <w:tc>
          <w:tcPr>
            <w:tcW w:w="1780" w:type="dxa"/>
            <w:vAlign w:val="bottom"/>
          </w:tcPr>
          <w:p>
            <w:pPr>
              <w:jc w:val="right"/>
              <w:spacing w:after="0"/>
              <w:rPr>
                <w:sz w:val="20"/>
                <w:szCs w:val="20"/>
                <w:color w:val="auto"/>
              </w:rPr>
            </w:pPr>
            <w:r>
              <w:rPr>
                <w:rFonts w:ascii="Arial" w:cs="Arial" w:eastAsia="Arial" w:hAnsi="Arial"/>
                <w:sz w:val="18"/>
                <w:szCs w:val="18"/>
                <w:color w:val="auto"/>
              </w:rPr>
              <w:t>37,574</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Management services</w:t>
            </w: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8,281</w:t>
            </w:r>
          </w:p>
        </w:tc>
        <w:tc>
          <w:tcPr>
            <w:tcW w:w="1780" w:type="dxa"/>
            <w:vAlign w:val="bottom"/>
          </w:tcPr>
          <w:p>
            <w:pPr>
              <w:jc w:val="right"/>
              <w:spacing w:after="0"/>
              <w:rPr>
                <w:sz w:val="20"/>
                <w:szCs w:val="20"/>
                <w:color w:val="auto"/>
              </w:rPr>
            </w:pPr>
            <w:r>
              <w:rPr>
                <w:rFonts w:ascii="Arial" w:cs="Arial" w:eastAsia="Arial" w:hAnsi="Arial"/>
                <w:sz w:val="18"/>
                <w:szCs w:val="18"/>
                <w:color w:val="auto"/>
              </w:rPr>
              <w:t>6,984</w:t>
            </w:r>
          </w:p>
        </w:tc>
      </w:tr>
      <w:tr>
        <w:trPr>
          <w:trHeight w:val="27"/>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533"/>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42,678</w:t>
            </w:r>
          </w:p>
        </w:tc>
        <w:tc>
          <w:tcPr>
            <w:tcW w:w="1780" w:type="dxa"/>
            <w:vAlign w:val="bottom"/>
          </w:tcPr>
          <w:p>
            <w:pPr>
              <w:jc w:val="right"/>
              <w:spacing w:after="0"/>
              <w:rPr>
                <w:sz w:val="20"/>
                <w:szCs w:val="20"/>
                <w:color w:val="auto"/>
              </w:rPr>
            </w:pPr>
            <w:r>
              <w:rPr>
                <w:rFonts w:ascii="Arial" w:cs="Arial" w:eastAsia="Arial" w:hAnsi="Arial"/>
                <w:sz w:val="18"/>
                <w:szCs w:val="18"/>
                <w:color w:val="auto"/>
              </w:rPr>
              <w:t>44,558</w:t>
            </w:r>
          </w:p>
        </w:tc>
      </w:tr>
      <w:tr>
        <w:trPr>
          <w:trHeight w:val="34"/>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782"/>
        </w:trPr>
        <w:tc>
          <w:tcPr>
            <w:tcW w:w="3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Geographical area</w:t>
            </w:r>
          </w:p>
        </w:tc>
        <w:tc>
          <w:tcPr>
            <w:tcW w:w="3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Period ended</w:t>
            </w:r>
          </w:p>
        </w:tc>
        <w:tc>
          <w:tcPr>
            <w:tcW w:w="178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31 October</w:t>
            </w:r>
          </w:p>
        </w:tc>
        <w:tc>
          <w:tcPr>
            <w:tcW w:w="178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78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$’000</w:t>
            </w:r>
          </w:p>
        </w:tc>
        <w:tc>
          <w:tcPr>
            <w:tcW w:w="17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3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Ireland</w:t>
            </w: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34,397</w:t>
            </w:r>
          </w:p>
        </w:tc>
        <w:tc>
          <w:tcPr>
            <w:tcW w:w="1780" w:type="dxa"/>
            <w:vAlign w:val="bottom"/>
          </w:tcPr>
          <w:p>
            <w:pPr>
              <w:jc w:val="right"/>
              <w:spacing w:after="0"/>
              <w:rPr>
                <w:sz w:val="20"/>
                <w:szCs w:val="20"/>
                <w:color w:val="auto"/>
              </w:rPr>
            </w:pPr>
            <w:r>
              <w:rPr>
                <w:rFonts w:ascii="Arial" w:cs="Arial" w:eastAsia="Arial" w:hAnsi="Arial"/>
                <w:sz w:val="18"/>
                <w:szCs w:val="18"/>
                <w:color w:val="auto"/>
              </w:rPr>
              <w:t>37,574</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Europe</w:t>
            </w: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8,281</w:t>
            </w:r>
          </w:p>
        </w:tc>
        <w:tc>
          <w:tcPr>
            <w:tcW w:w="1780" w:type="dxa"/>
            <w:vAlign w:val="bottom"/>
          </w:tcPr>
          <w:p>
            <w:pPr>
              <w:jc w:val="right"/>
              <w:spacing w:after="0"/>
              <w:rPr>
                <w:sz w:val="20"/>
                <w:szCs w:val="20"/>
                <w:color w:val="auto"/>
              </w:rPr>
            </w:pPr>
            <w:r>
              <w:rPr>
                <w:rFonts w:ascii="Arial" w:cs="Arial" w:eastAsia="Arial" w:hAnsi="Arial"/>
                <w:sz w:val="18"/>
                <w:szCs w:val="18"/>
                <w:color w:val="auto"/>
              </w:rPr>
              <w:t>6,984</w:t>
            </w:r>
          </w:p>
        </w:tc>
      </w:tr>
      <w:tr>
        <w:trPr>
          <w:trHeight w:val="27"/>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533"/>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42,678</w:t>
            </w:r>
          </w:p>
        </w:tc>
        <w:tc>
          <w:tcPr>
            <w:tcW w:w="1780" w:type="dxa"/>
            <w:vAlign w:val="bottom"/>
          </w:tcPr>
          <w:p>
            <w:pPr>
              <w:jc w:val="right"/>
              <w:spacing w:after="0"/>
              <w:rPr>
                <w:sz w:val="20"/>
                <w:szCs w:val="20"/>
                <w:color w:val="auto"/>
              </w:rPr>
            </w:pPr>
            <w:r>
              <w:rPr>
                <w:rFonts w:ascii="Arial" w:cs="Arial" w:eastAsia="Arial" w:hAnsi="Arial"/>
                <w:sz w:val="18"/>
                <w:szCs w:val="18"/>
                <w:color w:val="auto"/>
              </w:rPr>
              <w:t>44,558</w:t>
            </w:r>
          </w:p>
        </w:tc>
      </w:tr>
      <w:tr>
        <w:trPr>
          <w:trHeight w:val="34"/>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620"/>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3. Direct costs</w:t>
            </w:r>
          </w:p>
        </w:tc>
        <w:tc>
          <w:tcPr>
            <w:tcW w:w="3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45"/>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Period ended</w:t>
            </w:r>
          </w:p>
        </w:tc>
        <w:tc>
          <w:tcPr>
            <w:tcW w:w="178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16"/>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31 October</w:t>
            </w:r>
          </w:p>
        </w:tc>
        <w:tc>
          <w:tcPr>
            <w:tcW w:w="178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16"/>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78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4"/>
        </w:trPr>
        <w:tc>
          <w:tcPr>
            <w:tcW w:w="3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$’000</w:t>
            </w:r>
          </w:p>
        </w:tc>
        <w:tc>
          <w:tcPr>
            <w:tcW w:w="17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Payroll and related costs (note 7)</w:t>
            </w: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28,682</w:t>
            </w:r>
          </w:p>
        </w:tc>
        <w:tc>
          <w:tcPr>
            <w:tcW w:w="1780" w:type="dxa"/>
            <w:vAlign w:val="bottom"/>
          </w:tcPr>
          <w:p>
            <w:pPr>
              <w:jc w:val="right"/>
              <w:spacing w:after="0"/>
              <w:rPr>
                <w:sz w:val="20"/>
                <w:szCs w:val="20"/>
                <w:color w:val="auto"/>
              </w:rPr>
            </w:pPr>
            <w:r>
              <w:rPr>
                <w:rFonts w:ascii="Arial" w:cs="Arial" w:eastAsia="Arial" w:hAnsi="Arial"/>
                <w:sz w:val="18"/>
                <w:szCs w:val="18"/>
                <w:color w:val="auto"/>
              </w:rPr>
              <w:t>30,941</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Other project related expenses</w:t>
            </w: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812</w:t>
            </w:r>
          </w:p>
        </w:tc>
        <w:tc>
          <w:tcPr>
            <w:tcW w:w="17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533"/>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380" w:type="dxa"/>
            <w:vAlign w:val="bottom"/>
          </w:tcPr>
          <w:p>
            <w:pPr>
              <w:jc w:val="right"/>
              <w:ind w:right="710"/>
              <w:spacing w:after="0"/>
              <w:rPr>
                <w:sz w:val="20"/>
                <w:szCs w:val="20"/>
                <w:color w:val="auto"/>
              </w:rPr>
            </w:pPr>
            <w:r>
              <w:rPr>
                <w:rFonts w:ascii="Arial" w:cs="Arial" w:eastAsia="Arial" w:hAnsi="Arial"/>
                <w:sz w:val="18"/>
                <w:szCs w:val="18"/>
                <w:b w:val="1"/>
                <w:bCs w:val="1"/>
                <w:color w:val="auto"/>
              </w:rPr>
              <w:t>29,494</w:t>
            </w:r>
          </w:p>
        </w:tc>
        <w:tc>
          <w:tcPr>
            <w:tcW w:w="1780" w:type="dxa"/>
            <w:vAlign w:val="bottom"/>
          </w:tcPr>
          <w:p>
            <w:pPr>
              <w:jc w:val="right"/>
              <w:spacing w:after="0"/>
              <w:rPr>
                <w:sz w:val="20"/>
                <w:szCs w:val="20"/>
                <w:color w:val="auto"/>
              </w:rPr>
            </w:pPr>
            <w:r>
              <w:rPr>
                <w:rFonts w:ascii="Arial" w:cs="Arial" w:eastAsia="Arial" w:hAnsi="Arial"/>
                <w:sz w:val="18"/>
                <w:szCs w:val="18"/>
                <w:color w:val="auto"/>
              </w:rPr>
              <w:t>31,898</w:t>
            </w:r>
          </w:p>
        </w:tc>
      </w:tr>
      <w:tr>
        <w:trPr>
          <w:trHeight w:val="34"/>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00"/>
          </w:cols>
          <w:pgMar w:left="240" w:top="120" w:right="659" w:bottom="10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240" w:top="120" w:right="659" w:bottom="1065" w:gutter="0" w:footer="0" w:header="0"/>
          <w:type w:val="continuous"/>
        </w:sectPr>
      </w:pPr>
    </w:p>
    <w:bookmarkStart w:id="21" w:name="page22"/>
    <w:bookmarkEnd w:id="21"/>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4. Other operating (income) / expenses, net</w:t>
            </w:r>
          </w:p>
        </w:tc>
        <w:tc>
          <w:tcPr>
            <w:tcW w:w="3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5"/>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Period ended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Year ended</w:t>
            </w:r>
          </w:p>
        </w:tc>
      </w:tr>
      <w:tr>
        <w:trPr>
          <w:trHeight w:val="216"/>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31 October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r>
      <w:tr>
        <w:trPr>
          <w:trHeight w:val="216"/>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2019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2018</w:t>
            </w:r>
          </w:p>
        </w:tc>
      </w:tr>
      <w:tr>
        <w:trPr>
          <w:trHeight w:val="234"/>
        </w:trPr>
        <w:tc>
          <w:tcPr>
            <w:tcW w:w="3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566"/>
        </w:trPr>
        <w:tc>
          <w:tcPr>
            <w:tcW w:w="3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Payroll and related costs (note 7)</w:t>
            </w: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8,929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11,439</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7,771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8,131</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149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Amortisation of intangible assets – computer software</w:t>
            </w: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25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Exchange gain</w:t>
            </w: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(142)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(1,069)</w:t>
            </w:r>
          </w:p>
        </w:tc>
      </w:tr>
      <w:tr>
        <w:trPr>
          <w:trHeight w:val="27"/>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533"/>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60" w:type="dxa"/>
            <w:vAlign w:val="bottom"/>
          </w:tcPr>
          <w:p>
            <w:pPr>
              <w:jc w:val="right"/>
              <w:ind w:right="990"/>
              <w:spacing w:after="0"/>
              <w:rPr>
                <w:sz w:val="20"/>
                <w:szCs w:val="20"/>
                <w:color w:val="auto"/>
              </w:rPr>
            </w:pPr>
            <w:r>
              <w:rPr>
                <w:rFonts w:ascii="Arial" w:cs="Arial" w:eastAsia="Arial" w:hAnsi="Arial"/>
                <w:sz w:val="18"/>
                <w:szCs w:val="18"/>
                <w:b w:val="1"/>
                <w:bCs w:val="1"/>
                <w:color w:val="auto"/>
              </w:rPr>
              <w:t>16,732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18,906</w:t>
            </w:r>
          </w:p>
        </w:tc>
      </w:tr>
      <w:tr>
        <w:trPr>
          <w:trHeight w:val="34"/>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63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5.   Financing income</w:t>
            </w:r>
          </w:p>
        </w:tc>
        <w:tc>
          <w:tcPr>
            <w:tcW w:w="3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Period ended</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Year ended</w:t>
            </w:r>
          </w:p>
        </w:tc>
      </w:tr>
      <w:tr>
        <w:trPr>
          <w:trHeight w:val="216"/>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31 October</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31 December</w:t>
            </w:r>
          </w:p>
        </w:tc>
      </w:tr>
      <w:tr>
        <w:trPr>
          <w:trHeight w:val="216"/>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566"/>
        </w:trPr>
        <w:tc>
          <w:tcPr>
            <w:tcW w:w="3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Dividend income (note 17)</w:t>
            </w: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177,689</w:t>
            </w:r>
          </w:p>
        </w:tc>
        <w:tc>
          <w:tcPr>
            <w:tcW w:w="1440" w:type="dxa"/>
            <w:vAlign w:val="bottom"/>
          </w:tcPr>
          <w:p>
            <w:pPr>
              <w:jc w:val="right"/>
              <w:spacing w:after="0"/>
              <w:rPr>
                <w:sz w:val="20"/>
                <w:szCs w:val="20"/>
                <w:color w:val="auto"/>
              </w:rPr>
            </w:pPr>
            <w:r>
              <w:rPr>
                <w:rFonts w:ascii="Arial" w:cs="Arial" w:eastAsia="Arial" w:hAnsi="Arial"/>
                <w:sz w:val="18"/>
                <w:szCs w:val="18"/>
                <w:color w:val="auto"/>
              </w:rPr>
              <w:t>172,274</w:t>
            </w:r>
          </w:p>
        </w:tc>
        <w:tc>
          <w:tcPr>
            <w:tcW w:w="6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1,863</w:t>
            </w:r>
          </w:p>
        </w:tc>
        <w:tc>
          <w:tcPr>
            <w:tcW w:w="1440" w:type="dxa"/>
            <w:vAlign w:val="bottom"/>
          </w:tcPr>
          <w:p>
            <w:pPr>
              <w:jc w:val="right"/>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23"/>
                <w:szCs w:val="23"/>
                <w:color w:val="auto"/>
              </w:rPr>
            </w:pPr>
          </w:p>
        </w:tc>
      </w:tr>
      <w:tr>
        <w:trPr>
          <w:trHeight w:val="552"/>
        </w:trPr>
        <w:tc>
          <w:tcPr>
            <w:tcW w:w="3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60" w:type="dxa"/>
            <w:vAlign w:val="bottom"/>
          </w:tcPr>
          <w:p>
            <w:pPr>
              <w:jc w:val="right"/>
              <w:ind w:right="390"/>
              <w:spacing w:after="0"/>
              <w:rPr>
                <w:sz w:val="20"/>
                <w:szCs w:val="20"/>
                <w:color w:val="auto"/>
              </w:rPr>
            </w:pPr>
            <w:r>
              <w:rPr>
                <w:rFonts w:ascii="Arial" w:cs="Arial" w:eastAsia="Arial" w:hAnsi="Arial"/>
                <w:sz w:val="18"/>
                <w:szCs w:val="18"/>
                <w:b w:val="1"/>
                <w:bCs w:val="1"/>
                <w:color w:val="auto"/>
              </w:rPr>
              <w:t>179,552</w:t>
            </w:r>
          </w:p>
        </w:tc>
        <w:tc>
          <w:tcPr>
            <w:tcW w:w="1440" w:type="dxa"/>
            <w:vAlign w:val="bottom"/>
          </w:tcPr>
          <w:p>
            <w:pPr>
              <w:jc w:val="right"/>
              <w:spacing w:after="0"/>
              <w:rPr>
                <w:sz w:val="20"/>
                <w:szCs w:val="20"/>
                <w:color w:val="auto"/>
              </w:rPr>
            </w:pPr>
            <w:r>
              <w:rPr>
                <w:rFonts w:ascii="Arial" w:cs="Arial" w:eastAsia="Arial" w:hAnsi="Arial"/>
                <w:sz w:val="18"/>
                <w:szCs w:val="18"/>
                <w:color w:val="auto"/>
              </w:rPr>
              <w:t>173,339</w:t>
            </w:r>
          </w:p>
        </w:tc>
        <w:tc>
          <w:tcPr>
            <w:tcW w:w="60" w:type="dxa"/>
            <w:vAlign w:val="bottom"/>
          </w:tcPr>
          <w:p>
            <w:pPr>
              <w:spacing w:after="0"/>
              <w:rPr>
                <w:sz w:val="24"/>
                <w:szCs w:val="24"/>
                <w:color w:val="auto"/>
              </w:rPr>
            </w:pPr>
          </w:p>
        </w:tc>
      </w:tr>
      <w:tr>
        <w:trPr>
          <w:trHeight w:val="34"/>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17" w:lineRule="exact"/>
        <w:rPr>
          <w:sz w:val="20"/>
          <w:szCs w:val="20"/>
          <w:color w:val="auto"/>
        </w:rPr>
      </w:pPr>
    </w:p>
    <w:p>
      <w:pPr>
        <w:ind w:left="380"/>
        <w:spacing w:after="0" w:line="276" w:lineRule="auto"/>
        <w:rPr>
          <w:sz w:val="20"/>
          <w:szCs w:val="20"/>
          <w:color w:val="auto"/>
        </w:rPr>
      </w:pPr>
      <w:r>
        <w:rPr>
          <w:rFonts w:ascii="Arial" w:cs="Arial" w:eastAsia="Arial" w:hAnsi="Arial"/>
          <w:sz w:val="18"/>
          <w:szCs w:val="18"/>
          <w:color w:val="auto"/>
        </w:rPr>
        <w:t>During 2019, the Company received dividends of $177.7 million (2018: $172.3 million) from its subsidiary undertakings; ICON Clinical Research Limited ($160.1 million) and ICON Investments Four Unlimited Company ($17.6 million).</w:t>
      </w:r>
    </w:p>
    <w:p>
      <w:pPr>
        <w:spacing w:after="0" w:line="171" w:lineRule="exact"/>
        <w:rPr>
          <w:sz w:val="20"/>
          <w:szCs w:val="20"/>
          <w:color w:val="auto"/>
        </w:rPr>
      </w:pPr>
    </w:p>
    <w:p>
      <w:pPr>
        <w:ind w:left="380"/>
        <w:spacing w:after="0" w:line="276" w:lineRule="auto"/>
        <w:rPr>
          <w:sz w:val="20"/>
          <w:szCs w:val="20"/>
          <w:color w:val="auto"/>
        </w:rPr>
      </w:pPr>
      <w:r>
        <w:rPr>
          <w:rFonts w:ascii="Arial" w:cs="Arial" w:eastAsia="Arial" w:hAnsi="Arial"/>
          <w:sz w:val="18"/>
          <w:szCs w:val="18"/>
          <w:color w:val="auto"/>
        </w:rPr>
        <w:t>During 2018, the Company received dividends of $172.3 million from its subsidiary undertakings ICON Clinical Research Limited ($100.9 million), ICON Holdings Unlimited Company ($62.6 million) and ICON Investments Four Unlimited Company ($8.8 million).</w:t>
      </w:r>
    </w:p>
    <w:p>
      <w:pPr>
        <w:spacing w:after="0" w:line="38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expense</w:t>
      </w:r>
    </w:p>
    <w:p>
      <w:pPr>
        <w:spacing w:after="0" w:line="22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There were no financing expenses incurred during the period ended 31 October 2019 or year-ended 31 December 2018.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20" w:right="239" w:bottom="1440" w:gutter="0" w:footer="0" w:header="0"/>
        </w:sectPr>
      </w:pPr>
    </w:p>
    <w:bookmarkStart w:id="22" w:name="page23"/>
    <w:bookmarkEnd w:id="22"/>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2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Payroll and related benefits</w:t>
      </w:r>
    </w:p>
    <w:p>
      <w:pPr>
        <w:spacing w:after="0" w:line="22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aggregate payroll costs of employees of the Company for the period ended 31 October 2019 was as follows:</w:t>
      </w:r>
    </w:p>
    <w:p>
      <w:pPr>
        <w:spacing w:after="0" w:line="382"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Period ended</w:t>
            </w:r>
          </w:p>
        </w:tc>
        <w:tc>
          <w:tcPr>
            <w:tcW w:w="150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5840" w:type="dxa"/>
            <w:vAlign w:val="bottom"/>
          </w:tcPr>
          <w:p>
            <w:pPr>
              <w:spacing w:after="0"/>
              <w:rPr>
                <w:sz w:val="23"/>
                <w:szCs w:val="23"/>
                <w:color w:val="auto"/>
              </w:rPr>
            </w:pP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31 October</w:t>
            </w:r>
          </w:p>
        </w:tc>
        <w:tc>
          <w:tcPr>
            <w:tcW w:w="15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5840" w:type="dxa"/>
            <w:vAlign w:val="bottom"/>
          </w:tcPr>
          <w:p>
            <w:pPr>
              <w:spacing w:after="0"/>
              <w:rPr>
                <w:sz w:val="23"/>
                <w:szCs w:val="23"/>
                <w:color w:val="auto"/>
              </w:rPr>
            </w:pP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50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5840" w:type="dxa"/>
            <w:vAlign w:val="bottom"/>
          </w:tcPr>
          <w:p>
            <w:pPr>
              <w:spacing w:after="0"/>
              <w:rPr>
                <w:sz w:val="23"/>
                <w:szCs w:val="23"/>
                <w:color w:val="auto"/>
              </w:rPr>
            </w:pP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$0</w:t>
            </w:r>
          </w:p>
        </w:tc>
        <w:tc>
          <w:tcPr>
            <w:tcW w:w="15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5840" w:type="dxa"/>
            <w:vAlign w:val="bottom"/>
          </w:tcPr>
          <w:p>
            <w:pPr>
              <w:ind w:left="20"/>
              <w:spacing w:after="0"/>
              <w:rPr>
                <w:sz w:val="20"/>
                <w:szCs w:val="20"/>
                <w:color w:val="auto"/>
              </w:rPr>
            </w:pPr>
            <w:r>
              <w:rPr>
                <w:rFonts w:ascii="Arial" w:cs="Arial" w:eastAsia="Arial" w:hAnsi="Arial"/>
                <w:sz w:val="18"/>
                <w:szCs w:val="18"/>
                <w:color w:val="auto"/>
              </w:rPr>
              <w:t>Wages and salaries</w:t>
            </w: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27,914</w:t>
            </w:r>
          </w:p>
        </w:tc>
        <w:tc>
          <w:tcPr>
            <w:tcW w:w="1500" w:type="dxa"/>
            <w:vAlign w:val="bottom"/>
          </w:tcPr>
          <w:p>
            <w:pPr>
              <w:jc w:val="right"/>
              <w:spacing w:after="0"/>
              <w:rPr>
                <w:sz w:val="20"/>
                <w:szCs w:val="20"/>
                <w:color w:val="auto"/>
              </w:rPr>
            </w:pPr>
            <w:r>
              <w:rPr>
                <w:rFonts w:ascii="Arial" w:cs="Arial" w:eastAsia="Arial" w:hAnsi="Arial"/>
                <w:sz w:val="18"/>
                <w:szCs w:val="18"/>
                <w:color w:val="auto"/>
              </w:rPr>
              <w:t>29,275</w:t>
            </w:r>
          </w:p>
        </w:tc>
      </w:tr>
      <w:tr>
        <w:trPr>
          <w:trHeight w:val="269"/>
        </w:trPr>
        <w:tc>
          <w:tcPr>
            <w:tcW w:w="5840" w:type="dxa"/>
            <w:vAlign w:val="bottom"/>
          </w:tcPr>
          <w:p>
            <w:pPr>
              <w:ind w:left="20"/>
              <w:spacing w:after="0"/>
              <w:rPr>
                <w:sz w:val="20"/>
                <w:szCs w:val="20"/>
                <w:color w:val="auto"/>
              </w:rPr>
            </w:pPr>
            <w:r>
              <w:rPr>
                <w:rFonts w:ascii="Arial" w:cs="Arial" w:eastAsia="Arial" w:hAnsi="Arial"/>
                <w:sz w:val="18"/>
                <w:szCs w:val="18"/>
                <w:color w:val="auto"/>
              </w:rPr>
              <w:t>Payroll taxes</w:t>
            </w: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3,418</w:t>
            </w:r>
          </w:p>
        </w:tc>
        <w:tc>
          <w:tcPr>
            <w:tcW w:w="150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69"/>
        </w:trPr>
        <w:tc>
          <w:tcPr>
            <w:tcW w:w="5840" w:type="dxa"/>
            <w:vAlign w:val="bottom"/>
          </w:tcPr>
          <w:p>
            <w:pPr>
              <w:ind w:left="20"/>
              <w:spacing w:after="0"/>
              <w:rPr>
                <w:sz w:val="20"/>
                <w:szCs w:val="20"/>
                <w:color w:val="auto"/>
              </w:rPr>
            </w:pPr>
            <w:r>
              <w:rPr>
                <w:rFonts w:ascii="Arial" w:cs="Arial" w:eastAsia="Arial" w:hAnsi="Arial"/>
                <w:sz w:val="18"/>
                <w:szCs w:val="18"/>
                <w:color w:val="auto"/>
              </w:rPr>
              <w:t>Pension costs for defined contribution pension schemes</w:t>
            </w: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1,086</w:t>
            </w:r>
          </w:p>
        </w:tc>
        <w:tc>
          <w:tcPr>
            <w:tcW w:w="150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69"/>
        </w:trPr>
        <w:tc>
          <w:tcPr>
            <w:tcW w:w="5840" w:type="dxa"/>
            <w:vAlign w:val="bottom"/>
          </w:tcPr>
          <w:p>
            <w:pPr>
              <w:ind w:left="20"/>
              <w:spacing w:after="0"/>
              <w:rPr>
                <w:sz w:val="20"/>
                <w:szCs w:val="20"/>
                <w:color w:val="auto"/>
              </w:rPr>
            </w:pPr>
            <w:r>
              <w:rPr>
                <w:rFonts w:ascii="Arial" w:cs="Arial" w:eastAsia="Arial" w:hAnsi="Arial"/>
                <w:sz w:val="18"/>
                <w:szCs w:val="18"/>
                <w:color w:val="auto"/>
              </w:rPr>
              <w:t>Share-based payment</w:t>
            </w: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5,193</w:t>
            </w:r>
          </w:p>
        </w:tc>
        <w:tc>
          <w:tcPr>
            <w:tcW w:w="150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7"/>
        </w:trPr>
        <w:tc>
          <w:tcPr>
            <w:tcW w:w="58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53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340" w:type="dxa"/>
            <w:vAlign w:val="bottom"/>
          </w:tcPr>
          <w:p>
            <w:pPr>
              <w:jc w:val="right"/>
              <w:ind w:right="410"/>
              <w:spacing w:after="0"/>
              <w:rPr>
                <w:sz w:val="20"/>
                <w:szCs w:val="20"/>
                <w:color w:val="auto"/>
              </w:rPr>
            </w:pPr>
            <w:r>
              <w:rPr>
                <w:rFonts w:ascii="Arial" w:cs="Arial" w:eastAsia="Arial" w:hAnsi="Arial"/>
                <w:sz w:val="18"/>
                <w:szCs w:val="18"/>
                <w:b w:val="1"/>
                <w:bCs w:val="1"/>
                <w:color w:val="auto"/>
              </w:rPr>
              <w:t>37,611</w:t>
            </w:r>
          </w:p>
        </w:tc>
        <w:tc>
          <w:tcPr>
            <w:tcW w:w="1500" w:type="dxa"/>
            <w:vAlign w:val="bottom"/>
          </w:tcPr>
          <w:p>
            <w:pPr>
              <w:jc w:val="right"/>
              <w:spacing w:after="0"/>
              <w:rPr>
                <w:sz w:val="20"/>
                <w:szCs w:val="20"/>
                <w:color w:val="auto"/>
              </w:rPr>
            </w:pPr>
            <w:r>
              <w:rPr>
                <w:rFonts w:ascii="Arial" w:cs="Arial" w:eastAsia="Arial" w:hAnsi="Arial"/>
                <w:sz w:val="18"/>
                <w:szCs w:val="18"/>
                <w:color w:val="auto"/>
              </w:rPr>
              <w:t>42,380</w:t>
            </w:r>
          </w:p>
        </w:tc>
      </w:tr>
      <w:tr>
        <w:trPr>
          <w:trHeight w:val="34"/>
        </w:trPr>
        <w:tc>
          <w:tcPr>
            <w:tcW w:w="58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Certain employees of the Company are eligible to participate in a defined contribution plan (the "plan"). Participants in the Plan may elect to defer a portion of their pre-tax earnings into a pension plan, which is run by an independent party. The Company matches each participant's contributions up to 8% of the participant's annual compensation. The Company also makes contributions for Directors and Executive officers at rates ranging from 10% to 15% of the individual’s basic salary. Contributions to this plan are recorded as a remuneration expense in the Company Income Statement. Contributions for the period ended 31 October 2019 and the year ended 31 December 2018 were $1,086,000 and $1,137,000 respectively.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average number of employees, including executive Directors, employed by the Company for the period ending 31 October 2019 was as follows:</w:t>
      </w:r>
    </w:p>
    <w:p>
      <w:pPr>
        <w:spacing w:after="0" w:line="39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700" w:type="dxa"/>
            <w:vAlign w:val="bottom"/>
          </w:tcPr>
          <w:p>
            <w:pPr>
              <w:jc w:val="right"/>
              <w:ind w:right="390"/>
              <w:spacing w:after="0"/>
              <w:rPr>
                <w:sz w:val="20"/>
                <w:szCs w:val="20"/>
                <w:color w:val="auto"/>
              </w:rPr>
            </w:pPr>
            <w:r>
              <w:rPr>
                <w:rFonts w:ascii="Arial" w:cs="Arial" w:eastAsia="Arial" w:hAnsi="Arial"/>
                <w:sz w:val="18"/>
                <w:szCs w:val="18"/>
                <w:b w:val="1"/>
                <w:bCs w:val="1"/>
                <w:color w:val="auto"/>
              </w:rPr>
              <w:t>Period ended</w:t>
            </w:r>
          </w:p>
        </w:tc>
        <w:tc>
          <w:tcPr>
            <w:tcW w:w="146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4520" w:type="dxa"/>
            <w:vAlign w:val="bottom"/>
          </w:tcPr>
          <w:p>
            <w:pPr>
              <w:spacing w:after="0"/>
              <w:rPr>
                <w:sz w:val="23"/>
                <w:szCs w:val="23"/>
                <w:color w:val="auto"/>
              </w:rPr>
            </w:pPr>
          </w:p>
        </w:tc>
        <w:tc>
          <w:tcPr>
            <w:tcW w:w="4700" w:type="dxa"/>
            <w:vAlign w:val="bottom"/>
          </w:tcPr>
          <w:p>
            <w:pPr>
              <w:jc w:val="right"/>
              <w:ind w:right="390"/>
              <w:spacing w:after="0"/>
              <w:rPr>
                <w:sz w:val="20"/>
                <w:szCs w:val="20"/>
                <w:color w:val="auto"/>
              </w:rPr>
            </w:pPr>
            <w:r>
              <w:rPr>
                <w:rFonts w:ascii="Arial" w:cs="Arial" w:eastAsia="Arial" w:hAnsi="Arial"/>
                <w:sz w:val="18"/>
                <w:szCs w:val="18"/>
                <w:b w:val="1"/>
                <w:bCs w:val="1"/>
                <w:color w:val="auto"/>
              </w:rPr>
              <w:t>31 October</w:t>
            </w:r>
          </w:p>
        </w:tc>
        <w:tc>
          <w:tcPr>
            <w:tcW w:w="146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4520" w:type="dxa"/>
            <w:vAlign w:val="bottom"/>
          </w:tcPr>
          <w:p>
            <w:pPr>
              <w:spacing w:after="0"/>
              <w:rPr>
                <w:sz w:val="23"/>
                <w:szCs w:val="23"/>
                <w:color w:val="auto"/>
              </w:rPr>
            </w:pPr>
          </w:p>
        </w:tc>
        <w:tc>
          <w:tcPr>
            <w:tcW w:w="47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566"/>
        </w:trPr>
        <w:tc>
          <w:tcPr>
            <w:tcW w:w="4520" w:type="dxa"/>
            <w:vAlign w:val="bottom"/>
          </w:tcPr>
          <w:p>
            <w:pPr>
              <w:ind w:left="20"/>
              <w:spacing w:after="0"/>
              <w:rPr>
                <w:sz w:val="20"/>
                <w:szCs w:val="20"/>
                <w:color w:val="auto"/>
              </w:rPr>
            </w:pPr>
            <w:r>
              <w:rPr>
                <w:rFonts w:ascii="Arial" w:cs="Arial" w:eastAsia="Arial" w:hAnsi="Arial"/>
                <w:sz w:val="18"/>
                <w:szCs w:val="18"/>
                <w:color w:val="auto"/>
              </w:rPr>
              <w:t>Administration</w:t>
            </w:r>
          </w:p>
        </w:tc>
        <w:tc>
          <w:tcPr>
            <w:tcW w:w="4700" w:type="dxa"/>
            <w:vAlign w:val="bottom"/>
          </w:tcPr>
          <w:p>
            <w:pPr>
              <w:jc w:val="right"/>
              <w:ind w:right="390"/>
              <w:spacing w:after="0"/>
              <w:rPr>
                <w:sz w:val="20"/>
                <w:szCs w:val="20"/>
                <w:color w:val="auto"/>
              </w:rPr>
            </w:pPr>
            <w:r>
              <w:rPr>
                <w:rFonts w:ascii="Arial" w:cs="Arial" w:eastAsia="Arial" w:hAnsi="Arial"/>
                <w:sz w:val="18"/>
                <w:szCs w:val="18"/>
                <w:b w:val="1"/>
                <w:bCs w:val="1"/>
                <w:color w:val="auto"/>
              </w:rPr>
              <w:t>17</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9"/>
        </w:trPr>
        <w:tc>
          <w:tcPr>
            <w:tcW w:w="4520" w:type="dxa"/>
            <w:vAlign w:val="bottom"/>
          </w:tcPr>
          <w:p>
            <w:pPr>
              <w:ind w:left="20"/>
              <w:spacing w:after="0"/>
              <w:rPr>
                <w:sz w:val="20"/>
                <w:szCs w:val="20"/>
                <w:color w:val="auto"/>
              </w:rPr>
            </w:pPr>
            <w:r>
              <w:rPr>
                <w:rFonts w:ascii="Arial" w:cs="Arial" w:eastAsia="Arial" w:hAnsi="Arial"/>
                <w:sz w:val="18"/>
                <w:szCs w:val="18"/>
                <w:color w:val="auto"/>
              </w:rPr>
              <w:t>Clinical Research</w:t>
            </w:r>
          </w:p>
        </w:tc>
        <w:tc>
          <w:tcPr>
            <w:tcW w:w="4700" w:type="dxa"/>
            <w:vAlign w:val="bottom"/>
          </w:tcPr>
          <w:p>
            <w:pPr>
              <w:jc w:val="right"/>
              <w:ind w:right="390"/>
              <w:spacing w:after="0"/>
              <w:rPr>
                <w:sz w:val="20"/>
                <w:szCs w:val="20"/>
                <w:color w:val="auto"/>
              </w:rPr>
            </w:pPr>
            <w:r>
              <w:rPr>
                <w:rFonts w:ascii="Arial" w:cs="Arial" w:eastAsia="Arial" w:hAnsi="Arial"/>
                <w:sz w:val="18"/>
                <w:szCs w:val="18"/>
                <w:b w:val="1"/>
                <w:bCs w:val="1"/>
                <w:color w:val="auto"/>
              </w:rPr>
              <w:t>522</w:t>
            </w:r>
          </w:p>
        </w:tc>
        <w:tc>
          <w:tcPr>
            <w:tcW w:w="146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45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3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700" w:type="dxa"/>
            <w:vAlign w:val="bottom"/>
          </w:tcPr>
          <w:p>
            <w:pPr>
              <w:jc w:val="right"/>
              <w:ind w:right="390"/>
              <w:spacing w:after="0"/>
              <w:rPr>
                <w:sz w:val="20"/>
                <w:szCs w:val="20"/>
                <w:color w:val="auto"/>
              </w:rPr>
            </w:pPr>
            <w:r>
              <w:rPr>
                <w:rFonts w:ascii="Arial" w:cs="Arial" w:eastAsia="Arial" w:hAnsi="Arial"/>
                <w:sz w:val="18"/>
                <w:szCs w:val="18"/>
                <w:b w:val="1"/>
                <w:bCs w:val="1"/>
                <w:color w:val="auto"/>
              </w:rPr>
              <w:t>539</w:t>
            </w:r>
          </w:p>
        </w:tc>
        <w:tc>
          <w:tcPr>
            <w:tcW w:w="14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34"/>
        </w:trPr>
        <w:tc>
          <w:tcPr>
            <w:tcW w:w="45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2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current and deferred tax expense for the period ended 31 October 2019 and year ended 31 December 2018 were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Period ended</w:t>
            </w:r>
          </w:p>
        </w:tc>
        <w:tc>
          <w:tcPr>
            <w:tcW w:w="172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5280" w:type="dxa"/>
            <w:vAlign w:val="bottom"/>
          </w:tcPr>
          <w:p>
            <w:pPr>
              <w:spacing w:after="0"/>
              <w:rPr>
                <w:sz w:val="23"/>
                <w:szCs w:val="23"/>
                <w:color w:val="auto"/>
              </w:rPr>
            </w:pP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31 October</w:t>
            </w:r>
          </w:p>
        </w:tc>
        <w:tc>
          <w:tcPr>
            <w:tcW w:w="172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5280" w:type="dxa"/>
            <w:vAlign w:val="bottom"/>
          </w:tcPr>
          <w:p>
            <w:pPr>
              <w:spacing w:after="0"/>
              <w:rPr>
                <w:sz w:val="23"/>
                <w:szCs w:val="23"/>
                <w:color w:val="auto"/>
              </w:rPr>
            </w:pP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72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5280" w:type="dxa"/>
            <w:vAlign w:val="bottom"/>
          </w:tcPr>
          <w:p>
            <w:pPr>
              <w:spacing w:after="0"/>
              <w:rPr>
                <w:sz w:val="23"/>
                <w:szCs w:val="23"/>
                <w:color w:val="auto"/>
              </w:rPr>
            </w:pP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Current tax expense</w:t>
            </w:r>
          </w:p>
        </w:tc>
        <w:tc>
          <w:tcPr>
            <w:tcW w:w="3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9"/>
        </w:trPr>
        <w:tc>
          <w:tcPr>
            <w:tcW w:w="5280" w:type="dxa"/>
            <w:vAlign w:val="bottom"/>
          </w:tcPr>
          <w:p>
            <w:pPr>
              <w:ind w:left="20"/>
              <w:spacing w:after="0"/>
              <w:rPr>
                <w:sz w:val="20"/>
                <w:szCs w:val="20"/>
                <w:color w:val="auto"/>
              </w:rPr>
            </w:pPr>
            <w:r>
              <w:rPr>
                <w:rFonts w:ascii="Arial" w:cs="Arial" w:eastAsia="Arial" w:hAnsi="Arial"/>
                <w:sz w:val="18"/>
                <w:szCs w:val="18"/>
                <w:color w:val="auto"/>
              </w:rPr>
              <w:t>Current year</w:t>
            </w: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827</w:t>
            </w:r>
          </w:p>
        </w:tc>
        <w:tc>
          <w:tcPr>
            <w:tcW w:w="172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69"/>
        </w:trPr>
        <w:tc>
          <w:tcPr>
            <w:tcW w:w="5280" w:type="dxa"/>
            <w:vAlign w:val="bottom"/>
          </w:tcPr>
          <w:p>
            <w:pPr>
              <w:ind w:left="20"/>
              <w:spacing w:after="0"/>
              <w:rPr>
                <w:sz w:val="20"/>
                <w:szCs w:val="20"/>
                <w:color w:val="auto"/>
              </w:rPr>
            </w:pPr>
            <w:r>
              <w:rPr>
                <w:rFonts w:ascii="Arial" w:cs="Arial" w:eastAsia="Arial" w:hAnsi="Arial"/>
                <w:sz w:val="18"/>
                <w:szCs w:val="18"/>
                <w:color w:val="auto"/>
              </w:rPr>
              <w:t>Under provided in prior years</w:t>
            </w: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(617)</w:t>
            </w:r>
          </w:p>
        </w:tc>
        <w:tc>
          <w:tcPr>
            <w:tcW w:w="17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52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411"/>
        </w:trPr>
        <w:tc>
          <w:tcPr>
            <w:tcW w:w="5280" w:type="dxa"/>
            <w:vAlign w:val="bottom"/>
          </w:tcPr>
          <w:p>
            <w:pPr>
              <w:spacing w:after="0"/>
              <w:rPr>
                <w:sz w:val="24"/>
                <w:szCs w:val="24"/>
                <w:color w:val="auto"/>
              </w:rPr>
            </w:pP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210</w:t>
            </w:r>
          </w:p>
        </w:tc>
        <w:tc>
          <w:tcPr>
            <w:tcW w:w="1720" w:type="dxa"/>
            <w:vAlign w:val="bottom"/>
          </w:tcPr>
          <w:p>
            <w:pPr>
              <w:jc w:val="right"/>
              <w:spacing w:after="0"/>
              <w:rPr>
                <w:sz w:val="20"/>
                <w:szCs w:val="20"/>
                <w:color w:val="auto"/>
              </w:rPr>
            </w:pPr>
            <w:r>
              <w:rPr>
                <w:rFonts w:ascii="Arial" w:cs="Arial" w:eastAsia="Arial" w:hAnsi="Arial"/>
                <w:sz w:val="18"/>
                <w:szCs w:val="18"/>
                <w:color w:val="auto"/>
              </w:rPr>
              <w:t>1,239</w:t>
            </w:r>
          </w:p>
        </w:tc>
      </w:tr>
      <w:tr>
        <w:trPr>
          <w:trHeight w:val="269"/>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Deferred tax charge/(credit)</w:t>
            </w:r>
          </w:p>
        </w:tc>
        <w:tc>
          <w:tcPr>
            <w:tcW w:w="3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9"/>
        </w:trPr>
        <w:tc>
          <w:tcPr>
            <w:tcW w:w="5280" w:type="dxa"/>
            <w:vAlign w:val="bottom"/>
          </w:tcPr>
          <w:p>
            <w:pPr>
              <w:ind w:left="20"/>
              <w:spacing w:after="0"/>
              <w:rPr>
                <w:sz w:val="20"/>
                <w:szCs w:val="20"/>
                <w:color w:val="auto"/>
              </w:rPr>
            </w:pPr>
            <w:r>
              <w:rPr>
                <w:rFonts w:ascii="Arial" w:cs="Arial" w:eastAsia="Arial" w:hAnsi="Arial"/>
                <w:sz w:val="18"/>
                <w:szCs w:val="18"/>
                <w:color w:val="auto"/>
              </w:rPr>
              <w:t>Origination and reversal of temporary differences</w:t>
            </w: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15</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9"/>
        </w:trPr>
        <w:tc>
          <w:tcPr>
            <w:tcW w:w="5280" w:type="dxa"/>
            <w:vAlign w:val="bottom"/>
          </w:tcPr>
          <w:p>
            <w:pPr>
              <w:ind w:left="20"/>
              <w:spacing w:after="0"/>
              <w:rPr>
                <w:sz w:val="20"/>
                <w:szCs w:val="20"/>
                <w:color w:val="auto"/>
              </w:rPr>
            </w:pPr>
            <w:r>
              <w:rPr>
                <w:rFonts w:ascii="Arial" w:cs="Arial" w:eastAsia="Arial" w:hAnsi="Arial"/>
                <w:sz w:val="18"/>
                <w:szCs w:val="18"/>
                <w:color w:val="auto"/>
              </w:rPr>
              <w:t>Over provided in prior years</w:t>
            </w: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(13)</w:t>
            </w: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52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86"/>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income tax expense in the income statement</w:t>
            </w:r>
          </w:p>
        </w:tc>
        <w:tc>
          <w:tcPr>
            <w:tcW w:w="3220" w:type="dxa"/>
            <w:vAlign w:val="bottom"/>
          </w:tcPr>
          <w:p>
            <w:pPr>
              <w:jc w:val="right"/>
              <w:ind w:right="670"/>
              <w:spacing w:after="0"/>
              <w:rPr>
                <w:sz w:val="20"/>
                <w:szCs w:val="20"/>
                <w:color w:val="auto"/>
              </w:rPr>
            </w:pPr>
            <w:r>
              <w:rPr>
                <w:rFonts w:ascii="Arial" w:cs="Arial" w:eastAsia="Arial" w:hAnsi="Arial"/>
                <w:sz w:val="18"/>
                <w:szCs w:val="18"/>
                <w:b w:val="1"/>
                <w:bCs w:val="1"/>
                <w:color w:val="auto"/>
              </w:rPr>
              <w:t>212</w:t>
            </w:r>
          </w:p>
        </w:tc>
        <w:tc>
          <w:tcPr>
            <w:tcW w:w="172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34"/>
        </w:trPr>
        <w:tc>
          <w:tcPr>
            <w:tcW w:w="52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ind w:left="380"/>
        <w:spacing w:after="0" w:line="276" w:lineRule="auto"/>
        <w:rPr>
          <w:sz w:val="20"/>
          <w:szCs w:val="20"/>
          <w:color w:val="auto"/>
        </w:rPr>
      </w:pPr>
      <w:r>
        <w:rPr>
          <w:rFonts w:ascii="Arial" w:cs="Arial" w:eastAsia="Arial" w:hAnsi="Arial"/>
          <w:sz w:val="18"/>
          <w:szCs w:val="18"/>
          <w:color w:val="auto"/>
        </w:rPr>
        <w:t>A reconciliation of the expected tax expense, computed by applying the standard Irish tax rate to income before tax to the actual tax expense, is as follows:</w:t>
      </w:r>
    </w:p>
    <w:p>
      <w:pPr>
        <w:spacing w:after="0" w:line="32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Period ended</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69"/>
        </w:trPr>
        <w:tc>
          <w:tcPr>
            <w:tcW w:w="5140" w:type="dxa"/>
            <w:vAlign w:val="bottom"/>
          </w:tcPr>
          <w:p>
            <w:pPr>
              <w:spacing w:after="0"/>
              <w:rPr>
                <w:sz w:val="23"/>
                <w:szCs w:val="23"/>
                <w:color w:val="auto"/>
              </w:rPr>
            </w:pP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31 October</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69"/>
        </w:trPr>
        <w:tc>
          <w:tcPr>
            <w:tcW w:w="5140" w:type="dxa"/>
            <w:vAlign w:val="bottom"/>
          </w:tcPr>
          <w:p>
            <w:pPr>
              <w:spacing w:after="0"/>
              <w:rPr>
                <w:sz w:val="23"/>
                <w:szCs w:val="23"/>
                <w:color w:val="auto"/>
              </w:rPr>
            </w:pP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69"/>
        </w:trPr>
        <w:tc>
          <w:tcPr>
            <w:tcW w:w="5140" w:type="dxa"/>
            <w:vAlign w:val="bottom"/>
          </w:tcPr>
          <w:p>
            <w:pPr>
              <w:spacing w:after="0"/>
              <w:rPr>
                <w:sz w:val="23"/>
                <w:szCs w:val="23"/>
                <w:color w:val="auto"/>
              </w:rPr>
            </w:pP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$’000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593"/>
        </w:trPr>
        <w:tc>
          <w:tcPr>
            <w:tcW w:w="5140" w:type="dxa"/>
            <w:vAlign w:val="bottom"/>
          </w:tcPr>
          <w:p>
            <w:pPr>
              <w:ind w:left="40"/>
              <w:spacing w:after="0"/>
              <w:rPr>
                <w:sz w:val="20"/>
                <w:szCs w:val="20"/>
                <w:color w:val="auto"/>
              </w:rPr>
            </w:pPr>
            <w:r>
              <w:rPr>
                <w:rFonts w:ascii="Arial" w:cs="Arial" w:eastAsia="Arial" w:hAnsi="Arial"/>
                <w:sz w:val="18"/>
                <w:szCs w:val="18"/>
                <w:color w:val="auto"/>
              </w:rPr>
              <w:t>Profit before tax</w:t>
            </w: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176,004</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167,093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5"/>
        </w:trPr>
        <w:tc>
          <w:tcPr>
            <w:tcW w:w="5140" w:type="dxa"/>
            <w:vAlign w:val="bottom"/>
          </w:tcPr>
          <w:p>
            <w:pPr>
              <w:ind w:left="40"/>
              <w:spacing w:after="0"/>
              <w:rPr>
                <w:sz w:val="20"/>
                <w:szCs w:val="20"/>
                <w:color w:val="auto"/>
              </w:rPr>
            </w:pPr>
            <w:r>
              <w:rPr>
                <w:rFonts w:ascii="Arial" w:cs="Arial" w:eastAsia="Arial" w:hAnsi="Arial"/>
                <w:sz w:val="18"/>
                <w:szCs w:val="18"/>
                <w:color w:val="auto"/>
              </w:rPr>
              <w:t xml:space="preserve">Taxes at Irish standard tax rate of 12.5% </w:t>
            </w:r>
            <w:r>
              <w:rPr>
                <w:rFonts w:ascii="Arial" w:cs="Arial" w:eastAsia="Arial" w:hAnsi="Arial"/>
                <w:sz w:val="18"/>
                <w:szCs w:val="18"/>
                <w:i w:val="1"/>
                <w:iCs w:val="1"/>
                <w:color w:val="auto"/>
              </w:rPr>
              <w:t>(2018:</w:t>
            </w:r>
          </w:p>
        </w:tc>
        <w:tc>
          <w:tcPr>
            <w:tcW w:w="302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22,001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12.5%)</w:t>
            </w:r>
          </w:p>
        </w:tc>
        <w:tc>
          <w:tcPr>
            <w:tcW w:w="3020" w:type="dxa"/>
            <w:vAlign w:val="bottom"/>
            <w:vMerge w:val="continue"/>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20,887</w:t>
            </w:r>
          </w:p>
        </w:tc>
        <w:tc>
          <w:tcPr>
            <w:tcW w:w="0" w:type="dxa"/>
            <w:vAlign w:val="bottom"/>
          </w:tcPr>
          <w:p>
            <w:pPr>
              <w:spacing w:after="0"/>
              <w:rPr>
                <w:sz w:val="1"/>
                <w:szCs w:val="1"/>
                <w:color w:val="auto"/>
              </w:rPr>
            </w:pPr>
          </w:p>
        </w:tc>
      </w:tr>
      <w:tr>
        <w:trPr>
          <w:trHeight w:val="59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Effects of:</w:t>
            </w:r>
          </w:p>
        </w:tc>
        <w:tc>
          <w:tcPr>
            <w:tcW w:w="3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8"/>
                <w:szCs w:val="18"/>
                <w:color w:val="auto"/>
              </w:rPr>
              <w:t>Non-taxable income and non-tax deductible expenses</w:t>
            </w:r>
          </w:p>
        </w:tc>
        <w:tc>
          <w:tcPr>
            <w:tcW w:w="3020" w:type="dxa"/>
            <w:vAlign w:val="bottom"/>
          </w:tcPr>
          <w:p>
            <w:pPr>
              <w:jc w:val="right"/>
              <w:ind w:right="590"/>
              <w:spacing w:after="0"/>
              <w:rPr>
                <w:sz w:val="20"/>
                <w:szCs w:val="20"/>
                <w:color w:val="auto"/>
              </w:rPr>
            </w:pPr>
            <w:r>
              <w:rPr>
                <w:rFonts w:ascii="Arial" w:cs="Arial" w:eastAsia="Arial" w:hAnsi="Arial"/>
                <w:sz w:val="18"/>
                <w:szCs w:val="18"/>
                <w:b w:val="1"/>
                <w:bCs w:val="1"/>
                <w:color w:val="auto"/>
              </w:rPr>
              <w:t>(21,332)</w:t>
            </w:r>
          </w:p>
        </w:tc>
        <w:tc>
          <w:tcPr>
            <w:tcW w:w="1740" w:type="dxa"/>
            <w:vAlign w:val="bottom"/>
          </w:tcPr>
          <w:p>
            <w:pPr>
              <w:jc w:val="right"/>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8"/>
                <w:szCs w:val="18"/>
                <w:color w:val="auto"/>
              </w:rPr>
              <w:t>Reversal of prior year (over)/under provision</w:t>
            </w:r>
          </w:p>
        </w:tc>
        <w:tc>
          <w:tcPr>
            <w:tcW w:w="3020" w:type="dxa"/>
            <w:vAlign w:val="bottom"/>
          </w:tcPr>
          <w:p>
            <w:pPr>
              <w:jc w:val="right"/>
              <w:ind w:right="590"/>
              <w:spacing w:after="0"/>
              <w:rPr>
                <w:sz w:val="20"/>
                <w:szCs w:val="20"/>
                <w:color w:val="auto"/>
              </w:rPr>
            </w:pPr>
            <w:r>
              <w:rPr>
                <w:rFonts w:ascii="Arial" w:cs="Arial" w:eastAsia="Arial" w:hAnsi="Arial"/>
                <w:sz w:val="18"/>
                <w:szCs w:val="18"/>
                <w:b w:val="1"/>
                <w:bCs w:val="1"/>
                <w:color w:val="auto"/>
              </w:rPr>
              <w:t>(630)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8"/>
                <w:szCs w:val="18"/>
                <w:color w:val="auto"/>
              </w:rPr>
              <w:t>Foreign and other income taxed at higher rates</w:t>
            </w: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555</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8"/>
                <w:szCs w:val="18"/>
                <w:color w:val="auto"/>
              </w:rPr>
              <w:t>Effect of change in tax rates</w:t>
            </w: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8"/>
                <w:szCs w:val="18"/>
                <w:color w:val="auto"/>
              </w:rPr>
              <w:t>Group relief claimed</w:t>
            </w:r>
          </w:p>
        </w:tc>
        <w:tc>
          <w:tcPr>
            <w:tcW w:w="3020" w:type="dxa"/>
            <w:vAlign w:val="bottom"/>
          </w:tcPr>
          <w:p>
            <w:pPr>
              <w:jc w:val="right"/>
              <w:ind w:right="590"/>
              <w:spacing w:after="0"/>
              <w:rPr>
                <w:sz w:val="20"/>
                <w:szCs w:val="20"/>
                <w:color w:val="auto"/>
              </w:rPr>
            </w:pPr>
            <w:r>
              <w:rPr>
                <w:rFonts w:ascii="Arial" w:cs="Arial" w:eastAsia="Arial" w:hAnsi="Arial"/>
                <w:sz w:val="18"/>
                <w:szCs w:val="18"/>
                <w:b w:val="1"/>
                <w:bCs w:val="1"/>
                <w:color w:val="auto"/>
              </w:rPr>
              <w:t>(380)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jc w:val="right"/>
              <w:ind w:right="590"/>
              <w:spacing w:after="0"/>
              <w:rPr>
                <w:sz w:val="20"/>
                <w:szCs w:val="20"/>
                <w:color w:val="auto"/>
              </w:rPr>
            </w:pPr>
            <w:r>
              <w:rPr>
                <w:rFonts w:ascii="Arial" w:cs="Arial" w:eastAsia="Arial" w:hAnsi="Arial"/>
                <w:sz w:val="18"/>
                <w:szCs w:val="18"/>
                <w:b w:val="1"/>
                <w:bCs w:val="1"/>
                <w:color w:val="auto"/>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9"/>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Tax expense on profit for the year</w:t>
            </w:r>
          </w:p>
        </w:tc>
        <w:tc>
          <w:tcPr>
            <w:tcW w:w="3020" w:type="dxa"/>
            <w:vAlign w:val="bottom"/>
          </w:tcPr>
          <w:p>
            <w:pPr>
              <w:jc w:val="right"/>
              <w:ind w:right="650"/>
              <w:spacing w:after="0"/>
              <w:rPr>
                <w:sz w:val="20"/>
                <w:szCs w:val="20"/>
                <w:color w:val="auto"/>
              </w:rPr>
            </w:pPr>
            <w:r>
              <w:rPr>
                <w:rFonts w:ascii="Arial" w:cs="Arial" w:eastAsia="Arial" w:hAnsi="Arial"/>
                <w:sz w:val="18"/>
                <w:szCs w:val="18"/>
                <w:b w:val="1"/>
                <w:bCs w:val="1"/>
                <w:color w:val="auto"/>
              </w:rPr>
              <w:t>212</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0" w:right="2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i w:val="1"/>
          <w:iCs w:val="1"/>
          <w:color w:val="auto"/>
        </w:rPr>
        <w:t>(continued)</w:t>
      </w:r>
    </w:p>
    <w:p>
      <w:pPr>
        <w:spacing w:after="0" w:line="22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asset at 31 October 2019 and 31 December 2018 was as follows:</w:t>
      </w:r>
    </w:p>
    <w:p>
      <w:pPr>
        <w:spacing w:after="0" w:line="382"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31 October</w:t>
            </w:r>
          </w:p>
        </w:tc>
        <w:tc>
          <w:tcPr>
            <w:tcW w:w="172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5040" w:type="dxa"/>
            <w:vAlign w:val="bottom"/>
          </w:tcPr>
          <w:p>
            <w:pPr>
              <w:spacing w:after="0"/>
              <w:rPr>
                <w:sz w:val="23"/>
                <w:szCs w:val="23"/>
                <w:color w:val="auto"/>
              </w:rPr>
            </w:pP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72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5040" w:type="dxa"/>
            <w:vAlign w:val="bottom"/>
          </w:tcPr>
          <w:p>
            <w:pPr>
              <w:spacing w:after="0"/>
              <w:rPr>
                <w:sz w:val="23"/>
                <w:szCs w:val="23"/>
                <w:color w:val="auto"/>
              </w:rPr>
            </w:pP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6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Deferred taxation assets:</w:t>
            </w:r>
          </w:p>
        </w:tc>
        <w:tc>
          <w:tcPr>
            <w:tcW w:w="34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9"/>
        </w:trPr>
        <w:tc>
          <w:tcPr>
            <w:tcW w:w="5040" w:type="dxa"/>
            <w:vAlign w:val="bottom"/>
          </w:tcPr>
          <w:p>
            <w:pPr>
              <w:ind w:left="20"/>
              <w:spacing w:after="0"/>
              <w:rPr>
                <w:sz w:val="20"/>
                <w:szCs w:val="20"/>
                <w:color w:val="auto"/>
              </w:rPr>
            </w:pPr>
            <w:r>
              <w:rPr>
                <w:rFonts w:ascii="Arial" w:cs="Arial" w:eastAsia="Arial" w:hAnsi="Arial"/>
                <w:sz w:val="18"/>
                <w:szCs w:val="18"/>
                <w:color w:val="auto"/>
              </w:rPr>
              <w:t>Accrued expenses and payments on account</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393</w:t>
            </w:r>
          </w:p>
        </w:tc>
        <w:tc>
          <w:tcPr>
            <w:tcW w:w="17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69"/>
        </w:trPr>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37</w:t>
            </w: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9"/>
        </w:trPr>
        <w:tc>
          <w:tcPr>
            <w:tcW w:w="5040" w:type="dxa"/>
            <w:vAlign w:val="bottom"/>
          </w:tcPr>
          <w:p>
            <w:pPr>
              <w:ind w:left="20"/>
              <w:spacing w:after="0"/>
              <w:rPr>
                <w:sz w:val="20"/>
                <w:szCs w:val="20"/>
                <w:color w:val="auto"/>
              </w:rPr>
            </w:pPr>
            <w:r>
              <w:rPr>
                <w:rFonts w:ascii="Arial" w:cs="Arial" w:eastAsia="Arial" w:hAnsi="Arial"/>
                <w:sz w:val="18"/>
                <w:szCs w:val="18"/>
                <w:color w:val="auto"/>
              </w:rPr>
              <w:t>Loans to subsidiaries</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50</w:t>
            </w: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0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0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deferred taxation assets</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480</w:t>
            </w:r>
          </w:p>
        </w:tc>
        <w:tc>
          <w:tcPr>
            <w:tcW w:w="17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1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Deferred taxation liabilities:</w:t>
            </w:r>
          </w:p>
        </w:tc>
        <w:tc>
          <w:tcPr>
            <w:tcW w:w="3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9"/>
        </w:trPr>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(10)</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9"/>
        </w:trPr>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(17)</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06"/>
        </w:trPr>
        <w:tc>
          <w:tcPr>
            <w:tcW w:w="5040" w:type="dxa"/>
            <w:vAlign w:val="bottom"/>
          </w:tcPr>
          <w:p>
            <w:pPr>
              <w:ind w:left="20"/>
              <w:spacing w:after="0"/>
              <w:rPr>
                <w:sz w:val="20"/>
                <w:szCs w:val="20"/>
                <w:color w:val="auto"/>
              </w:rPr>
            </w:pPr>
            <w:r>
              <w:rPr>
                <w:rFonts w:ascii="Arial" w:cs="Arial" w:eastAsia="Arial" w:hAnsi="Arial"/>
                <w:sz w:val="18"/>
                <w:szCs w:val="18"/>
                <w:color w:val="auto"/>
              </w:rPr>
              <w:t>Total deferred taxation liabilities</w:t>
            </w:r>
          </w:p>
        </w:tc>
        <w:tc>
          <w:tcPr>
            <w:tcW w:w="3460" w:type="dxa"/>
            <w:vAlign w:val="bottom"/>
          </w:tcPr>
          <w:p>
            <w:pPr>
              <w:jc w:val="right"/>
              <w:ind w:right="670"/>
              <w:spacing w:after="0"/>
              <w:rPr>
                <w:sz w:val="20"/>
                <w:szCs w:val="20"/>
                <w:color w:val="auto"/>
              </w:rPr>
            </w:pPr>
            <w:r>
              <w:rPr>
                <w:rFonts w:ascii="Arial" w:cs="Arial" w:eastAsia="Arial" w:hAnsi="Arial"/>
                <w:sz w:val="18"/>
                <w:szCs w:val="18"/>
                <w:b w:val="1"/>
                <w:bCs w:val="1"/>
                <w:color w:val="auto"/>
              </w:rPr>
              <w:t>(27)</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0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0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deferred taxation asset</w:t>
            </w:r>
          </w:p>
        </w:tc>
        <w:tc>
          <w:tcPr>
            <w:tcW w:w="34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34"/>
        </w:trPr>
        <w:tc>
          <w:tcPr>
            <w:tcW w:w="50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movement in temporary differences during the period ended 31 October 2019 and year ended 31 December 2018 was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Recognised in</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r>
      <w:tr>
        <w:trPr>
          <w:trHeight w:val="269"/>
        </w:trPr>
        <w:tc>
          <w:tcPr>
            <w:tcW w:w="4300" w:type="dxa"/>
            <w:vAlign w:val="bottom"/>
          </w:tcPr>
          <w:p>
            <w:pPr>
              <w:spacing w:after="0"/>
              <w:rPr>
                <w:sz w:val="23"/>
                <w:szCs w:val="23"/>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1 January</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Income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 October</w:t>
            </w:r>
          </w:p>
        </w:tc>
      </w:tr>
      <w:tr>
        <w:trPr>
          <w:trHeight w:val="269"/>
        </w:trPr>
        <w:tc>
          <w:tcPr>
            <w:tcW w:w="4300" w:type="dxa"/>
            <w:vAlign w:val="bottom"/>
          </w:tcPr>
          <w:p>
            <w:pPr>
              <w:spacing w:after="0"/>
              <w:rPr>
                <w:sz w:val="23"/>
                <w:szCs w:val="23"/>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69"/>
        </w:trPr>
        <w:tc>
          <w:tcPr>
            <w:tcW w:w="4300" w:type="dxa"/>
            <w:vAlign w:val="bottom"/>
          </w:tcPr>
          <w:p>
            <w:pPr>
              <w:spacing w:after="0"/>
              <w:rPr>
                <w:sz w:val="23"/>
                <w:szCs w:val="23"/>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Deferred taxation assets</w:t>
            </w:r>
          </w:p>
        </w:tc>
        <w:tc>
          <w:tcPr>
            <w:tcW w:w="2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9"/>
        </w:trPr>
        <w:tc>
          <w:tcPr>
            <w:tcW w:w="4300" w:type="dxa"/>
            <w:vAlign w:val="bottom"/>
          </w:tcPr>
          <w:p>
            <w:pPr>
              <w:ind w:left="20"/>
              <w:spacing w:after="0"/>
              <w:rPr>
                <w:sz w:val="20"/>
                <w:szCs w:val="20"/>
                <w:color w:val="auto"/>
              </w:rPr>
            </w:pPr>
            <w:r>
              <w:rPr>
                <w:rFonts w:ascii="Arial" w:cs="Arial" w:eastAsia="Arial" w:hAnsi="Arial"/>
                <w:sz w:val="18"/>
                <w:szCs w:val="18"/>
                <w:color w:val="auto"/>
              </w:rPr>
              <w:t>Accrued expenses and payments on account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392</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393</w:t>
            </w:r>
          </w:p>
        </w:tc>
      </w:tr>
      <w:tr>
        <w:trPr>
          <w:trHeight w:val="269"/>
        </w:trPr>
        <w:tc>
          <w:tcPr>
            <w:tcW w:w="4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39</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69"/>
        </w:trPr>
        <w:tc>
          <w:tcPr>
            <w:tcW w:w="4300" w:type="dxa"/>
            <w:vAlign w:val="bottom"/>
          </w:tcPr>
          <w:p>
            <w:pPr>
              <w:ind w:left="20"/>
              <w:spacing w:after="0"/>
              <w:rPr>
                <w:sz w:val="20"/>
                <w:szCs w:val="20"/>
                <w:color w:val="auto"/>
              </w:rPr>
            </w:pPr>
            <w:r>
              <w:rPr>
                <w:rFonts w:ascii="Arial" w:cs="Arial" w:eastAsia="Arial" w:hAnsi="Arial"/>
                <w:sz w:val="18"/>
                <w:szCs w:val="18"/>
                <w:color w:val="auto"/>
              </w:rPr>
              <w:t>Loans to subsidiaries</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19"/>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deferred taxation assets</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481</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480</w:t>
            </w:r>
          </w:p>
        </w:tc>
      </w:tr>
      <w:tr>
        <w:trPr>
          <w:trHeight w:val="34"/>
        </w:trPr>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39"/>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Deferred taxation liabilities</w:t>
            </w: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9"/>
        </w:trPr>
        <w:tc>
          <w:tcPr>
            <w:tcW w:w="4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69"/>
        </w:trPr>
        <w:tc>
          <w:tcPr>
            <w:tcW w:w="4300" w:type="dxa"/>
            <w:vAlign w:val="bottom"/>
          </w:tcPr>
          <w:p>
            <w:pPr>
              <w:ind w:left="20"/>
              <w:spacing w:after="0"/>
              <w:rPr>
                <w:sz w:val="20"/>
                <w:szCs w:val="20"/>
                <w:color w:val="auto"/>
              </w:rPr>
            </w:pPr>
            <w:r>
              <w:rPr>
                <w:rFonts w:ascii="Arial" w:cs="Arial" w:eastAsia="Arial" w:hAnsi="Arial"/>
                <w:sz w:val="18"/>
                <w:szCs w:val="18"/>
                <w:color w:val="auto"/>
              </w:rPr>
              <w:t>Other</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
        </w:trPr>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3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deferred taxation liabilities</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4"/>
        </w:trPr>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66"/>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Net deferred taxation asset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451</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453</w:t>
            </w:r>
          </w:p>
        </w:tc>
      </w:tr>
      <w:tr>
        <w:trPr>
          <w:trHeight w:val="155"/>
        </w:trPr>
        <w:tc>
          <w:tcPr>
            <w:tcW w:w="43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820"/>
          </w:cols>
          <w:pgMar w:left="240" w:top="120" w:right="83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20"/>
          </w:cols>
          <w:pgMar w:left="240" w:top="120" w:right="839" w:bottom="970" w:gutter="0" w:footer="0" w:header="0"/>
          <w:type w:val="continuous"/>
        </w:sectPr>
      </w:pPr>
    </w:p>
    <w:bookmarkStart w:id="25" w:name="page26"/>
    <w:bookmarkEnd w:id="25"/>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8.   Income tax expense </w:t>
            </w:r>
            <w:r>
              <w:rPr>
                <w:rFonts w:ascii="Arial" w:cs="Arial" w:eastAsia="Arial" w:hAnsi="Arial"/>
                <w:sz w:val="18"/>
                <w:szCs w:val="18"/>
                <w:i w:val="1"/>
                <w:iCs w:val="1"/>
                <w:color w:val="auto"/>
              </w:rPr>
              <w:t>(continued)</w:t>
            </w:r>
          </w:p>
        </w:tc>
        <w:tc>
          <w:tcPr>
            <w:tcW w:w="2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3"/>
        </w:trPr>
        <w:tc>
          <w:tcPr>
            <w:tcW w:w="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20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Balance 31</w:t>
            </w:r>
          </w:p>
        </w:tc>
      </w:tr>
      <w:tr>
        <w:trPr>
          <w:trHeight w:val="269"/>
        </w:trPr>
        <w:tc>
          <w:tcPr>
            <w:tcW w:w="6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1 January</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Recognised in</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r>
      <w:tr>
        <w:trPr>
          <w:trHeight w:val="269"/>
        </w:trPr>
        <w:tc>
          <w:tcPr>
            <w:tcW w:w="6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Income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r>
      <w:tr>
        <w:trPr>
          <w:trHeight w:val="269"/>
        </w:trPr>
        <w:tc>
          <w:tcPr>
            <w:tcW w:w="6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640" w:type="dxa"/>
            <w:vAlign w:val="bottom"/>
          </w:tcPr>
          <w:p>
            <w:pPr>
              <w:spacing w:after="0"/>
              <w:rPr>
                <w:sz w:val="23"/>
                <w:szCs w:val="23"/>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Deferred taxation assets</w:t>
            </w:r>
          </w:p>
        </w:tc>
        <w:tc>
          <w:tcPr>
            <w:tcW w:w="2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9"/>
        </w:trPr>
        <w:tc>
          <w:tcPr>
            <w:tcW w:w="640" w:type="dxa"/>
            <w:vAlign w:val="bottom"/>
          </w:tcPr>
          <w:p>
            <w:pPr>
              <w:spacing w:after="0"/>
              <w:rPr>
                <w:sz w:val="23"/>
                <w:szCs w:val="23"/>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Accrued expenses and payments on account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318</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74</w:t>
            </w:r>
          </w:p>
        </w:tc>
        <w:tc>
          <w:tcPr>
            <w:tcW w:w="13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69"/>
        </w:trPr>
        <w:tc>
          <w:tcPr>
            <w:tcW w:w="640" w:type="dxa"/>
            <w:vAlign w:val="bottom"/>
          </w:tcPr>
          <w:p>
            <w:pPr>
              <w:spacing w:after="0"/>
              <w:rPr>
                <w:sz w:val="23"/>
                <w:szCs w:val="23"/>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36</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9"/>
        </w:trPr>
        <w:tc>
          <w:tcPr>
            <w:tcW w:w="640" w:type="dxa"/>
            <w:vAlign w:val="bottom"/>
          </w:tcPr>
          <w:p>
            <w:pPr>
              <w:spacing w:after="0"/>
              <w:rPr>
                <w:sz w:val="23"/>
                <w:szCs w:val="23"/>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Loans to subsidiaries</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71"/>
        </w:trPr>
        <w:tc>
          <w:tcPr>
            <w:tcW w:w="64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deferred taxation assets</w:t>
            </w: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404</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77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481</w:t>
            </w:r>
          </w:p>
        </w:tc>
      </w:tr>
      <w:tr>
        <w:trPr>
          <w:trHeight w:val="34"/>
        </w:trPr>
        <w:tc>
          <w:tcPr>
            <w:tcW w:w="6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31"/>
        </w:trPr>
        <w:tc>
          <w:tcPr>
            <w:tcW w:w="64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Deferred taxation liabilities</w:t>
            </w:r>
          </w:p>
        </w:tc>
        <w:tc>
          <w:tcPr>
            <w:tcW w:w="2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9"/>
        </w:trPr>
        <w:tc>
          <w:tcPr>
            <w:tcW w:w="640" w:type="dxa"/>
            <w:vAlign w:val="bottom"/>
          </w:tcPr>
          <w:p>
            <w:pPr>
              <w:spacing w:after="0"/>
              <w:rPr>
                <w:sz w:val="23"/>
                <w:szCs w:val="23"/>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9"/>
        </w:trPr>
        <w:tc>
          <w:tcPr>
            <w:tcW w:w="640" w:type="dxa"/>
            <w:vAlign w:val="bottom"/>
          </w:tcPr>
          <w:p>
            <w:pPr>
              <w:spacing w:after="0"/>
              <w:rPr>
                <w:sz w:val="23"/>
                <w:szCs w:val="23"/>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Other</w:t>
            </w:r>
          </w:p>
        </w:tc>
        <w:tc>
          <w:tcPr>
            <w:tcW w:w="2420" w:type="dxa"/>
            <w:vAlign w:val="bottom"/>
          </w:tcPr>
          <w:p>
            <w:pPr>
              <w:jc w:val="right"/>
              <w:ind w:right="450"/>
              <w:spacing w:after="0"/>
              <w:rPr>
                <w:sz w:val="20"/>
                <w:szCs w:val="20"/>
                <w:color w:val="auto"/>
              </w:rPr>
            </w:pPr>
            <w:r>
              <w:rPr>
                <w:rFonts w:ascii="Arial" w:cs="Arial" w:eastAsia="Arial" w:hAnsi="Arial"/>
                <w:sz w:val="18"/>
                <w:szCs w:val="18"/>
                <w:color w:val="auto"/>
              </w:rPr>
              <w:t>0</w:t>
            </w: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(19)</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79"/>
        </w:trPr>
        <w:tc>
          <w:tcPr>
            <w:tcW w:w="64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deferred taxation liabilities</w:t>
            </w: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(11)</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(19)</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
        </w:trPr>
        <w:tc>
          <w:tcPr>
            <w:tcW w:w="6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11"/>
        </w:trPr>
        <w:tc>
          <w:tcPr>
            <w:tcW w:w="640" w:type="dxa"/>
            <w:vAlign w:val="bottom"/>
          </w:tcPr>
          <w:p>
            <w:pPr>
              <w:spacing w:after="0"/>
              <w:rPr>
                <w:sz w:val="24"/>
                <w:szCs w:val="24"/>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Net deferred taxation asset</w:t>
            </w: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393</w:t>
            </w: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58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451</w:t>
            </w:r>
          </w:p>
        </w:tc>
      </w:tr>
      <w:tr>
        <w:trPr>
          <w:trHeight w:val="34"/>
        </w:trPr>
        <w:tc>
          <w:tcPr>
            <w:tcW w:w="6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left="380" w:right="640"/>
        <w:spacing w:after="0" w:line="341" w:lineRule="auto"/>
        <w:rPr>
          <w:sz w:val="20"/>
          <w:szCs w:val="20"/>
          <w:color w:val="auto"/>
        </w:rPr>
      </w:pPr>
      <w:r>
        <w:rPr>
          <w:rFonts w:ascii="Arial" w:cs="Arial" w:eastAsia="Arial" w:hAnsi="Arial"/>
          <w:sz w:val="16"/>
          <w:szCs w:val="16"/>
          <w:color w:val="auto"/>
        </w:rPr>
        <w:t>At 31 October 2019 and 31 December 2018 the Company had no operating loss carry forwards for income tax purposes. At 31 October 2019 the Company had an unrecognized deferred tax asset in respect of unutilized foreign tax credits carried forward of $5.3 million (2018: $5.3 million).</w:t>
      </w:r>
    </w:p>
    <w:p>
      <w:pPr>
        <w:spacing w:after="0" w:line="33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8"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operates a number of share-based payment plans in which employees of the Group participate, including a number of share options plans and a restricted share unit plan, further details of which are set out in note 10 of the Group’s Annual Report for the year ended 31 December 2018, which is available publically and can be obtained at http://investor.iconplc.com/annuals.cfm.</w:t>
      </w:r>
    </w:p>
    <w:p>
      <w:pPr>
        <w:spacing w:after="0" w:line="18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Share options outstanding and exercisable at 31 October 2019 were as follows:</w:t>
      </w:r>
    </w:p>
    <w:p>
      <w:pPr>
        <w:spacing w:after="0" w:line="200" w:lineRule="exact"/>
        <w:rPr>
          <w:sz w:val="20"/>
          <w:szCs w:val="20"/>
          <w:color w:val="auto"/>
        </w:rPr>
      </w:pPr>
    </w:p>
    <w:p>
      <w:pPr>
        <w:spacing w:after="0" w:line="39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42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 Options</w:t>
            </w: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Weighted Average Exercise</w:t>
            </w:r>
          </w:p>
        </w:tc>
      </w:tr>
      <w:tr>
        <w:trPr>
          <w:trHeight w:val="234"/>
        </w:trPr>
        <w:tc>
          <w:tcPr>
            <w:tcW w:w="4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r>
      <w:tr>
        <w:trPr>
          <w:trHeight w:val="34"/>
        </w:trPr>
        <w:tc>
          <w:tcPr>
            <w:tcW w:w="49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Outstanding at 31 December 2018</w:t>
            </w:r>
          </w:p>
        </w:tc>
        <w:tc>
          <w:tcPr>
            <w:tcW w:w="3420" w:type="dxa"/>
            <w:vAlign w:val="bottom"/>
          </w:tcPr>
          <w:p>
            <w:pPr>
              <w:jc w:val="right"/>
              <w:ind w:right="30"/>
              <w:spacing w:after="0"/>
              <w:rPr>
                <w:sz w:val="20"/>
                <w:szCs w:val="20"/>
                <w:color w:val="auto"/>
              </w:rPr>
            </w:pPr>
            <w:r>
              <w:rPr>
                <w:rFonts w:ascii="Arial" w:cs="Arial" w:eastAsia="Arial" w:hAnsi="Arial"/>
                <w:sz w:val="18"/>
                <w:szCs w:val="18"/>
                <w:color w:val="auto"/>
              </w:rPr>
              <w:t>920,746</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$74.32</w:t>
            </w:r>
          </w:p>
        </w:tc>
      </w:tr>
      <w:tr>
        <w:trPr>
          <w:trHeight w:val="34"/>
        </w:trPr>
        <w:tc>
          <w:tcPr>
            <w:tcW w:w="49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Granted</w:t>
            </w:r>
          </w:p>
        </w:tc>
        <w:tc>
          <w:tcPr>
            <w:tcW w:w="3420" w:type="dxa"/>
            <w:vAlign w:val="bottom"/>
          </w:tcPr>
          <w:p>
            <w:pPr>
              <w:jc w:val="right"/>
              <w:ind w:right="30"/>
              <w:spacing w:after="0"/>
              <w:rPr>
                <w:sz w:val="20"/>
                <w:szCs w:val="20"/>
                <w:color w:val="auto"/>
              </w:rPr>
            </w:pPr>
            <w:r>
              <w:rPr>
                <w:rFonts w:ascii="Arial" w:cs="Arial" w:eastAsia="Arial" w:hAnsi="Arial"/>
                <w:sz w:val="18"/>
                <w:szCs w:val="18"/>
                <w:color w:val="auto"/>
              </w:rPr>
              <w:t>97,112</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$140.13</w:t>
            </w:r>
          </w:p>
        </w:tc>
      </w:tr>
      <w:tr>
        <w:trPr>
          <w:trHeight w:val="269"/>
        </w:trPr>
        <w:tc>
          <w:tcPr>
            <w:tcW w:w="49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420" w:type="dxa"/>
            <w:vAlign w:val="bottom"/>
          </w:tcPr>
          <w:p>
            <w:pPr>
              <w:jc w:val="right"/>
              <w:ind w:right="30"/>
              <w:spacing w:after="0"/>
              <w:rPr>
                <w:sz w:val="20"/>
                <w:szCs w:val="20"/>
                <w:color w:val="auto"/>
              </w:rPr>
            </w:pPr>
            <w:r>
              <w:rPr>
                <w:rFonts w:ascii="Arial" w:cs="Arial" w:eastAsia="Arial" w:hAnsi="Arial"/>
                <w:sz w:val="18"/>
                <w:szCs w:val="18"/>
                <w:color w:val="auto"/>
              </w:rPr>
              <w:t>(318,463)</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$66.09</w:t>
            </w:r>
          </w:p>
        </w:tc>
      </w:tr>
      <w:tr>
        <w:trPr>
          <w:trHeight w:val="269"/>
        </w:trPr>
        <w:tc>
          <w:tcPr>
            <w:tcW w:w="4900" w:type="dxa"/>
            <w:vAlign w:val="bottom"/>
          </w:tcPr>
          <w:p>
            <w:pPr>
              <w:ind w:left="20"/>
              <w:spacing w:after="0"/>
              <w:rPr>
                <w:sz w:val="20"/>
                <w:szCs w:val="20"/>
                <w:color w:val="auto"/>
              </w:rPr>
            </w:pPr>
            <w:r>
              <w:rPr>
                <w:rFonts w:ascii="Arial" w:cs="Arial" w:eastAsia="Arial" w:hAnsi="Arial"/>
                <w:sz w:val="18"/>
                <w:szCs w:val="18"/>
                <w:color w:val="auto"/>
              </w:rPr>
              <w:t>Cancelled</w:t>
            </w:r>
          </w:p>
        </w:tc>
        <w:tc>
          <w:tcPr>
            <w:tcW w:w="3420" w:type="dxa"/>
            <w:vAlign w:val="bottom"/>
          </w:tcPr>
          <w:p>
            <w:pPr>
              <w:jc w:val="right"/>
              <w:ind w:right="30"/>
              <w:spacing w:after="0"/>
              <w:rPr>
                <w:sz w:val="20"/>
                <w:szCs w:val="20"/>
                <w:color w:val="auto"/>
              </w:rPr>
            </w:pPr>
            <w:r>
              <w:rPr>
                <w:rFonts w:ascii="Arial" w:cs="Arial" w:eastAsia="Arial" w:hAnsi="Arial"/>
                <w:sz w:val="18"/>
                <w:szCs w:val="18"/>
                <w:color w:val="auto"/>
              </w:rPr>
              <w:t>(31,731)</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$88.43</w:t>
            </w:r>
          </w:p>
        </w:tc>
      </w:tr>
      <w:tr>
        <w:trPr>
          <w:trHeight w:val="34"/>
        </w:trPr>
        <w:tc>
          <w:tcPr>
            <w:tcW w:w="49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Outstanding at 31 October 2019</w:t>
            </w:r>
          </w:p>
        </w:tc>
        <w:tc>
          <w:tcPr>
            <w:tcW w:w="3420" w:type="dxa"/>
            <w:vAlign w:val="bottom"/>
          </w:tcPr>
          <w:p>
            <w:pPr>
              <w:jc w:val="right"/>
              <w:ind w:right="30"/>
              <w:spacing w:after="0"/>
              <w:rPr>
                <w:sz w:val="20"/>
                <w:szCs w:val="20"/>
                <w:color w:val="auto"/>
              </w:rPr>
            </w:pPr>
            <w:r>
              <w:rPr>
                <w:rFonts w:ascii="Arial" w:cs="Arial" w:eastAsia="Arial" w:hAnsi="Arial"/>
                <w:sz w:val="18"/>
                <w:szCs w:val="18"/>
                <w:color w:val="auto"/>
              </w:rPr>
              <w:t>667,664</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$87.14</w:t>
            </w:r>
          </w:p>
        </w:tc>
      </w:tr>
      <w:tr>
        <w:trPr>
          <w:trHeight w:val="34"/>
        </w:trPr>
        <w:tc>
          <w:tcPr>
            <w:tcW w:w="49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458"/>
        </w:trPr>
        <w:tc>
          <w:tcPr>
            <w:tcW w:w="4900" w:type="dxa"/>
            <w:vAlign w:val="bottom"/>
          </w:tcPr>
          <w:p>
            <w:pPr>
              <w:ind w:left="20"/>
              <w:spacing w:after="0"/>
              <w:rPr>
                <w:sz w:val="20"/>
                <w:szCs w:val="20"/>
                <w:color w:val="auto"/>
              </w:rPr>
            </w:pPr>
            <w:r>
              <w:rPr>
                <w:rFonts w:ascii="Arial" w:cs="Arial" w:eastAsia="Arial" w:hAnsi="Arial"/>
                <w:sz w:val="18"/>
                <w:szCs w:val="18"/>
                <w:color w:val="auto"/>
              </w:rPr>
              <w:t>Vested and exercisable at 31 October 2019</w:t>
            </w:r>
          </w:p>
        </w:tc>
        <w:tc>
          <w:tcPr>
            <w:tcW w:w="3420" w:type="dxa"/>
            <w:vAlign w:val="bottom"/>
          </w:tcPr>
          <w:p>
            <w:pPr>
              <w:jc w:val="right"/>
              <w:ind w:right="30"/>
              <w:spacing w:after="0"/>
              <w:rPr>
                <w:sz w:val="20"/>
                <w:szCs w:val="20"/>
                <w:color w:val="auto"/>
              </w:rPr>
            </w:pPr>
            <w:r>
              <w:rPr>
                <w:rFonts w:ascii="Arial" w:cs="Arial" w:eastAsia="Arial" w:hAnsi="Arial"/>
                <w:sz w:val="18"/>
                <w:szCs w:val="18"/>
                <w:color w:val="auto"/>
              </w:rPr>
              <w:t>309,634</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$68.02</w:t>
            </w:r>
          </w:p>
        </w:tc>
      </w:tr>
      <w:tr>
        <w:trPr>
          <w:trHeight w:val="34"/>
        </w:trPr>
        <w:tc>
          <w:tcPr>
            <w:tcW w:w="49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i w:val="1"/>
          <w:iCs w:val="1"/>
          <w:color w:val="auto"/>
        </w:rPr>
        <w:t>(continued)</w:t>
      </w:r>
    </w:p>
    <w:p>
      <w:pPr>
        <w:spacing w:after="0" w:line="22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Restricted Share Units (“RSU’s”) and Performance Share Units (“PSU’s”) outstanding at 31 October 2019 were as follows:</w:t>
      </w:r>
    </w:p>
    <w:p>
      <w:pPr>
        <w:spacing w:after="0" w:line="200" w:lineRule="exact"/>
        <w:rPr>
          <w:sz w:val="20"/>
          <w:szCs w:val="20"/>
          <w:color w:val="auto"/>
        </w:rPr>
      </w:pPr>
    </w:p>
    <w:p>
      <w:pPr>
        <w:spacing w:after="0" w:line="39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rPr>
              <w:t>PSU Outstanding</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PSU</w:t>
            </w: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rPr>
              <w:t>RSU Outstanding</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r>
      <w:tr>
        <w:trPr>
          <w:trHeight w:val="216"/>
        </w:trPr>
        <w:tc>
          <w:tcPr>
            <w:tcW w:w="26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Weighted Average</w:t>
            </w: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 Shares</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2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96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34"/>
        </w:trPr>
        <w:tc>
          <w:tcPr>
            <w:tcW w:w="2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8"/>
        </w:trPr>
        <w:tc>
          <w:tcPr>
            <w:tcW w:w="2680" w:type="dxa"/>
            <w:vAlign w:val="bottom"/>
          </w:tcPr>
          <w:p>
            <w:pPr>
              <w:ind w:left="20"/>
              <w:spacing w:after="0"/>
              <w:rPr>
                <w:sz w:val="20"/>
                <w:szCs w:val="20"/>
                <w:color w:val="auto"/>
              </w:rPr>
            </w:pPr>
            <w:r>
              <w:rPr>
                <w:rFonts w:ascii="Arial" w:cs="Arial" w:eastAsia="Arial" w:hAnsi="Arial"/>
                <w:sz w:val="18"/>
                <w:szCs w:val="18"/>
                <w:color w:val="auto"/>
              </w:rPr>
              <w:t>Outstanding at 31 December</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251,053</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$89.95</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534,677</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$89.50</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2018</w:t>
            </w:r>
          </w:p>
        </w:tc>
        <w:tc>
          <w:tcPr>
            <w:tcW w:w="19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4"/>
        </w:trPr>
        <w:tc>
          <w:tcPr>
            <w:tcW w:w="2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485"/>
        </w:trPr>
        <w:tc>
          <w:tcPr>
            <w:tcW w:w="2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60,182</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$140.13</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158,341</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$138.24</w:t>
            </w:r>
          </w:p>
        </w:tc>
      </w:tr>
      <w:tr>
        <w:trPr>
          <w:trHeight w:val="269"/>
        </w:trPr>
        <w:tc>
          <w:tcPr>
            <w:tcW w:w="2680" w:type="dxa"/>
            <w:vAlign w:val="bottom"/>
          </w:tcPr>
          <w:p>
            <w:pPr>
              <w:ind w:left="20"/>
              <w:spacing w:after="0"/>
              <w:rPr>
                <w:sz w:val="20"/>
                <w:szCs w:val="20"/>
                <w:color w:val="auto"/>
              </w:rPr>
            </w:pPr>
            <w:r>
              <w:rPr>
                <w:rFonts w:ascii="Arial" w:cs="Arial" w:eastAsia="Arial" w:hAnsi="Arial"/>
                <w:sz w:val="18"/>
                <w:szCs w:val="18"/>
                <w:color w:val="auto"/>
              </w:rPr>
              <w:t>Shares vested</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(118,611)</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$71.45</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(234,395)</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$68.97</w:t>
            </w:r>
          </w:p>
        </w:tc>
      </w:tr>
      <w:tr>
        <w:trPr>
          <w:trHeight w:val="269"/>
        </w:trPr>
        <w:tc>
          <w:tcPr>
            <w:tcW w:w="2680" w:type="dxa"/>
            <w:vAlign w:val="bottom"/>
          </w:tcPr>
          <w:p>
            <w:pPr>
              <w:ind w:left="20"/>
              <w:spacing w:after="0"/>
              <w:rPr>
                <w:sz w:val="20"/>
                <w:szCs w:val="20"/>
                <w:color w:val="auto"/>
              </w:rPr>
            </w:pPr>
            <w:r>
              <w:rPr>
                <w:rFonts w:ascii="Arial" w:cs="Arial" w:eastAsia="Arial" w:hAnsi="Arial"/>
                <w:sz w:val="18"/>
                <w:szCs w:val="18"/>
                <w:color w:val="auto"/>
              </w:rPr>
              <w:t>Forfeit</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(16,635)</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$91.94</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(55,120)</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$104.15</w:t>
            </w:r>
          </w:p>
        </w:tc>
      </w:tr>
      <w:tr>
        <w:trPr>
          <w:trHeight w:val="27"/>
        </w:trPr>
        <w:tc>
          <w:tcPr>
            <w:tcW w:w="2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465"/>
        </w:trPr>
        <w:tc>
          <w:tcPr>
            <w:tcW w:w="2680" w:type="dxa"/>
            <w:vAlign w:val="bottom"/>
          </w:tcPr>
          <w:p>
            <w:pPr>
              <w:ind w:left="20"/>
              <w:spacing w:after="0"/>
              <w:rPr>
                <w:sz w:val="20"/>
                <w:szCs w:val="20"/>
                <w:color w:val="auto"/>
              </w:rPr>
            </w:pPr>
            <w:r>
              <w:rPr>
                <w:rFonts w:ascii="Arial" w:cs="Arial" w:eastAsia="Arial" w:hAnsi="Arial"/>
                <w:sz w:val="18"/>
                <w:szCs w:val="18"/>
                <w:color w:val="auto"/>
              </w:rPr>
              <w:t>Outstanding at 31 October 2019</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175,989</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$110.79</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403,503</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$118.55</w:t>
            </w:r>
          </w:p>
        </w:tc>
      </w:tr>
      <w:tr>
        <w:trPr>
          <w:trHeight w:val="34"/>
        </w:trPr>
        <w:tc>
          <w:tcPr>
            <w:tcW w:w="2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left="380"/>
        <w:spacing w:after="0" w:line="301" w:lineRule="auto"/>
        <w:rPr>
          <w:sz w:val="20"/>
          <w:szCs w:val="20"/>
          <w:color w:val="auto"/>
        </w:rPr>
      </w:pPr>
      <w:r>
        <w:rPr>
          <w:rFonts w:ascii="Arial" w:cs="Arial" w:eastAsia="Arial" w:hAnsi="Arial"/>
          <w:sz w:val="16"/>
          <w:szCs w:val="16"/>
          <w:color w:val="auto"/>
        </w:rPr>
        <w:t>The Company accounts for share-based awards in accordance with IFRS 2 Share-based Payments. The grant date fair value of these awards is calculated using a binomial model and expensed to the income statement over the period the related service is received. Operating profit for the period ended 31 October 2019 is stated after charging $5.2 million in respect of share-based payments expense, representing the portion of the overall Group charge which relates to share-based awards granted to employees of the Company. The share-based payment expense is included in the accounts as follows:</w:t>
      </w:r>
    </w:p>
    <w:p>
      <w:pPr>
        <w:spacing w:after="0" w:line="31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Period Ended</w:t>
            </w:r>
          </w:p>
        </w:tc>
        <w:tc>
          <w:tcPr>
            <w:tcW w:w="160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16"/>
        </w:trPr>
        <w:tc>
          <w:tcPr>
            <w:tcW w:w="6380" w:type="dxa"/>
            <w:vAlign w:val="bottom"/>
          </w:tcPr>
          <w:p>
            <w:pPr>
              <w:spacing w:after="0"/>
              <w:rPr>
                <w:sz w:val="18"/>
                <w:szCs w:val="18"/>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31 October</w:t>
            </w:r>
          </w:p>
        </w:tc>
        <w:tc>
          <w:tcPr>
            <w:tcW w:w="1600" w:type="dxa"/>
            <w:vAlign w:val="bottom"/>
          </w:tcPr>
          <w:p>
            <w:pPr>
              <w:jc w:val="right"/>
              <w:spacing w:after="0"/>
              <w:rPr>
                <w:sz w:val="20"/>
                <w:szCs w:val="20"/>
                <w:color w:val="auto"/>
              </w:rPr>
            </w:pPr>
            <w:r>
              <w:rPr>
                <w:rFonts w:ascii="Arial" w:cs="Arial" w:eastAsia="Arial" w:hAnsi="Arial"/>
                <w:sz w:val="18"/>
                <w:szCs w:val="18"/>
                <w:color w:val="auto"/>
              </w:rPr>
              <w:t>31 December 2018</w:t>
            </w:r>
          </w:p>
        </w:tc>
      </w:tr>
      <w:tr>
        <w:trPr>
          <w:trHeight w:val="234"/>
        </w:trPr>
        <w:tc>
          <w:tcPr>
            <w:tcW w:w="6380" w:type="dxa"/>
            <w:vAlign w:val="bottom"/>
          </w:tcPr>
          <w:p>
            <w:pPr>
              <w:spacing w:after="0"/>
              <w:rPr>
                <w:sz w:val="20"/>
                <w:szCs w:val="20"/>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600" w:type="dxa"/>
            <w:vAlign w:val="bottom"/>
          </w:tcPr>
          <w:p>
            <w:pPr>
              <w:spacing w:after="0"/>
              <w:rPr>
                <w:sz w:val="20"/>
                <w:szCs w:val="20"/>
                <w:color w:val="auto"/>
              </w:rPr>
            </w:pPr>
          </w:p>
        </w:tc>
      </w:tr>
      <w:tr>
        <w:trPr>
          <w:trHeight w:val="269"/>
        </w:trPr>
        <w:tc>
          <w:tcPr>
            <w:tcW w:w="6380" w:type="dxa"/>
            <w:vAlign w:val="bottom"/>
          </w:tcPr>
          <w:p>
            <w:pPr>
              <w:spacing w:after="0"/>
              <w:rPr>
                <w:sz w:val="23"/>
                <w:szCs w:val="23"/>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638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5,194</w:t>
            </w:r>
          </w:p>
        </w:tc>
        <w:tc>
          <w:tcPr>
            <w:tcW w:w="160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69"/>
        </w:trPr>
        <w:tc>
          <w:tcPr>
            <w:tcW w:w="6380" w:type="dxa"/>
            <w:vAlign w:val="bottom"/>
          </w:tcPr>
          <w:p>
            <w:pPr>
              <w:ind w:left="20"/>
              <w:spacing w:after="0"/>
              <w:rPr>
                <w:sz w:val="20"/>
                <w:szCs w:val="20"/>
                <w:color w:val="auto"/>
              </w:rPr>
            </w:pPr>
            <w:r>
              <w:rPr>
                <w:rFonts w:ascii="Arial" w:cs="Arial" w:eastAsia="Arial" w:hAnsi="Arial"/>
                <w:sz w:val="18"/>
                <w:szCs w:val="18"/>
                <w:color w:val="auto"/>
              </w:rPr>
              <w:t>Investment in subsidiaries (Note 12)</w:t>
            </w: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16,616</w:t>
            </w:r>
          </w:p>
        </w:tc>
        <w:tc>
          <w:tcPr>
            <w:tcW w:w="1600" w:type="dxa"/>
            <w:vAlign w:val="bottom"/>
          </w:tcPr>
          <w:p>
            <w:pPr>
              <w:jc w:val="right"/>
              <w:spacing w:after="0"/>
              <w:rPr>
                <w:sz w:val="20"/>
                <w:szCs w:val="20"/>
                <w:color w:val="auto"/>
              </w:rPr>
            </w:pPr>
            <w:r>
              <w:rPr>
                <w:rFonts w:ascii="Arial" w:cs="Arial" w:eastAsia="Arial" w:hAnsi="Arial"/>
                <w:sz w:val="18"/>
                <w:szCs w:val="18"/>
                <w:color w:val="auto"/>
              </w:rPr>
              <w:t>20,650</w:t>
            </w:r>
          </w:p>
        </w:tc>
      </w:tr>
      <w:tr>
        <w:trPr>
          <w:trHeight w:val="27"/>
        </w:trPr>
        <w:tc>
          <w:tcPr>
            <w:tcW w:w="63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25"/>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80" w:type="dxa"/>
            <w:vAlign w:val="bottom"/>
          </w:tcPr>
          <w:p>
            <w:pPr>
              <w:jc w:val="right"/>
              <w:ind w:right="110"/>
              <w:spacing w:after="0"/>
              <w:rPr>
                <w:sz w:val="20"/>
                <w:szCs w:val="20"/>
                <w:color w:val="auto"/>
              </w:rPr>
            </w:pPr>
            <w:r>
              <w:rPr>
                <w:rFonts w:ascii="Arial" w:cs="Arial" w:eastAsia="Arial" w:hAnsi="Arial"/>
                <w:sz w:val="18"/>
                <w:szCs w:val="18"/>
                <w:b w:val="1"/>
                <w:bCs w:val="1"/>
                <w:color w:val="auto"/>
              </w:rPr>
              <w:t>21,810</w:t>
            </w:r>
          </w:p>
        </w:tc>
        <w:tc>
          <w:tcPr>
            <w:tcW w:w="1600" w:type="dxa"/>
            <w:vAlign w:val="bottom"/>
          </w:tcPr>
          <w:p>
            <w:pPr>
              <w:jc w:val="right"/>
              <w:spacing w:after="0"/>
              <w:rPr>
                <w:sz w:val="20"/>
                <w:szCs w:val="20"/>
                <w:color w:val="auto"/>
              </w:rPr>
            </w:pPr>
            <w:r>
              <w:rPr>
                <w:rFonts w:ascii="Arial" w:cs="Arial" w:eastAsia="Arial" w:hAnsi="Arial"/>
                <w:sz w:val="18"/>
                <w:szCs w:val="18"/>
                <w:color w:val="auto"/>
              </w:rPr>
              <w:t>28,055</w:t>
            </w:r>
          </w:p>
        </w:tc>
      </w:tr>
      <w:tr>
        <w:trPr>
          <w:trHeight w:val="34"/>
        </w:trPr>
        <w:tc>
          <w:tcPr>
            <w:tcW w:w="6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120" w:right="239" w:bottom="1440" w:gutter="0" w:footer="0" w:header="0"/>
        </w:sectPr>
      </w:pPr>
    </w:p>
    <w:bookmarkStart w:id="27" w:name="page28"/>
    <w:bookmarkEnd w:id="27"/>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10.  Property, plant and equipment</w:t>
            </w:r>
          </w:p>
        </w:tc>
        <w:tc>
          <w:tcPr>
            <w:tcW w:w="3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9"/>
        </w:trPr>
        <w:tc>
          <w:tcPr>
            <w:tcW w:w="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4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Leasehold</w:t>
            </w:r>
          </w:p>
        </w:tc>
        <w:tc>
          <w:tcPr>
            <w:tcW w:w="1600" w:type="dxa"/>
            <w:vAlign w:val="bottom"/>
          </w:tcPr>
          <w:p>
            <w:pPr>
              <w:spacing w:after="0"/>
              <w:rPr>
                <w:sz w:val="24"/>
                <w:szCs w:val="24"/>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Office</w:t>
            </w:r>
          </w:p>
        </w:tc>
        <w:tc>
          <w:tcPr>
            <w:tcW w:w="88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Computer</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furniture &amp;</w:t>
            </w:r>
          </w:p>
        </w:tc>
        <w:tc>
          <w:tcPr>
            <w:tcW w:w="880" w:type="dxa"/>
            <w:vAlign w:val="bottom"/>
          </w:tcPr>
          <w:p>
            <w:pPr>
              <w:spacing w:after="0"/>
              <w:rPr>
                <w:sz w:val="20"/>
                <w:szCs w:val="20"/>
                <w:color w:val="auto"/>
              </w:rPr>
            </w:pPr>
          </w:p>
        </w:tc>
      </w:tr>
      <w:tr>
        <w:trPr>
          <w:trHeight w:val="269"/>
        </w:trPr>
        <w:tc>
          <w:tcPr>
            <w:tcW w:w="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040" w:type="dxa"/>
            <w:vAlign w:val="bottom"/>
          </w:tcPr>
          <w:p>
            <w:pPr>
              <w:jc w:val="right"/>
              <w:ind w:right="290"/>
              <w:spacing w:after="0"/>
              <w:rPr>
                <w:sz w:val="20"/>
                <w:szCs w:val="20"/>
                <w:color w:val="auto"/>
              </w:rPr>
            </w:pPr>
            <w:r>
              <w:rPr>
                <w:rFonts w:ascii="Arial" w:cs="Arial" w:eastAsia="Arial" w:hAnsi="Arial"/>
                <w:sz w:val="18"/>
                <w:szCs w:val="18"/>
                <w:b w:val="1"/>
                <w:bCs w:val="1"/>
                <w:color w:val="auto"/>
              </w:rPr>
              <w:t>improvements</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equipment</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fixtures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69"/>
        </w:trPr>
        <w:tc>
          <w:tcPr>
            <w:tcW w:w="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04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040" w:type="dxa"/>
            <w:vAlign w:val="bottom"/>
          </w:tcPr>
          <w:p>
            <w:pPr>
              <w:jc w:val="right"/>
              <w:ind w:right="2190"/>
              <w:spacing w:after="0"/>
              <w:rPr>
                <w:sz w:val="20"/>
                <w:szCs w:val="20"/>
                <w:color w:val="auto"/>
              </w:rPr>
            </w:pPr>
            <w:r>
              <w:rPr>
                <w:rFonts w:ascii="Arial" w:cs="Arial" w:eastAsia="Arial" w:hAnsi="Arial"/>
                <w:sz w:val="18"/>
                <w:szCs w:val="18"/>
                <w:b w:val="1"/>
                <w:bCs w:val="1"/>
                <w:color w:val="auto"/>
              </w:rPr>
              <w:t>Cost</w:t>
            </w:r>
          </w:p>
        </w:tc>
        <w:tc>
          <w:tcPr>
            <w:tcW w:w="16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At 1 January 2019</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990</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1,933</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1,743</w:t>
            </w:r>
          </w:p>
        </w:tc>
        <w:tc>
          <w:tcPr>
            <w:tcW w:w="880" w:type="dxa"/>
            <w:vAlign w:val="bottom"/>
          </w:tcPr>
          <w:p>
            <w:pPr>
              <w:jc w:val="right"/>
              <w:spacing w:after="0"/>
              <w:rPr>
                <w:sz w:val="20"/>
                <w:szCs w:val="20"/>
                <w:color w:val="auto"/>
              </w:rPr>
            </w:pPr>
            <w:r>
              <w:rPr>
                <w:rFonts w:ascii="Arial" w:cs="Arial" w:eastAsia="Arial" w:hAnsi="Arial"/>
                <w:sz w:val="18"/>
                <w:szCs w:val="18"/>
                <w:color w:val="auto"/>
              </w:rPr>
              <w:t>4,666</w:t>
            </w: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228</w:t>
            </w: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Foreign currency movement</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(65)</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(136)</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6"/>
        </w:trPr>
        <w:tc>
          <w:tcPr>
            <w:tcW w:w="5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At 31 October 2019</w:t>
            </w:r>
          </w:p>
        </w:tc>
        <w:tc>
          <w:tcPr>
            <w:tcW w:w="3040" w:type="dxa"/>
            <w:vAlign w:val="bottom"/>
          </w:tcPr>
          <w:p>
            <w:pPr>
              <w:jc w:val="right"/>
              <w:ind w:right="290"/>
              <w:spacing w:after="0"/>
              <w:rPr>
                <w:sz w:val="20"/>
                <w:szCs w:val="20"/>
                <w:color w:val="auto"/>
              </w:rPr>
            </w:pPr>
            <w:r>
              <w:rPr>
                <w:rFonts w:ascii="Arial" w:cs="Arial" w:eastAsia="Arial" w:hAnsi="Arial"/>
                <w:sz w:val="18"/>
                <w:szCs w:val="18"/>
                <w:b w:val="1"/>
                <w:bCs w:val="1"/>
                <w:color w:val="auto"/>
              </w:rPr>
              <w:t>968</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1,892</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1,835</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4,695</w:t>
            </w:r>
          </w:p>
        </w:tc>
      </w:tr>
      <w:tr>
        <w:trPr>
          <w:trHeight w:val="27"/>
        </w:trPr>
        <w:tc>
          <w:tcPr>
            <w:tcW w:w="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79"/>
        </w:trPr>
        <w:tc>
          <w:tcPr>
            <w:tcW w:w="5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Depreciation</w:t>
            </w:r>
          </w:p>
        </w:tc>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At 1 January 2019</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942</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1,822</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1,211</w:t>
            </w:r>
          </w:p>
        </w:tc>
        <w:tc>
          <w:tcPr>
            <w:tcW w:w="88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Charge for the year</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28</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50</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71</w:t>
            </w: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Foreign currency movement</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(59)</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6"/>
        </w:trPr>
        <w:tc>
          <w:tcPr>
            <w:tcW w:w="5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At 31 October 2019</w:t>
            </w:r>
          </w:p>
        </w:tc>
        <w:tc>
          <w:tcPr>
            <w:tcW w:w="3040" w:type="dxa"/>
            <w:vAlign w:val="bottom"/>
          </w:tcPr>
          <w:p>
            <w:pPr>
              <w:jc w:val="right"/>
              <w:ind w:right="290"/>
              <w:spacing w:after="0"/>
              <w:rPr>
                <w:sz w:val="20"/>
                <w:szCs w:val="20"/>
                <w:color w:val="auto"/>
              </w:rPr>
            </w:pPr>
            <w:r>
              <w:rPr>
                <w:rFonts w:ascii="Arial" w:cs="Arial" w:eastAsia="Arial" w:hAnsi="Arial"/>
                <w:sz w:val="18"/>
                <w:szCs w:val="18"/>
                <w:b w:val="1"/>
                <w:bCs w:val="1"/>
                <w:color w:val="auto"/>
              </w:rPr>
              <w:t>939</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1,813</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1,242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3,994</w:t>
            </w:r>
          </w:p>
        </w:tc>
      </w:tr>
      <w:tr>
        <w:trPr>
          <w:trHeight w:val="27"/>
        </w:trPr>
        <w:tc>
          <w:tcPr>
            <w:tcW w:w="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79"/>
        </w:trPr>
        <w:tc>
          <w:tcPr>
            <w:tcW w:w="5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Net book value</w:t>
            </w:r>
          </w:p>
        </w:tc>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9"/>
        </w:trPr>
        <w:tc>
          <w:tcPr>
            <w:tcW w:w="500" w:type="dxa"/>
            <w:vAlign w:val="bottom"/>
          </w:tcPr>
          <w:p>
            <w:pPr>
              <w:spacing w:after="0"/>
              <w:rPr>
                <w:sz w:val="23"/>
                <w:szCs w:val="23"/>
                <w:color w:val="auto"/>
              </w:rPr>
            </w:pPr>
          </w:p>
        </w:tc>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At 31 October 2019</w:t>
            </w:r>
          </w:p>
        </w:tc>
        <w:tc>
          <w:tcPr>
            <w:tcW w:w="3040" w:type="dxa"/>
            <w:vAlign w:val="bottom"/>
          </w:tcPr>
          <w:p>
            <w:pPr>
              <w:jc w:val="right"/>
              <w:ind w:right="290"/>
              <w:spacing w:after="0"/>
              <w:rPr>
                <w:sz w:val="20"/>
                <w:szCs w:val="20"/>
                <w:color w:val="auto"/>
              </w:rPr>
            </w:pPr>
            <w:r>
              <w:rPr>
                <w:rFonts w:ascii="Arial" w:cs="Arial" w:eastAsia="Arial" w:hAnsi="Arial"/>
                <w:sz w:val="18"/>
                <w:szCs w:val="18"/>
                <w:b w:val="1"/>
                <w:bCs w:val="1"/>
                <w:color w:val="auto"/>
              </w:rPr>
              <w:t>29</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79</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593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701</w:t>
            </w:r>
          </w:p>
        </w:tc>
      </w:tr>
      <w:tr>
        <w:trPr>
          <w:trHeight w:val="34"/>
        </w:trPr>
        <w:tc>
          <w:tcPr>
            <w:tcW w:w="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85"/>
        </w:trPr>
        <w:tc>
          <w:tcPr>
            <w:tcW w:w="5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At 31 December 2018</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48</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111</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532</w:t>
            </w:r>
          </w:p>
        </w:tc>
        <w:tc>
          <w:tcPr>
            <w:tcW w:w="88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34"/>
        </w:trPr>
        <w:tc>
          <w:tcPr>
            <w:tcW w:w="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420"/>
          </w:cols>
          <w:pgMar w:left="240" w:top="120" w:right="1239" w:bottom="1440" w:gutter="0" w:footer="0" w:header="0"/>
        </w:sectPr>
      </w:pPr>
    </w:p>
    <w:bookmarkStart w:id="28" w:name="page29"/>
    <w:bookmarkEnd w:id="28"/>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 xml:space="preserve">10.  Property, plant and equipment </w:t>
            </w:r>
            <w:r>
              <w:rPr>
                <w:rFonts w:ascii="Arial" w:cs="Arial" w:eastAsia="Arial" w:hAnsi="Arial"/>
                <w:sz w:val="18"/>
                <w:szCs w:val="18"/>
                <w:i w:val="1"/>
                <w:iCs w:val="1"/>
                <w:color w:val="auto"/>
              </w:rPr>
              <w:t>(continued)</w:t>
            </w:r>
          </w:p>
        </w:tc>
        <w:tc>
          <w:tcPr>
            <w:tcW w:w="1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90"/>
        </w:trPr>
        <w:tc>
          <w:tcPr>
            <w:tcW w:w="4620" w:type="dxa"/>
            <w:vAlign w:val="bottom"/>
          </w:tcPr>
          <w:p>
            <w:pPr>
              <w:spacing w:after="0"/>
              <w:rPr>
                <w:sz w:val="24"/>
                <w:szCs w:val="24"/>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Leasehold</w:t>
            </w:r>
          </w:p>
        </w:tc>
        <w:tc>
          <w:tcPr>
            <w:tcW w:w="1800" w:type="dxa"/>
            <w:vAlign w:val="bottom"/>
          </w:tcPr>
          <w:p>
            <w:pPr>
              <w:spacing w:after="0"/>
              <w:rPr>
                <w:sz w:val="24"/>
                <w:szCs w:val="24"/>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Office</w:t>
            </w:r>
          </w:p>
        </w:tc>
        <w:tc>
          <w:tcPr>
            <w:tcW w:w="9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Computer</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furniture &amp;</w:t>
            </w:r>
          </w:p>
        </w:tc>
        <w:tc>
          <w:tcPr>
            <w:tcW w:w="960" w:type="dxa"/>
            <w:vAlign w:val="bottom"/>
          </w:tcPr>
          <w:p>
            <w:pPr>
              <w:spacing w:after="0"/>
              <w:rPr>
                <w:sz w:val="20"/>
                <w:szCs w:val="20"/>
                <w:color w:val="auto"/>
              </w:rPr>
            </w:pPr>
          </w:p>
        </w:tc>
      </w:tr>
      <w:tr>
        <w:trPr>
          <w:trHeight w:val="269"/>
        </w:trPr>
        <w:tc>
          <w:tcPr>
            <w:tcW w:w="4620" w:type="dxa"/>
            <w:vAlign w:val="bottom"/>
          </w:tcPr>
          <w:p>
            <w:pPr>
              <w:spacing w:after="0"/>
              <w:rPr>
                <w:sz w:val="23"/>
                <w:szCs w:val="23"/>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improvements</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equipment</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fixtures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69"/>
        </w:trPr>
        <w:tc>
          <w:tcPr>
            <w:tcW w:w="4620" w:type="dxa"/>
            <w:vAlign w:val="bottom"/>
          </w:tcPr>
          <w:p>
            <w:pPr>
              <w:spacing w:after="0"/>
              <w:rPr>
                <w:sz w:val="23"/>
                <w:szCs w:val="23"/>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Cost</w:t>
            </w:r>
          </w:p>
        </w:tc>
        <w:tc>
          <w:tcPr>
            <w:tcW w:w="19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At 1 January 2018</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855</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1,901</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1,317</w:t>
            </w:r>
          </w:p>
        </w:tc>
        <w:tc>
          <w:tcPr>
            <w:tcW w:w="960" w:type="dxa"/>
            <w:vAlign w:val="bottom"/>
          </w:tcPr>
          <w:p>
            <w:pPr>
              <w:jc w:val="right"/>
              <w:spacing w:after="0"/>
              <w:rPr>
                <w:sz w:val="20"/>
                <w:szCs w:val="20"/>
                <w:color w:val="auto"/>
              </w:rPr>
            </w:pPr>
            <w:r>
              <w:rPr>
                <w:rFonts w:ascii="Arial" w:cs="Arial" w:eastAsia="Arial" w:hAnsi="Arial"/>
                <w:sz w:val="18"/>
                <w:szCs w:val="18"/>
                <w:color w:val="auto"/>
              </w:rPr>
              <w:t>4,073</w:t>
            </w: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189</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132</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511</w:t>
            </w:r>
          </w:p>
        </w:tc>
        <w:tc>
          <w:tcPr>
            <w:tcW w:w="9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Foreign currency movement</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(54)</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(85)</w:t>
            </w: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0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990</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1,933</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1,743</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4,666</w:t>
            </w:r>
          </w:p>
        </w:tc>
      </w:tr>
      <w:tr>
        <w:trPr>
          <w:trHeight w:val="27"/>
        </w:trPr>
        <w:tc>
          <w:tcPr>
            <w:tcW w:w="4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Depreciation</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At 1 January 2018</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842</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1,804</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1,176</w:t>
            </w:r>
          </w:p>
        </w:tc>
        <w:tc>
          <w:tcPr>
            <w:tcW w:w="960" w:type="dxa"/>
            <w:vAlign w:val="bottom"/>
          </w:tcPr>
          <w:p>
            <w:pPr>
              <w:jc w:val="right"/>
              <w:spacing w:after="0"/>
              <w:rPr>
                <w:sz w:val="20"/>
                <w:szCs w:val="20"/>
                <w:color w:val="auto"/>
              </w:rPr>
            </w:pPr>
            <w:r>
              <w:rPr>
                <w:rFonts w:ascii="Arial" w:cs="Arial" w:eastAsia="Arial" w:hAnsi="Arial"/>
                <w:sz w:val="18"/>
                <w:szCs w:val="18"/>
                <w:color w:val="auto"/>
              </w:rPr>
              <w:t>3,822</w:t>
            </w: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Charge for the year</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152</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116</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87</w:t>
            </w: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Foreign currency movement</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(52)</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(98)</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(52)</w:t>
            </w: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4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0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942</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1,822</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1,211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3,975</w:t>
            </w:r>
          </w:p>
        </w:tc>
      </w:tr>
      <w:tr>
        <w:trPr>
          <w:trHeight w:val="27"/>
        </w:trPr>
        <w:tc>
          <w:tcPr>
            <w:tcW w:w="4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Net book value</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48</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111</w:t>
            </w:r>
          </w:p>
        </w:tc>
        <w:tc>
          <w:tcPr>
            <w:tcW w:w="1920" w:type="dxa"/>
            <w:vAlign w:val="bottom"/>
          </w:tcPr>
          <w:p>
            <w:pPr>
              <w:jc w:val="right"/>
              <w:ind w:right="430"/>
              <w:spacing w:after="0"/>
              <w:rPr>
                <w:sz w:val="20"/>
                <w:szCs w:val="20"/>
                <w:color w:val="auto"/>
              </w:rPr>
            </w:pPr>
            <w:r>
              <w:rPr>
                <w:rFonts w:ascii="Arial" w:cs="Arial" w:eastAsia="Arial" w:hAnsi="Arial"/>
                <w:sz w:val="18"/>
                <w:szCs w:val="18"/>
                <w:b w:val="1"/>
                <w:bCs w:val="1"/>
                <w:color w:val="auto"/>
              </w:rPr>
              <w:t>532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691</w:t>
            </w:r>
          </w:p>
        </w:tc>
      </w:tr>
      <w:tr>
        <w:trPr>
          <w:trHeight w:val="34"/>
        </w:trPr>
        <w:tc>
          <w:tcPr>
            <w:tcW w:w="4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85"/>
        </w:trPr>
        <w:tc>
          <w:tcPr>
            <w:tcW w:w="4620" w:type="dxa"/>
            <w:vAlign w:val="bottom"/>
          </w:tcPr>
          <w:p>
            <w:pPr>
              <w:ind w:left="40"/>
              <w:spacing w:after="0"/>
              <w:rPr>
                <w:sz w:val="20"/>
                <w:szCs w:val="20"/>
                <w:color w:val="auto"/>
              </w:rPr>
            </w:pPr>
            <w:r>
              <w:rPr>
                <w:rFonts w:ascii="Arial" w:cs="Arial" w:eastAsia="Arial" w:hAnsi="Arial"/>
                <w:sz w:val="18"/>
                <w:szCs w:val="18"/>
                <w:color w:val="auto"/>
              </w:rPr>
              <w:t>At 31 December 2017</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97</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141</w:t>
            </w: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34"/>
        </w:trPr>
        <w:tc>
          <w:tcPr>
            <w:tcW w:w="4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00"/>
          </w:cols>
          <w:pgMar w:left="240" w:top="874" w:right="459" w:bottom="1440" w:gutter="0" w:footer="0" w:header="0"/>
        </w:sectPr>
      </w:pPr>
    </w:p>
    <w:bookmarkStart w:id="29" w:name="page30"/>
    <w:bookmarkEnd w:id="29"/>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660"/>
              <w:spacing w:after="0"/>
              <w:rPr>
                <w:sz w:val="20"/>
                <w:szCs w:val="20"/>
                <w:color w:val="auto"/>
              </w:rPr>
            </w:pPr>
            <w:r>
              <w:rPr>
                <w:rFonts w:ascii="Arial" w:cs="Arial" w:eastAsia="Arial" w:hAnsi="Arial"/>
                <w:sz w:val="18"/>
                <w:szCs w:val="18"/>
                <w:b w:val="1"/>
                <w:bCs w:val="1"/>
                <w:color w:val="auto"/>
              </w:rPr>
              <w:t>11.  Intangible assets</w:t>
            </w:r>
          </w:p>
        </w:tc>
        <w:tc>
          <w:tcPr>
            <w:tcW w:w="5580" w:type="dxa"/>
            <w:vAlign w:val="bottom"/>
          </w:tcPr>
          <w:p>
            <w:pPr>
              <w:spacing w:after="0"/>
              <w:rPr>
                <w:sz w:val="20"/>
                <w:szCs w:val="20"/>
                <w:color w:val="auto"/>
              </w:rPr>
            </w:pPr>
          </w:p>
        </w:tc>
      </w:tr>
      <w:tr>
        <w:trPr>
          <w:trHeight w:val="574"/>
        </w:trPr>
        <w:tc>
          <w:tcPr>
            <w:tcW w:w="5100" w:type="dxa"/>
            <w:vAlign w:val="bottom"/>
          </w:tcPr>
          <w:p>
            <w:pPr>
              <w:spacing w:after="0"/>
              <w:rPr>
                <w:sz w:val="24"/>
                <w:szCs w:val="24"/>
                <w:color w:val="auto"/>
              </w:rPr>
            </w:pPr>
          </w:p>
        </w:tc>
        <w:tc>
          <w:tcPr>
            <w:tcW w:w="5580" w:type="dxa"/>
            <w:vAlign w:val="bottom"/>
          </w:tcPr>
          <w:p>
            <w:pPr>
              <w:jc w:val="right"/>
              <w:ind w:right="1210"/>
              <w:spacing w:after="0"/>
              <w:rPr>
                <w:sz w:val="20"/>
                <w:szCs w:val="20"/>
                <w:color w:val="auto"/>
              </w:rPr>
            </w:pPr>
            <w:r>
              <w:rPr>
                <w:rFonts w:ascii="Arial" w:cs="Arial" w:eastAsia="Arial" w:hAnsi="Arial"/>
                <w:sz w:val="18"/>
                <w:szCs w:val="18"/>
                <w:b w:val="1"/>
                <w:bCs w:val="1"/>
                <w:color w:val="auto"/>
              </w:rPr>
              <w:t>Computer Software</w:t>
            </w:r>
          </w:p>
        </w:tc>
      </w:tr>
      <w:tr>
        <w:trPr>
          <w:trHeight w:val="234"/>
        </w:trPr>
        <w:tc>
          <w:tcPr>
            <w:tcW w:w="5100" w:type="dxa"/>
            <w:vAlign w:val="bottom"/>
          </w:tcPr>
          <w:p>
            <w:pPr>
              <w:spacing w:after="0"/>
              <w:rPr>
                <w:sz w:val="20"/>
                <w:szCs w:val="20"/>
                <w:color w:val="auto"/>
              </w:rPr>
            </w:pPr>
          </w:p>
        </w:tc>
        <w:tc>
          <w:tcPr>
            <w:tcW w:w="55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Cost:</w:t>
            </w:r>
          </w:p>
        </w:tc>
        <w:tc>
          <w:tcPr>
            <w:tcW w:w="5580" w:type="dxa"/>
            <w:vAlign w:val="bottom"/>
          </w:tcPr>
          <w:p>
            <w:pPr>
              <w:spacing w:after="0"/>
              <w:rPr>
                <w:sz w:val="23"/>
                <w:szCs w:val="23"/>
                <w:color w:val="auto"/>
              </w:rPr>
            </w:pPr>
          </w:p>
        </w:tc>
      </w:tr>
      <w:tr>
        <w:trPr>
          <w:trHeight w:val="269"/>
        </w:trPr>
        <w:tc>
          <w:tcPr>
            <w:tcW w:w="5100" w:type="dxa"/>
            <w:vAlign w:val="bottom"/>
          </w:tcPr>
          <w:p>
            <w:pPr>
              <w:ind w:left="40"/>
              <w:spacing w:after="0"/>
              <w:rPr>
                <w:sz w:val="20"/>
                <w:szCs w:val="20"/>
                <w:color w:val="auto"/>
              </w:rPr>
            </w:pPr>
            <w:r>
              <w:rPr>
                <w:rFonts w:ascii="Arial" w:cs="Arial" w:eastAsia="Arial" w:hAnsi="Arial"/>
                <w:sz w:val="18"/>
                <w:szCs w:val="18"/>
                <w:color w:val="auto"/>
              </w:rPr>
              <w:t>At 1 January 2019</w:t>
            </w:r>
          </w:p>
        </w:tc>
        <w:tc>
          <w:tcPr>
            <w:tcW w:w="558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69"/>
        </w:trPr>
        <w:tc>
          <w:tcPr>
            <w:tcW w:w="51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5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9"/>
        </w:trPr>
        <w:tc>
          <w:tcPr>
            <w:tcW w:w="5100" w:type="dxa"/>
            <w:vAlign w:val="bottom"/>
          </w:tcPr>
          <w:p>
            <w:pPr>
              <w:ind w:left="40"/>
              <w:spacing w:after="0"/>
              <w:rPr>
                <w:sz w:val="20"/>
                <w:szCs w:val="20"/>
                <w:color w:val="auto"/>
              </w:rPr>
            </w:pPr>
            <w:r>
              <w:rPr>
                <w:rFonts w:ascii="Arial" w:cs="Arial" w:eastAsia="Arial" w:hAnsi="Arial"/>
                <w:sz w:val="18"/>
                <w:szCs w:val="18"/>
                <w:color w:val="auto"/>
              </w:rPr>
              <w:t>Foreign exchange movement</w:t>
            </w:r>
          </w:p>
        </w:tc>
        <w:tc>
          <w:tcPr>
            <w:tcW w:w="5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0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At 31 October 2019</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1,224</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Accumulated amortisation:</w:t>
            </w:r>
          </w:p>
        </w:tc>
        <w:tc>
          <w:tcPr>
            <w:tcW w:w="5680" w:type="dxa"/>
            <w:vAlign w:val="bottom"/>
          </w:tcPr>
          <w:p>
            <w:pPr>
              <w:spacing w:after="0"/>
              <w:rPr>
                <w:sz w:val="24"/>
                <w:szCs w:val="24"/>
                <w:color w:val="auto"/>
              </w:rPr>
            </w:pP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At 1 January 2019</w:t>
            </w:r>
          </w:p>
        </w:tc>
        <w:tc>
          <w:tcPr>
            <w:tcW w:w="568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Charge during the year</w:t>
            </w:r>
          </w:p>
        </w:tc>
        <w:tc>
          <w:tcPr>
            <w:tcW w:w="5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Foreign exchange movement</w:t>
            </w:r>
          </w:p>
        </w:tc>
        <w:tc>
          <w:tcPr>
            <w:tcW w:w="5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At 31 October 2019</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1,144</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Net book value:</w:t>
            </w:r>
          </w:p>
        </w:tc>
        <w:tc>
          <w:tcPr>
            <w:tcW w:w="5680" w:type="dxa"/>
            <w:vAlign w:val="bottom"/>
          </w:tcPr>
          <w:p>
            <w:pPr>
              <w:spacing w:after="0"/>
              <w:rPr>
                <w:sz w:val="24"/>
                <w:szCs w:val="24"/>
                <w:color w:val="auto"/>
              </w:rPr>
            </w:pP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At 31 October 2019</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34"/>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9"/>
        </w:trPr>
        <w:tc>
          <w:tcPr>
            <w:tcW w:w="5000" w:type="dxa"/>
            <w:vAlign w:val="bottom"/>
          </w:tcPr>
          <w:p>
            <w:pPr>
              <w:ind w:left="40"/>
              <w:spacing w:after="0"/>
              <w:rPr>
                <w:sz w:val="20"/>
                <w:szCs w:val="20"/>
                <w:color w:val="auto"/>
              </w:rPr>
            </w:pPr>
            <w:r>
              <w:rPr>
                <w:rFonts w:ascii="Arial" w:cs="Arial" w:eastAsia="Arial" w:hAnsi="Arial"/>
                <w:sz w:val="18"/>
                <w:szCs w:val="18"/>
                <w:color w:val="auto"/>
              </w:rPr>
              <w:t>At 31 December 2018</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34"/>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61"/>
        </w:trPr>
        <w:tc>
          <w:tcPr>
            <w:tcW w:w="5000" w:type="dxa"/>
            <w:vAlign w:val="bottom"/>
          </w:tcPr>
          <w:p>
            <w:pPr>
              <w:spacing w:after="0"/>
              <w:rPr>
                <w:sz w:val="24"/>
                <w:szCs w:val="24"/>
                <w:color w:val="auto"/>
              </w:rPr>
            </w:pPr>
          </w:p>
        </w:tc>
        <w:tc>
          <w:tcPr>
            <w:tcW w:w="5680" w:type="dxa"/>
            <w:vAlign w:val="bottom"/>
          </w:tcPr>
          <w:p>
            <w:pPr>
              <w:jc w:val="right"/>
              <w:ind w:right="1210"/>
              <w:spacing w:after="0"/>
              <w:rPr>
                <w:sz w:val="20"/>
                <w:szCs w:val="20"/>
                <w:color w:val="auto"/>
              </w:rPr>
            </w:pPr>
            <w:r>
              <w:rPr>
                <w:rFonts w:ascii="Arial" w:cs="Arial" w:eastAsia="Arial" w:hAnsi="Arial"/>
                <w:sz w:val="18"/>
                <w:szCs w:val="18"/>
                <w:b w:val="1"/>
                <w:bCs w:val="1"/>
                <w:color w:val="auto"/>
              </w:rPr>
              <w:t>Computer Software</w:t>
            </w:r>
          </w:p>
        </w:tc>
      </w:tr>
      <w:tr>
        <w:trPr>
          <w:trHeight w:val="234"/>
        </w:trPr>
        <w:tc>
          <w:tcPr>
            <w:tcW w:w="5000" w:type="dxa"/>
            <w:vAlign w:val="bottom"/>
          </w:tcPr>
          <w:p>
            <w:pPr>
              <w:spacing w:after="0"/>
              <w:rPr>
                <w:sz w:val="20"/>
                <w:szCs w:val="20"/>
                <w:color w:val="auto"/>
              </w:rPr>
            </w:pP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w:t>
            </w:r>
          </w:p>
        </w:tc>
        <w:tc>
          <w:tcPr>
            <w:tcW w:w="5680" w:type="dxa"/>
            <w:vAlign w:val="bottom"/>
          </w:tcPr>
          <w:p>
            <w:pPr>
              <w:spacing w:after="0"/>
              <w:rPr>
                <w:sz w:val="23"/>
                <w:szCs w:val="23"/>
                <w:color w:val="auto"/>
              </w:rPr>
            </w:pP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At 1 January 2018</w:t>
            </w:r>
          </w:p>
        </w:tc>
        <w:tc>
          <w:tcPr>
            <w:tcW w:w="568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56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Foreign exchange movement</w:t>
            </w:r>
          </w:p>
        </w:tc>
        <w:tc>
          <w:tcPr>
            <w:tcW w:w="5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1,228</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Accumulated amortisation:</w:t>
            </w:r>
          </w:p>
        </w:tc>
        <w:tc>
          <w:tcPr>
            <w:tcW w:w="5680" w:type="dxa"/>
            <w:vAlign w:val="bottom"/>
          </w:tcPr>
          <w:p>
            <w:pPr>
              <w:spacing w:after="0"/>
              <w:rPr>
                <w:sz w:val="24"/>
                <w:szCs w:val="24"/>
                <w:color w:val="auto"/>
              </w:rPr>
            </w:pP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At 1 January 2018</w:t>
            </w:r>
          </w:p>
        </w:tc>
        <w:tc>
          <w:tcPr>
            <w:tcW w:w="568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Charge during the year</w:t>
            </w:r>
          </w:p>
        </w:tc>
        <w:tc>
          <w:tcPr>
            <w:tcW w:w="5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color w:val="auto"/>
              </w:rPr>
              <w:t>Foreign exchange movement</w:t>
            </w:r>
          </w:p>
        </w:tc>
        <w:tc>
          <w:tcPr>
            <w:tcW w:w="5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r>
      <w:tr>
        <w:trPr>
          <w:trHeight w:val="27"/>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Net book value:</w:t>
            </w:r>
          </w:p>
        </w:tc>
        <w:tc>
          <w:tcPr>
            <w:tcW w:w="5680" w:type="dxa"/>
            <w:vAlign w:val="bottom"/>
          </w:tcPr>
          <w:p>
            <w:pPr>
              <w:spacing w:after="0"/>
              <w:rPr>
                <w:sz w:val="24"/>
                <w:szCs w:val="24"/>
                <w:color w:val="auto"/>
              </w:rPr>
            </w:pPr>
          </w:p>
        </w:tc>
      </w:tr>
      <w:tr>
        <w:trPr>
          <w:trHeight w:val="269"/>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568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34"/>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539"/>
        </w:trPr>
        <w:tc>
          <w:tcPr>
            <w:tcW w:w="5000" w:type="dxa"/>
            <w:vAlign w:val="bottom"/>
          </w:tcPr>
          <w:p>
            <w:pPr>
              <w:ind w:left="40"/>
              <w:spacing w:after="0"/>
              <w:rPr>
                <w:sz w:val="20"/>
                <w:szCs w:val="20"/>
                <w:color w:val="auto"/>
              </w:rPr>
            </w:pPr>
            <w:r>
              <w:rPr>
                <w:rFonts w:ascii="Arial" w:cs="Arial" w:eastAsia="Arial" w:hAnsi="Arial"/>
                <w:sz w:val="18"/>
                <w:szCs w:val="18"/>
                <w:color w:val="auto"/>
              </w:rPr>
              <w:t>At 31 December 2017</w:t>
            </w:r>
          </w:p>
        </w:tc>
        <w:tc>
          <w:tcPr>
            <w:tcW w:w="5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
        </w:trPr>
        <w:tc>
          <w:tcPr>
            <w:tcW w:w="500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680"/>
          </w:cols>
          <w:pgMar w:left="240" w:top="874" w:right="979" w:bottom="197" w:gutter="0" w:footer="0" w:header="0"/>
        </w:sectPr>
      </w:pPr>
    </w:p>
    <w:bookmarkStart w:id="30" w:name="page31"/>
    <w:bookmarkEnd w:id="30"/>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660"/>
              <w:spacing w:after="0"/>
              <w:rPr>
                <w:sz w:val="20"/>
                <w:szCs w:val="20"/>
                <w:color w:val="auto"/>
              </w:rPr>
            </w:pPr>
            <w:r>
              <w:rPr>
                <w:rFonts w:ascii="Arial" w:cs="Arial" w:eastAsia="Arial" w:hAnsi="Arial"/>
                <w:sz w:val="18"/>
                <w:szCs w:val="18"/>
                <w:b w:val="1"/>
                <w:bCs w:val="1"/>
                <w:color w:val="auto"/>
              </w:rPr>
              <w:t>12.   Investment in subsidiaries</w:t>
            </w:r>
          </w:p>
        </w:tc>
        <w:tc>
          <w:tcPr>
            <w:tcW w:w="4240" w:type="dxa"/>
            <w:vAlign w:val="bottom"/>
          </w:tcPr>
          <w:p>
            <w:pPr>
              <w:spacing w:after="0"/>
              <w:rPr>
                <w:sz w:val="20"/>
                <w:szCs w:val="20"/>
                <w:color w:val="auto"/>
              </w:rPr>
            </w:pPr>
          </w:p>
        </w:tc>
      </w:tr>
      <w:tr>
        <w:trPr>
          <w:trHeight w:val="574"/>
        </w:trPr>
        <w:tc>
          <w:tcPr>
            <w:tcW w:w="718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Investment in</w:t>
            </w:r>
          </w:p>
        </w:tc>
      </w:tr>
      <w:tr>
        <w:trPr>
          <w:trHeight w:val="216"/>
        </w:trPr>
        <w:tc>
          <w:tcPr>
            <w:tcW w:w="718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Subsidiary</w:t>
            </w:r>
          </w:p>
        </w:tc>
      </w:tr>
      <w:tr>
        <w:trPr>
          <w:trHeight w:val="216"/>
        </w:trPr>
        <w:tc>
          <w:tcPr>
            <w:tcW w:w="718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Undertakings</w:t>
            </w:r>
          </w:p>
        </w:tc>
      </w:tr>
      <w:tr>
        <w:trPr>
          <w:trHeight w:val="234"/>
        </w:trPr>
        <w:tc>
          <w:tcPr>
            <w:tcW w:w="718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Cost:</w:t>
            </w:r>
          </w:p>
        </w:tc>
        <w:tc>
          <w:tcPr>
            <w:tcW w:w="4240" w:type="dxa"/>
            <w:vAlign w:val="bottom"/>
          </w:tcPr>
          <w:p>
            <w:pPr>
              <w:spacing w:after="0"/>
              <w:rPr>
                <w:sz w:val="23"/>
                <w:szCs w:val="23"/>
                <w:color w:val="auto"/>
              </w:rPr>
            </w:pP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At 1 January 2018</w:t>
            </w:r>
          </w:p>
        </w:tc>
        <w:tc>
          <w:tcPr>
            <w:tcW w:w="4240" w:type="dxa"/>
            <w:vAlign w:val="bottom"/>
          </w:tcPr>
          <w:p>
            <w:pPr>
              <w:jc w:val="right"/>
              <w:spacing w:after="0"/>
              <w:rPr>
                <w:sz w:val="20"/>
                <w:szCs w:val="20"/>
                <w:color w:val="auto"/>
              </w:rPr>
            </w:pPr>
            <w:r>
              <w:rPr>
                <w:rFonts w:ascii="Arial" w:cs="Arial" w:eastAsia="Arial" w:hAnsi="Arial"/>
                <w:sz w:val="18"/>
                <w:szCs w:val="18"/>
                <w:color w:val="auto"/>
              </w:rPr>
              <w:t>293,934</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Disposals / repayments</w:t>
            </w:r>
          </w:p>
        </w:tc>
        <w:tc>
          <w:tcPr>
            <w:tcW w:w="42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Share-based payment</w:t>
            </w:r>
          </w:p>
        </w:tc>
        <w:tc>
          <w:tcPr>
            <w:tcW w:w="4240" w:type="dxa"/>
            <w:vAlign w:val="bottom"/>
          </w:tcPr>
          <w:p>
            <w:pPr>
              <w:jc w:val="right"/>
              <w:spacing w:after="0"/>
              <w:rPr>
                <w:sz w:val="20"/>
                <w:szCs w:val="20"/>
                <w:color w:val="auto"/>
              </w:rPr>
            </w:pPr>
            <w:r>
              <w:rPr>
                <w:rFonts w:ascii="Arial" w:cs="Arial" w:eastAsia="Arial" w:hAnsi="Arial"/>
                <w:sz w:val="18"/>
                <w:szCs w:val="18"/>
                <w:color w:val="auto"/>
              </w:rPr>
              <w:t>20,650</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Share subscription payment from subsidiary companies</w:t>
            </w:r>
          </w:p>
        </w:tc>
        <w:tc>
          <w:tcPr>
            <w:tcW w:w="4240" w:type="dxa"/>
            <w:vAlign w:val="bottom"/>
          </w:tcPr>
          <w:p>
            <w:pPr>
              <w:jc w:val="right"/>
              <w:spacing w:after="0"/>
              <w:rPr>
                <w:sz w:val="20"/>
                <w:szCs w:val="20"/>
                <w:color w:val="auto"/>
              </w:rPr>
            </w:pPr>
            <w:r>
              <w:rPr>
                <w:rFonts w:ascii="Arial" w:cs="Arial" w:eastAsia="Arial" w:hAnsi="Arial"/>
                <w:sz w:val="18"/>
                <w:szCs w:val="18"/>
                <w:color w:val="auto"/>
              </w:rPr>
              <w:t>(49,908)</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53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At 31 December 2018</w:t>
            </w:r>
          </w:p>
        </w:tc>
        <w:tc>
          <w:tcPr>
            <w:tcW w:w="4240" w:type="dxa"/>
            <w:vAlign w:val="bottom"/>
          </w:tcPr>
          <w:p>
            <w:pPr>
              <w:jc w:val="right"/>
              <w:spacing w:after="0"/>
              <w:rPr>
                <w:sz w:val="20"/>
                <w:szCs w:val="20"/>
                <w:color w:val="auto"/>
              </w:rPr>
            </w:pPr>
            <w:r>
              <w:rPr>
                <w:rFonts w:ascii="Arial" w:cs="Arial" w:eastAsia="Arial" w:hAnsi="Arial"/>
                <w:sz w:val="18"/>
                <w:szCs w:val="18"/>
                <w:color w:val="auto"/>
              </w:rPr>
              <w:t>264,347</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6"/>
        </w:trPr>
        <w:tc>
          <w:tcPr>
            <w:tcW w:w="7180" w:type="dxa"/>
            <w:vAlign w:val="bottom"/>
          </w:tcPr>
          <w:p>
            <w:pPr>
              <w:ind w:left="40"/>
              <w:spacing w:after="0"/>
              <w:rPr>
                <w:sz w:val="20"/>
                <w:szCs w:val="20"/>
                <w:color w:val="auto"/>
              </w:rPr>
            </w:pPr>
            <w:r>
              <w:rPr>
                <w:rFonts w:ascii="Arial" w:cs="Arial" w:eastAsia="Arial" w:hAnsi="Arial"/>
                <w:sz w:val="18"/>
                <w:szCs w:val="18"/>
                <w:color w:val="auto"/>
              </w:rPr>
              <w:t>Share-based payment</w:t>
            </w:r>
          </w:p>
        </w:tc>
        <w:tc>
          <w:tcPr>
            <w:tcW w:w="4240" w:type="dxa"/>
            <w:vAlign w:val="bottom"/>
          </w:tcPr>
          <w:p>
            <w:pPr>
              <w:jc w:val="right"/>
              <w:spacing w:after="0"/>
              <w:rPr>
                <w:sz w:val="20"/>
                <w:szCs w:val="20"/>
                <w:color w:val="auto"/>
              </w:rPr>
            </w:pPr>
            <w:r>
              <w:rPr>
                <w:rFonts w:ascii="Arial" w:cs="Arial" w:eastAsia="Arial" w:hAnsi="Arial"/>
                <w:sz w:val="18"/>
                <w:szCs w:val="18"/>
                <w:color w:val="auto"/>
              </w:rPr>
              <w:t>16,616</w:t>
            </w:r>
          </w:p>
        </w:tc>
      </w:tr>
      <w:tr>
        <w:trPr>
          <w:trHeight w:val="269"/>
        </w:trPr>
        <w:tc>
          <w:tcPr>
            <w:tcW w:w="7180" w:type="dxa"/>
            <w:vAlign w:val="bottom"/>
          </w:tcPr>
          <w:p>
            <w:pPr>
              <w:ind w:left="40"/>
              <w:spacing w:after="0"/>
              <w:rPr>
                <w:sz w:val="20"/>
                <w:szCs w:val="20"/>
                <w:color w:val="auto"/>
              </w:rPr>
            </w:pPr>
            <w:r>
              <w:rPr>
                <w:rFonts w:ascii="Arial" w:cs="Arial" w:eastAsia="Arial" w:hAnsi="Arial"/>
                <w:sz w:val="18"/>
                <w:szCs w:val="18"/>
                <w:color w:val="auto"/>
              </w:rPr>
              <w:t>Share subscription payment from subsidiary companies</w:t>
            </w:r>
          </w:p>
        </w:tc>
        <w:tc>
          <w:tcPr>
            <w:tcW w:w="4240" w:type="dxa"/>
            <w:vAlign w:val="bottom"/>
          </w:tcPr>
          <w:p>
            <w:pPr>
              <w:jc w:val="right"/>
              <w:spacing w:after="0"/>
              <w:rPr>
                <w:sz w:val="20"/>
                <w:szCs w:val="20"/>
                <w:color w:val="auto"/>
              </w:rPr>
            </w:pPr>
            <w:r>
              <w:rPr>
                <w:rFonts w:ascii="Arial" w:cs="Arial" w:eastAsia="Arial" w:hAnsi="Arial"/>
                <w:sz w:val="18"/>
                <w:szCs w:val="18"/>
                <w:color w:val="auto"/>
              </w:rPr>
              <w:t>(30,368)</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53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At 31 October 2019</w:t>
            </w: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250,595</w:t>
            </w:r>
          </w:p>
        </w:tc>
      </w:tr>
      <w:tr>
        <w:trPr>
          <w:trHeight w:val="155"/>
        </w:trPr>
        <w:tc>
          <w:tcPr>
            <w:tcW w:w="7180" w:type="dxa"/>
            <w:vAlign w:val="bottom"/>
            <w:tcBorders>
              <w:bottom w:val="single" w:sz="8" w:color="auto"/>
            </w:tcBorders>
          </w:tcPr>
          <w:p>
            <w:pPr>
              <w:spacing w:after="0"/>
              <w:rPr>
                <w:sz w:val="13"/>
                <w:szCs w:val="13"/>
                <w:color w:val="auto"/>
              </w:rPr>
            </w:pPr>
          </w:p>
        </w:tc>
        <w:tc>
          <w:tcPr>
            <w:tcW w:w="424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13" w:lineRule="exact"/>
        <w:rPr>
          <w:sz w:val="20"/>
          <w:szCs w:val="20"/>
          <w:color w:val="auto"/>
        </w:rPr>
      </w:pPr>
    </w:p>
    <w:p>
      <w:pPr>
        <w:ind w:left="1100" w:hanging="445"/>
        <w:spacing w:after="0"/>
        <w:tabs>
          <w:tab w:leader="none" w:pos="11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31 October</w:t>
            </w:r>
          </w:p>
        </w:tc>
        <w:tc>
          <w:tcPr>
            <w:tcW w:w="146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4920" w:type="dxa"/>
            <w:vAlign w:val="bottom"/>
          </w:tcPr>
          <w:p>
            <w:pPr>
              <w:spacing w:after="0"/>
              <w:rPr>
                <w:sz w:val="23"/>
                <w:szCs w:val="23"/>
                <w:color w:val="auto"/>
              </w:rPr>
            </w:pP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4920" w:type="dxa"/>
            <w:vAlign w:val="bottom"/>
          </w:tcPr>
          <w:p>
            <w:pPr>
              <w:spacing w:after="0"/>
              <w:rPr>
                <w:sz w:val="23"/>
                <w:szCs w:val="23"/>
                <w:color w:val="auto"/>
              </w:rPr>
            </w:pP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$’000</w:t>
            </w:r>
          </w:p>
        </w:tc>
        <w:tc>
          <w:tcPr>
            <w:tcW w:w="14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66"/>
        </w:trPr>
        <w:tc>
          <w:tcPr>
            <w:tcW w:w="4920" w:type="dxa"/>
            <w:vAlign w:val="bottom"/>
          </w:tcPr>
          <w:p>
            <w:pPr>
              <w:ind w:left="40"/>
              <w:spacing w:after="0"/>
              <w:rPr>
                <w:sz w:val="20"/>
                <w:szCs w:val="20"/>
                <w:color w:val="auto"/>
              </w:rPr>
            </w:pPr>
            <w:r>
              <w:rPr>
                <w:rFonts w:ascii="Arial" w:cs="Arial" w:eastAsia="Arial" w:hAnsi="Arial"/>
                <w:sz w:val="18"/>
                <w:szCs w:val="18"/>
                <w:color w:val="auto"/>
              </w:rPr>
              <w:t>Prepayments</w:t>
            </w: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1,221</w:t>
            </w: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69"/>
        </w:trPr>
        <w:tc>
          <w:tcPr>
            <w:tcW w:w="492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985</w:t>
            </w:r>
          </w:p>
        </w:tc>
        <w:tc>
          <w:tcPr>
            <w:tcW w:w="146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69"/>
        </w:trPr>
        <w:tc>
          <w:tcPr>
            <w:tcW w:w="49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657</w:t>
            </w:r>
          </w:p>
        </w:tc>
        <w:tc>
          <w:tcPr>
            <w:tcW w:w="146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7"/>
        </w:trPr>
        <w:tc>
          <w:tcPr>
            <w:tcW w:w="49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3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4960" w:type="dxa"/>
            <w:vAlign w:val="bottom"/>
          </w:tcPr>
          <w:p>
            <w:pPr>
              <w:jc w:val="right"/>
              <w:ind w:right="390"/>
              <w:spacing w:after="0"/>
              <w:rPr>
                <w:sz w:val="20"/>
                <w:szCs w:val="20"/>
                <w:color w:val="auto"/>
              </w:rPr>
            </w:pPr>
            <w:r>
              <w:rPr>
                <w:rFonts w:ascii="Arial" w:cs="Arial" w:eastAsia="Arial" w:hAnsi="Arial"/>
                <w:sz w:val="18"/>
                <w:szCs w:val="18"/>
                <w:b w:val="1"/>
                <w:bCs w:val="1"/>
                <w:color w:val="auto"/>
              </w:rPr>
              <w:t>2,863</w:t>
            </w:r>
          </w:p>
        </w:tc>
        <w:tc>
          <w:tcPr>
            <w:tcW w:w="1460" w:type="dxa"/>
            <w:vAlign w:val="bottom"/>
          </w:tcPr>
          <w:p>
            <w:pPr>
              <w:jc w:val="right"/>
              <w:spacing w:after="0"/>
              <w:rPr>
                <w:sz w:val="20"/>
                <w:szCs w:val="20"/>
                <w:color w:val="auto"/>
              </w:rPr>
            </w:pPr>
            <w:r>
              <w:rPr>
                <w:rFonts w:ascii="Arial" w:cs="Arial" w:eastAsia="Arial" w:hAnsi="Arial"/>
                <w:sz w:val="18"/>
                <w:szCs w:val="18"/>
                <w:color w:val="auto"/>
              </w:rPr>
              <w:t>2,138</w:t>
            </w:r>
          </w:p>
        </w:tc>
      </w:tr>
      <w:tr>
        <w:trPr>
          <w:trHeight w:val="34"/>
        </w:trPr>
        <w:tc>
          <w:tcPr>
            <w:tcW w:w="49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ind w:left="1100" w:hanging="445"/>
        <w:spacing w:after="0"/>
        <w:tabs>
          <w:tab w:leader="none" w:pos="11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100" w:type="dxa"/>
            <w:vAlign w:val="bottom"/>
          </w:tcPr>
          <w:p>
            <w:pPr>
              <w:ind w:left="2480"/>
              <w:spacing w:after="0"/>
              <w:rPr>
                <w:sz w:val="20"/>
                <w:szCs w:val="20"/>
                <w:color w:val="auto"/>
              </w:rPr>
            </w:pPr>
            <w:r>
              <w:rPr>
                <w:rFonts w:ascii="Arial" w:cs="Arial" w:eastAsia="Arial" w:hAnsi="Arial"/>
                <w:sz w:val="18"/>
                <w:szCs w:val="18"/>
                <w:b w:val="1"/>
                <w:bCs w:val="1"/>
                <w:color w:val="auto"/>
              </w:rPr>
              <w:t>31 October</w:t>
            </w:r>
          </w:p>
        </w:tc>
        <w:tc>
          <w:tcPr>
            <w:tcW w:w="2660" w:type="dxa"/>
            <w:vAlign w:val="bottom"/>
          </w:tcPr>
          <w:p>
            <w:pPr>
              <w:ind w:left="780"/>
              <w:spacing w:after="0"/>
              <w:rPr>
                <w:sz w:val="20"/>
                <w:szCs w:val="20"/>
                <w:color w:val="auto"/>
              </w:rPr>
            </w:pPr>
            <w:r>
              <w:rPr>
                <w:rFonts w:ascii="Arial" w:cs="Arial" w:eastAsia="Arial" w:hAnsi="Arial"/>
                <w:sz w:val="18"/>
                <w:szCs w:val="18"/>
                <w:color w:val="auto"/>
              </w:rPr>
              <w:t>31 December</w:t>
            </w:r>
          </w:p>
        </w:tc>
      </w:tr>
      <w:tr>
        <w:trPr>
          <w:trHeight w:val="269"/>
        </w:trPr>
        <w:tc>
          <w:tcPr>
            <w:tcW w:w="4580" w:type="dxa"/>
            <w:vAlign w:val="bottom"/>
          </w:tcPr>
          <w:p>
            <w:pPr>
              <w:spacing w:after="0"/>
              <w:rPr>
                <w:sz w:val="23"/>
                <w:szCs w:val="23"/>
                <w:color w:val="auto"/>
              </w:rPr>
            </w:pPr>
          </w:p>
        </w:tc>
        <w:tc>
          <w:tcPr>
            <w:tcW w:w="4100" w:type="dxa"/>
            <w:vAlign w:val="bottom"/>
          </w:tcPr>
          <w:p>
            <w:pPr>
              <w:ind w:left="2480"/>
              <w:spacing w:after="0"/>
              <w:rPr>
                <w:sz w:val="20"/>
                <w:szCs w:val="20"/>
                <w:color w:val="auto"/>
              </w:rPr>
            </w:pPr>
            <w:r>
              <w:rPr>
                <w:rFonts w:ascii="Arial" w:cs="Arial" w:eastAsia="Arial" w:hAnsi="Arial"/>
                <w:sz w:val="18"/>
                <w:szCs w:val="18"/>
                <w:b w:val="1"/>
                <w:bCs w:val="1"/>
                <w:color w:val="auto"/>
              </w:rPr>
              <w:t>2019</w:t>
            </w:r>
          </w:p>
        </w:tc>
        <w:tc>
          <w:tcPr>
            <w:tcW w:w="2660" w:type="dxa"/>
            <w:vAlign w:val="bottom"/>
          </w:tcPr>
          <w:p>
            <w:pPr>
              <w:ind w:left="780"/>
              <w:spacing w:after="0"/>
              <w:rPr>
                <w:sz w:val="20"/>
                <w:szCs w:val="20"/>
                <w:color w:val="auto"/>
              </w:rPr>
            </w:pPr>
            <w:r>
              <w:rPr>
                <w:rFonts w:ascii="Arial" w:cs="Arial" w:eastAsia="Arial" w:hAnsi="Arial"/>
                <w:sz w:val="18"/>
                <w:szCs w:val="18"/>
                <w:color w:val="auto"/>
              </w:rPr>
              <w:t>2018</w:t>
            </w:r>
          </w:p>
        </w:tc>
      </w:tr>
      <w:tr>
        <w:trPr>
          <w:trHeight w:val="269"/>
        </w:trPr>
        <w:tc>
          <w:tcPr>
            <w:tcW w:w="4580" w:type="dxa"/>
            <w:vAlign w:val="bottom"/>
          </w:tcPr>
          <w:p>
            <w:pPr>
              <w:spacing w:after="0"/>
              <w:rPr>
                <w:sz w:val="23"/>
                <w:szCs w:val="23"/>
                <w:color w:val="auto"/>
              </w:rPr>
            </w:pPr>
          </w:p>
        </w:tc>
        <w:tc>
          <w:tcPr>
            <w:tcW w:w="4100" w:type="dxa"/>
            <w:vAlign w:val="bottom"/>
          </w:tcPr>
          <w:p>
            <w:pPr>
              <w:ind w:left="2480"/>
              <w:spacing w:after="0"/>
              <w:rPr>
                <w:sz w:val="20"/>
                <w:szCs w:val="20"/>
                <w:color w:val="auto"/>
              </w:rPr>
            </w:pPr>
            <w:r>
              <w:rPr>
                <w:rFonts w:ascii="Arial" w:cs="Arial" w:eastAsia="Arial" w:hAnsi="Arial"/>
                <w:sz w:val="18"/>
                <w:szCs w:val="18"/>
                <w:b w:val="1"/>
                <w:bCs w:val="1"/>
                <w:color w:val="auto"/>
              </w:rPr>
              <w:t>$’000</w:t>
            </w:r>
          </w:p>
        </w:tc>
        <w:tc>
          <w:tcPr>
            <w:tcW w:w="2660" w:type="dxa"/>
            <w:vAlign w:val="bottom"/>
          </w:tcPr>
          <w:p>
            <w:pPr>
              <w:ind w:left="780"/>
              <w:spacing w:after="0"/>
              <w:rPr>
                <w:sz w:val="20"/>
                <w:szCs w:val="20"/>
                <w:color w:val="auto"/>
              </w:rPr>
            </w:pPr>
            <w:r>
              <w:rPr>
                <w:rFonts w:ascii="Arial" w:cs="Arial" w:eastAsia="Arial" w:hAnsi="Arial"/>
                <w:sz w:val="18"/>
                <w:szCs w:val="18"/>
                <w:color w:val="auto"/>
              </w:rPr>
              <w:t>$’000</w:t>
            </w:r>
          </w:p>
        </w:tc>
      </w:tr>
      <w:tr>
        <w:trPr>
          <w:trHeight w:val="566"/>
        </w:trPr>
        <w:tc>
          <w:tcPr>
            <w:tcW w:w="4580" w:type="dxa"/>
            <w:vAlign w:val="bottom"/>
          </w:tcPr>
          <w:p>
            <w:pPr>
              <w:ind w:left="40"/>
              <w:spacing w:after="0"/>
              <w:rPr>
                <w:sz w:val="20"/>
                <w:szCs w:val="20"/>
                <w:color w:val="auto"/>
              </w:rPr>
            </w:pPr>
            <w:r>
              <w:rPr>
                <w:rFonts w:ascii="Arial" w:cs="Arial" w:eastAsia="Arial" w:hAnsi="Arial"/>
                <w:sz w:val="18"/>
                <w:szCs w:val="18"/>
                <w:color w:val="auto"/>
              </w:rPr>
              <w:t>Accruals and other liabilities</w:t>
            </w:r>
          </w:p>
        </w:tc>
        <w:tc>
          <w:tcPr>
            <w:tcW w:w="4100" w:type="dxa"/>
            <w:vAlign w:val="bottom"/>
          </w:tcPr>
          <w:p>
            <w:pPr>
              <w:ind w:left="2480"/>
              <w:spacing w:after="0"/>
              <w:rPr>
                <w:sz w:val="20"/>
                <w:szCs w:val="20"/>
                <w:color w:val="auto"/>
              </w:rPr>
            </w:pPr>
            <w:r>
              <w:rPr>
                <w:rFonts w:ascii="Arial" w:cs="Arial" w:eastAsia="Arial" w:hAnsi="Arial"/>
                <w:sz w:val="18"/>
                <w:szCs w:val="18"/>
                <w:b w:val="1"/>
                <w:bCs w:val="1"/>
                <w:color w:val="auto"/>
              </w:rPr>
              <w:t>10,437</w:t>
            </w:r>
          </w:p>
        </w:tc>
        <w:tc>
          <w:tcPr>
            <w:tcW w:w="2660" w:type="dxa"/>
            <w:vAlign w:val="bottom"/>
          </w:tcPr>
          <w:p>
            <w:pPr>
              <w:ind w:left="780"/>
              <w:spacing w:after="0"/>
              <w:rPr>
                <w:sz w:val="20"/>
                <w:szCs w:val="20"/>
                <w:color w:val="auto"/>
              </w:rPr>
            </w:pPr>
            <w:r>
              <w:rPr>
                <w:rFonts w:ascii="Arial" w:cs="Arial" w:eastAsia="Arial" w:hAnsi="Arial"/>
                <w:sz w:val="18"/>
                <w:szCs w:val="18"/>
                <w:color w:val="auto"/>
              </w:rPr>
              <w:t>11,907</w:t>
            </w:r>
          </w:p>
        </w:tc>
      </w:tr>
      <w:tr>
        <w:trPr>
          <w:trHeight w:val="34"/>
        </w:trPr>
        <w:tc>
          <w:tcPr>
            <w:tcW w:w="45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874" w:right="239" w:bottom="1440" w:gutter="0" w:footer="0" w:header="0"/>
        </w:sectPr>
      </w:pPr>
    </w:p>
    <w:bookmarkStart w:id="31" w:name="page32"/>
    <w:bookmarkEnd w:id="31"/>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940" w:type="dxa"/>
            <w:vAlign w:val="bottom"/>
          </w:tcPr>
          <w:p>
            <w:pPr>
              <w:ind w:left="580"/>
              <w:spacing w:after="0"/>
              <w:rPr>
                <w:sz w:val="20"/>
                <w:szCs w:val="20"/>
                <w:color w:val="auto"/>
              </w:rPr>
            </w:pPr>
            <w:r>
              <w:rPr>
                <w:rFonts w:ascii="Arial" w:cs="Arial" w:eastAsia="Arial" w:hAnsi="Arial"/>
                <w:sz w:val="18"/>
                <w:szCs w:val="18"/>
                <w:b w:val="1"/>
                <w:bCs w:val="1"/>
                <w:color w:val="auto"/>
              </w:rPr>
              <w:t>15.   Share capital</w:t>
            </w: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889"/>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Authorised share capital:</w:t>
            </w:r>
          </w:p>
        </w:tc>
        <w:tc>
          <w:tcPr>
            <w:tcW w:w="24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w w:val="96"/>
              </w:rPr>
              <w:t>No. of Ordinary Shares</w:t>
            </w:r>
          </w:p>
        </w:tc>
      </w:tr>
      <w:tr>
        <w:trPr>
          <w:trHeight w:val="566"/>
        </w:trPr>
        <w:tc>
          <w:tcPr>
            <w:tcW w:w="6940" w:type="dxa"/>
            <w:vAlign w:val="bottom"/>
          </w:tcPr>
          <w:p>
            <w:pPr>
              <w:ind w:left="40"/>
              <w:spacing w:after="0"/>
              <w:rPr>
                <w:sz w:val="20"/>
                <w:szCs w:val="20"/>
                <w:color w:val="auto"/>
              </w:rPr>
            </w:pPr>
            <w:r>
              <w:rPr>
                <w:rFonts w:ascii="Arial" w:cs="Arial" w:eastAsia="Arial" w:hAnsi="Arial"/>
                <w:sz w:val="18"/>
                <w:szCs w:val="18"/>
                <w:color w:val="auto"/>
              </w:rPr>
              <w:t>Ordinary shares of par value €0.06</w:t>
            </w:r>
          </w:p>
        </w:tc>
        <w:tc>
          <w:tcPr>
            <w:tcW w:w="24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100,000,000</w:t>
            </w:r>
          </w:p>
        </w:tc>
      </w:tr>
      <w:tr>
        <w:trPr>
          <w:trHeight w:val="34"/>
        </w:trPr>
        <w:tc>
          <w:tcPr>
            <w:tcW w:w="6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539"/>
        </w:trPr>
        <w:tc>
          <w:tcPr>
            <w:tcW w:w="6940" w:type="dxa"/>
            <w:vAlign w:val="bottom"/>
          </w:tcPr>
          <w:p>
            <w:pPr>
              <w:spacing w:after="0"/>
              <w:rPr>
                <w:sz w:val="24"/>
                <w:szCs w:val="24"/>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31 October</w:t>
            </w:r>
          </w:p>
        </w:tc>
        <w:tc>
          <w:tcPr>
            <w:tcW w:w="194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6940" w:type="dxa"/>
            <w:vAlign w:val="bottom"/>
          </w:tcPr>
          <w:p>
            <w:pPr>
              <w:spacing w:after="0"/>
              <w:rPr>
                <w:sz w:val="23"/>
                <w:szCs w:val="23"/>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94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6940" w:type="dxa"/>
            <w:vAlign w:val="bottom"/>
          </w:tcPr>
          <w:p>
            <w:pPr>
              <w:spacing w:after="0"/>
              <w:rPr>
                <w:sz w:val="23"/>
                <w:szCs w:val="23"/>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9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52"/>
        </w:trPr>
        <w:tc>
          <w:tcPr>
            <w:tcW w:w="6940" w:type="dxa"/>
            <w:vAlign w:val="bottom"/>
          </w:tcPr>
          <w:p>
            <w:pPr>
              <w:ind w:left="60"/>
              <w:spacing w:after="0"/>
              <w:rPr>
                <w:sz w:val="20"/>
                <w:szCs w:val="20"/>
                <w:color w:val="auto"/>
              </w:rPr>
            </w:pPr>
            <w:r>
              <w:rPr>
                <w:rFonts w:ascii="Arial" w:cs="Arial" w:eastAsia="Arial" w:hAnsi="Arial"/>
                <w:sz w:val="18"/>
                <w:szCs w:val="18"/>
                <w:b w:val="1"/>
                <w:bCs w:val="1"/>
                <w:color w:val="auto"/>
              </w:rPr>
              <w:t>Allotted, called up and fully paid</w:t>
            </w: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9"/>
        </w:trPr>
        <w:tc>
          <w:tcPr>
            <w:tcW w:w="6940" w:type="dxa"/>
            <w:vAlign w:val="bottom"/>
          </w:tcPr>
          <w:p>
            <w:pPr>
              <w:ind w:left="60"/>
              <w:spacing w:after="0"/>
              <w:rPr>
                <w:sz w:val="20"/>
                <w:szCs w:val="20"/>
                <w:color w:val="auto"/>
              </w:rPr>
            </w:pPr>
            <w:r>
              <w:rPr>
                <w:rFonts w:ascii="Arial" w:cs="Arial" w:eastAsia="Arial" w:hAnsi="Arial"/>
                <w:sz w:val="18"/>
                <w:szCs w:val="18"/>
                <w:color w:val="auto"/>
              </w:rPr>
              <w:t>53,641,334 (31 December 2018: 53,971,706) ordinary shares of €0.06 each</w:t>
            </w: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4,637</w:t>
            </w:r>
          </w:p>
        </w:tc>
        <w:tc>
          <w:tcPr>
            <w:tcW w:w="194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34"/>
        </w:trPr>
        <w:tc>
          <w:tcPr>
            <w:tcW w:w="6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822"/>
        </w:trPr>
        <w:tc>
          <w:tcPr>
            <w:tcW w:w="6940" w:type="dxa"/>
            <w:vAlign w:val="bottom"/>
          </w:tcPr>
          <w:p>
            <w:pPr>
              <w:spacing w:after="0"/>
              <w:rPr>
                <w:sz w:val="24"/>
                <w:szCs w:val="24"/>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31 October</w:t>
            </w:r>
          </w:p>
        </w:tc>
        <w:tc>
          <w:tcPr>
            <w:tcW w:w="194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6940" w:type="dxa"/>
            <w:vAlign w:val="bottom"/>
          </w:tcPr>
          <w:p>
            <w:pPr>
              <w:spacing w:after="0"/>
              <w:rPr>
                <w:sz w:val="23"/>
                <w:szCs w:val="23"/>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94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6940" w:type="dxa"/>
            <w:vAlign w:val="bottom"/>
          </w:tcPr>
          <w:p>
            <w:pPr>
              <w:spacing w:after="0"/>
              <w:rPr>
                <w:sz w:val="23"/>
                <w:szCs w:val="23"/>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9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52"/>
        </w:trPr>
        <w:tc>
          <w:tcPr>
            <w:tcW w:w="6940" w:type="dxa"/>
            <w:vAlign w:val="bottom"/>
          </w:tcPr>
          <w:p>
            <w:pPr>
              <w:ind w:left="60"/>
              <w:spacing w:after="0"/>
              <w:rPr>
                <w:sz w:val="20"/>
                <w:szCs w:val="20"/>
                <w:color w:val="auto"/>
              </w:rPr>
            </w:pPr>
            <w:r>
              <w:rPr>
                <w:rFonts w:ascii="Arial" w:cs="Arial" w:eastAsia="Arial" w:hAnsi="Arial"/>
                <w:sz w:val="18"/>
                <w:szCs w:val="18"/>
                <w:b w:val="1"/>
                <w:bCs w:val="1"/>
                <w:color w:val="auto"/>
              </w:rPr>
              <w:t>Issued, fully paid share capital</w:t>
            </w: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9"/>
        </w:trPr>
        <w:tc>
          <w:tcPr>
            <w:tcW w:w="6940" w:type="dxa"/>
            <w:vAlign w:val="bottom"/>
          </w:tcPr>
          <w:p>
            <w:pPr>
              <w:ind w:left="60"/>
              <w:spacing w:after="0"/>
              <w:rPr>
                <w:sz w:val="20"/>
                <w:szCs w:val="20"/>
                <w:color w:val="auto"/>
              </w:rPr>
            </w:pPr>
            <w:r>
              <w:rPr>
                <w:rFonts w:ascii="Arial" w:cs="Arial" w:eastAsia="Arial" w:hAnsi="Arial"/>
                <w:sz w:val="18"/>
                <w:szCs w:val="18"/>
                <w:color w:val="auto"/>
              </w:rPr>
              <w:t>At beginning of year</w:t>
            </w: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4,658</w:t>
            </w:r>
          </w:p>
        </w:tc>
        <w:tc>
          <w:tcPr>
            <w:tcW w:w="1940" w:type="dxa"/>
            <w:vAlign w:val="bottom"/>
          </w:tcPr>
          <w:p>
            <w:pPr>
              <w:jc w:val="right"/>
              <w:spacing w:after="0"/>
              <w:rPr>
                <w:sz w:val="20"/>
                <w:szCs w:val="20"/>
                <w:color w:val="auto"/>
              </w:rPr>
            </w:pPr>
            <w:r>
              <w:rPr>
                <w:rFonts w:ascii="Arial" w:cs="Arial" w:eastAsia="Arial" w:hAnsi="Arial"/>
                <w:sz w:val="18"/>
                <w:szCs w:val="18"/>
                <w:color w:val="auto"/>
              </w:rPr>
              <w:t>4,664</w:t>
            </w:r>
          </w:p>
        </w:tc>
      </w:tr>
      <w:tr>
        <w:trPr>
          <w:trHeight w:val="269"/>
        </w:trPr>
        <w:tc>
          <w:tcPr>
            <w:tcW w:w="6940" w:type="dxa"/>
            <w:vAlign w:val="bottom"/>
          </w:tcPr>
          <w:p>
            <w:pPr>
              <w:ind w:left="60"/>
              <w:spacing w:after="0"/>
              <w:rPr>
                <w:sz w:val="20"/>
                <w:szCs w:val="20"/>
                <w:color w:val="auto"/>
              </w:rPr>
            </w:pPr>
            <w:r>
              <w:rPr>
                <w:rFonts w:ascii="Arial" w:cs="Arial" w:eastAsia="Arial" w:hAnsi="Arial"/>
                <w:sz w:val="18"/>
                <w:szCs w:val="18"/>
                <w:color w:val="auto"/>
              </w:rPr>
              <w:t>Employee share options exercised</w:t>
            </w: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9"/>
        </w:trPr>
        <w:tc>
          <w:tcPr>
            <w:tcW w:w="6940" w:type="dxa"/>
            <w:vAlign w:val="bottom"/>
          </w:tcPr>
          <w:p>
            <w:pPr>
              <w:ind w:left="60"/>
              <w:spacing w:after="0"/>
              <w:rPr>
                <w:sz w:val="20"/>
                <w:szCs w:val="20"/>
                <w:color w:val="auto"/>
              </w:rPr>
            </w:pPr>
            <w:r>
              <w:rPr>
                <w:rFonts w:ascii="Arial" w:cs="Arial" w:eastAsia="Arial" w:hAnsi="Arial"/>
                <w:sz w:val="18"/>
                <w:szCs w:val="18"/>
                <w:color w:val="auto"/>
              </w:rPr>
              <w:t>Repurchase of ordinary shares</w:t>
            </w: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(67)</w:t>
            </w:r>
          </w:p>
        </w:tc>
        <w:tc>
          <w:tcPr>
            <w:tcW w:w="1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519"/>
        </w:trPr>
        <w:tc>
          <w:tcPr>
            <w:tcW w:w="6940" w:type="dxa"/>
            <w:vAlign w:val="bottom"/>
          </w:tcPr>
          <w:p>
            <w:pPr>
              <w:ind w:left="40"/>
              <w:spacing w:after="0"/>
              <w:rPr>
                <w:sz w:val="20"/>
                <w:szCs w:val="20"/>
                <w:color w:val="auto"/>
              </w:rPr>
            </w:pPr>
            <w:r>
              <w:rPr>
                <w:rFonts w:ascii="Arial" w:cs="Arial" w:eastAsia="Arial" w:hAnsi="Arial"/>
                <w:sz w:val="18"/>
                <w:szCs w:val="18"/>
                <w:color w:val="auto"/>
              </w:rPr>
              <w:t>At end of year</w:t>
            </w: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rPr>
              <w:t>4,637</w:t>
            </w:r>
          </w:p>
        </w:tc>
        <w:tc>
          <w:tcPr>
            <w:tcW w:w="194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34"/>
        </w:trPr>
        <w:tc>
          <w:tcPr>
            <w:tcW w:w="6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Ordinary Shares</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issues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the period ended 31 October 2019, 318,463 options were exercised by employees for total proceeds of $21.0 million. During the period ended 31 October 2019, 351,165 ordinary shares were issued in respect of certain RSU’s previously awarded by the Company.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the year ended 31 December 2018, 408,699 options were exercised by employees for total proceeds of $16.8 million. During the year ended 31 December 2018, 489,568 ordinary shares were issued in respect of certain RSU’s previously awarded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874" w:right="239" w:bottom="1440" w:gutter="0" w:footer="0" w:header="0"/>
        </w:sectPr>
      </w:pPr>
    </w:p>
    <w:bookmarkStart w:id="32" w:name="page33"/>
    <w:bookmarkEnd w:id="32"/>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0" w:hanging="445"/>
        <w:spacing w:after="0"/>
        <w:tabs>
          <w:tab w:leader="none" w:pos="11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2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Share repurchase programme</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and July 23, 2019. On October 3, 2016, the Company commenced the share buyback program of up to $400 million. At December 31, 2018, a total of 4,026,576 ordinary shares were redeemed by the Company under this buyback program for a total consideration of $372.1 million. On January 8, 2019, the Company commenced a further share buyback program of up to 1.0 million shares. At September 30, 2019 a total of 1.0 million ordinary shares were redeemed by the Company under this buyback program for a total consideration of $141.6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191" w:lineRule="exact"/>
        <w:rPr>
          <w:sz w:val="20"/>
          <w:szCs w:val="20"/>
          <w:color w:val="auto"/>
        </w:rPr>
      </w:pPr>
    </w:p>
    <w:p>
      <w:pPr>
        <w:ind w:left="1100" w:hanging="445"/>
        <w:spacing w:after="0"/>
        <w:tabs>
          <w:tab w:leader="none" w:pos="11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Capital and reserves</w:t>
      </w:r>
    </w:p>
    <w:p>
      <w:pPr>
        <w:spacing w:after="0" w:line="22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Share-based payment reserve</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Share-based payment reserve is used to account for share-based payments. The grant date fair value of share-based awards is calculated using a binomial model and recorded in the Company financial statements over the period the related service is received, as an expense in the income statement in respect of awards to Company employees and as a financial asset in respect of awards to other Group employees, with a corresponding increase in the share-based payments reserve in both cases. On exercise or forfeiture of the award, an amount equal to the grant date fair value is transferred from the share-based payments reserve to retained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redemption reserve</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Capital redemption reserve comprises the nominal value of shares repurchased and cancelled by the Group and transferred from share capital to the capital redemption reserve fund, as required under Irish Company Law. During the period ended 31 October 2019 1,000,000 (31 December 2018: 1,008,162) ordinary shares were repurchased and cancelled by the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reserve</w:t>
      </w:r>
    </w:p>
    <w:p>
      <w:pPr>
        <w:spacing w:after="0" w:line="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foreign currency denominated operations of the Group since 1 June 2004, the date of transition to IFRS.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Retained earnings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31 October 2019, the Company redeemed a total of 1,000,000 ordinary shares for total consideration of $141.6 million (2018: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1,008,162 ordinary shares were repurchased by the Group for a total consideration of $129.0 million).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00"/>
          </w:cols>
          <w:pgMar w:left="240" w:top="874" w:right="259" w:bottom="1440" w:gutter="0" w:footer="0" w:header="0"/>
        </w:sectPr>
      </w:pPr>
    </w:p>
    <w:bookmarkStart w:id="33" w:name="page34"/>
    <w:bookmarkEnd w:id="33"/>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60" w:type="dxa"/>
            <w:vAlign w:val="bottom"/>
            <w:gridSpan w:val="2"/>
          </w:tcPr>
          <w:p>
            <w:pPr>
              <w:ind w:left="520"/>
              <w:spacing w:after="0"/>
              <w:rPr>
                <w:sz w:val="20"/>
                <w:szCs w:val="20"/>
                <w:color w:val="auto"/>
              </w:rPr>
            </w:pPr>
            <w:r>
              <w:rPr>
                <w:rFonts w:ascii="Arial" w:cs="Arial" w:eastAsia="Arial" w:hAnsi="Arial"/>
                <w:sz w:val="18"/>
                <w:szCs w:val="18"/>
                <w:b w:val="1"/>
                <w:bCs w:val="1"/>
                <w:color w:val="auto"/>
              </w:rPr>
              <w:t>17.  Related parties</w:t>
            </w:r>
          </w:p>
        </w:tc>
        <w:tc>
          <w:tcPr>
            <w:tcW w:w="2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7"/>
        </w:trPr>
        <w:tc>
          <w:tcPr>
            <w:tcW w:w="7600" w:type="dxa"/>
            <w:vAlign w:val="bottom"/>
            <w:gridSpan w:val="4"/>
          </w:tcPr>
          <w:p>
            <w:pPr>
              <w:spacing w:after="0"/>
              <w:rPr>
                <w:sz w:val="20"/>
                <w:szCs w:val="20"/>
                <w:color w:val="auto"/>
              </w:rPr>
            </w:pPr>
            <w:r>
              <w:rPr>
                <w:rFonts w:ascii="Arial" w:cs="Arial" w:eastAsia="Arial" w:hAnsi="Arial"/>
                <w:sz w:val="18"/>
                <w:szCs w:val="18"/>
                <w:color w:val="auto"/>
                <w:w w:val="97"/>
              </w:rPr>
              <w:t>The Company entered into the following transactions with subsidiary companies during the period:</w:t>
            </w:r>
          </w:p>
        </w:tc>
        <w:tc>
          <w:tcPr>
            <w:tcW w:w="2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6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2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7"/>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Period ended</w:t>
            </w:r>
          </w:p>
        </w:tc>
        <w:tc>
          <w:tcPr>
            <w:tcW w:w="164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9"/>
        </w:trPr>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31 October</w:t>
            </w:r>
          </w:p>
        </w:tc>
        <w:tc>
          <w:tcPr>
            <w:tcW w:w="164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69"/>
        </w:trPr>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69"/>
        </w:trPr>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$’000</w:t>
            </w:r>
          </w:p>
        </w:tc>
        <w:tc>
          <w:tcPr>
            <w:tcW w:w="1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Income Statement:</w:t>
            </w:r>
          </w:p>
        </w:tc>
        <w:tc>
          <w:tcPr>
            <w:tcW w:w="60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90"/>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Expenses recharged to subsidiary companies</w:t>
            </w: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8,281</w:t>
            </w:r>
          </w:p>
        </w:tc>
        <w:tc>
          <w:tcPr>
            <w:tcW w:w="1640" w:type="dxa"/>
            <w:vAlign w:val="bottom"/>
          </w:tcPr>
          <w:p>
            <w:pPr>
              <w:jc w:val="right"/>
              <w:spacing w:after="0"/>
              <w:rPr>
                <w:sz w:val="20"/>
                <w:szCs w:val="20"/>
                <w:color w:val="auto"/>
              </w:rPr>
            </w:pPr>
            <w:r>
              <w:rPr>
                <w:rFonts w:ascii="Arial" w:cs="Arial" w:eastAsia="Arial" w:hAnsi="Arial"/>
                <w:sz w:val="18"/>
                <w:szCs w:val="18"/>
                <w:color w:val="auto"/>
              </w:rPr>
              <w:t>6,984</w:t>
            </w:r>
          </w:p>
        </w:tc>
      </w:tr>
      <w:tr>
        <w:trPr>
          <w:trHeight w:val="269"/>
        </w:trPr>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Dividends received from subsidiary undertakings -</w:t>
            </w: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177,689</w:t>
            </w:r>
          </w:p>
        </w:tc>
        <w:tc>
          <w:tcPr>
            <w:tcW w:w="1640" w:type="dxa"/>
            <w:vAlign w:val="bottom"/>
          </w:tcPr>
          <w:p>
            <w:pPr>
              <w:jc w:val="right"/>
              <w:spacing w:after="0"/>
              <w:rPr>
                <w:sz w:val="20"/>
                <w:szCs w:val="20"/>
                <w:color w:val="auto"/>
              </w:rPr>
            </w:pPr>
            <w:r>
              <w:rPr>
                <w:rFonts w:ascii="Arial" w:cs="Arial" w:eastAsia="Arial" w:hAnsi="Arial"/>
                <w:sz w:val="18"/>
                <w:szCs w:val="18"/>
                <w:color w:val="auto"/>
              </w:rPr>
              <w:t>172,274</w:t>
            </w:r>
          </w:p>
        </w:tc>
      </w:tr>
      <w:tr>
        <w:trPr>
          <w:trHeight w:val="27"/>
        </w:trPr>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533"/>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185,970</w:t>
            </w:r>
          </w:p>
        </w:tc>
        <w:tc>
          <w:tcPr>
            <w:tcW w:w="1640" w:type="dxa"/>
            <w:vAlign w:val="bottom"/>
          </w:tcPr>
          <w:p>
            <w:pPr>
              <w:jc w:val="right"/>
              <w:spacing w:after="0"/>
              <w:rPr>
                <w:sz w:val="20"/>
                <w:szCs w:val="20"/>
                <w:color w:val="auto"/>
              </w:rPr>
            </w:pPr>
            <w:r>
              <w:rPr>
                <w:rFonts w:ascii="Arial" w:cs="Arial" w:eastAsia="Arial" w:hAnsi="Arial"/>
                <w:sz w:val="18"/>
                <w:szCs w:val="18"/>
                <w:color w:val="auto"/>
              </w:rPr>
              <w:t>179,258</w:t>
            </w:r>
          </w:p>
        </w:tc>
      </w:tr>
      <w:tr>
        <w:trPr>
          <w:trHeight w:val="34"/>
        </w:trPr>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593"/>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 Statement</w:t>
            </w:r>
          </w:p>
        </w:tc>
        <w:tc>
          <w:tcPr>
            <w:tcW w:w="2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9"/>
        </w:trPr>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(Increase)/decrease in amounts due from subsidiary undertakings</w:t>
            </w: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(83,278)</w:t>
            </w:r>
          </w:p>
        </w:tc>
        <w:tc>
          <w:tcPr>
            <w:tcW w:w="1640" w:type="dxa"/>
            <w:vAlign w:val="bottom"/>
          </w:tcPr>
          <w:p>
            <w:pPr>
              <w:jc w:val="right"/>
              <w:spacing w:after="0"/>
              <w:rPr>
                <w:sz w:val="20"/>
                <w:szCs w:val="20"/>
                <w:color w:val="auto"/>
              </w:rPr>
            </w:pPr>
            <w:r>
              <w:rPr>
                <w:rFonts w:ascii="Arial" w:cs="Arial" w:eastAsia="Arial" w:hAnsi="Arial"/>
                <w:sz w:val="18"/>
                <w:szCs w:val="18"/>
                <w:color w:val="auto"/>
              </w:rPr>
              <w:t>13,954</w:t>
            </w:r>
          </w:p>
        </w:tc>
      </w:tr>
      <w:tr>
        <w:trPr>
          <w:trHeight w:val="27"/>
        </w:trPr>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519"/>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(83,278)</w:t>
            </w:r>
          </w:p>
        </w:tc>
        <w:tc>
          <w:tcPr>
            <w:tcW w:w="1640" w:type="dxa"/>
            <w:vAlign w:val="bottom"/>
          </w:tcPr>
          <w:p>
            <w:pPr>
              <w:jc w:val="right"/>
              <w:spacing w:after="0"/>
              <w:rPr>
                <w:sz w:val="20"/>
                <w:szCs w:val="20"/>
                <w:color w:val="auto"/>
              </w:rPr>
            </w:pPr>
            <w:r>
              <w:rPr>
                <w:rFonts w:ascii="Arial" w:cs="Arial" w:eastAsia="Arial" w:hAnsi="Arial"/>
                <w:sz w:val="18"/>
                <w:szCs w:val="18"/>
                <w:color w:val="auto"/>
              </w:rPr>
              <w:t>13,954</w:t>
            </w:r>
          </w:p>
        </w:tc>
      </w:tr>
      <w:tr>
        <w:trPr>
          <w:trHeight w:val="34"/>
        </w:trPr>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ind w:left="400" w:firstLine="808"/>
        <w:spacing w:after="0" w:line="276" w:lineRule="auto"/>
        <w:rPr>
          <w:sz w:val="20"/>
          <w:szCs w:val="20"/>
          <w:color w:val="auto"/>
        </w:rPr>
      </w:pPr>
      <w:r>
        <w:rPr>
          <w:rFonts w:ascii="Arial" w:cs="Arial" w:eastAsia="Arial" w:hAnsi="Arial"/>
          <w:sz w:val="18"/>
          <w:szCs w:val="18"/>
          <w:color w:val="auto"/>
        </w:rPr>
        <w:t>During 2019, the Company received dividends of $177.7 million from its subsidiary undertakings; ICON Clinical Research Limited ($160.1 million) and ICON Investments four ($17.6 million).</w:t>
      </w:r>
    </w:p>
    <w:p>
      <w:pPr>
        <w:spacing w:after="0" w:line="171" w:lineRule="exact"/>
        <w:rPr>
          <w:sz w:val="20"/>
          <w:szCs w:val="20"/>
          <w:color w:val="auto"/>
        </w:rPr>
      </w:pPr>
    </w:p>
    <w:p>
      <w:pPr>
        <w:ind w:left="400" w:firstLine="808"/>
        <w:spacing w:after="0" w:line="276" w:lineRule="auto"/>
        <w:rPr>
          <w:sz w:val="20"/>
          <w:szCs w:val="20"/>
          <w:color w:val="auto"/>
        </w:rPr>
      </w:pPr>
      <w:r>
        <w:rPr>
          <w:rFonts w:ascii="Arial" w:cs="Arial" w:eastAsia="Arial" w:hAnsi="Arial"/>
          <w:sz w:val="18"/>
          <w:szCs w:val="18"/>
          <w:color w:val="auto"/>
        </w:rPr>
        <w:t>During 2018, the Company received dividends of $172.3 million from its subsidiary undertakings ICON Clinical Research Limited ($100.9 million), ICON Holdings Unlimited Company ($62.6 million) and ICON Investments Four Unlimited Company ($8.8 million).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 Directors’ emoluments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aggregate payroll costs of Directors of the Company for the period ended 31 October 2019 was as follows:</w:t>
      </w:r>
    </w:p>
    <w:p>
      <w:pPr>
        <w:spacing w:after="0" w:line="36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Period ended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69"/>
        </w:trPr>
        <w:tc>
          <w:tcPr>
            <w:tcW w:w="5300" w:type="dxa"/>
            <w:vAlign w:val="bottom"/>
          </w:tcPr>
          <w:p>
            <w:pPr>
              <w:spacing w:after="0"/>
              <w:rPr>
                <w:sz w:val="23"/>
                <w:szCs w:val="23"/>
                <w:color w:val="auto"/>
              </w:rPr>
            </w:pP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October</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69"/>
        </w:trPr>
        <w:tc>
          <w:tcPr>
            <w:tcW w:w="5300" w:type="dxa"/>
            <w:vAlign w:val="bottom"/>
          </w:tcPr>
          <w:p>
            <w:pPr>
              <w:spacing w:after="0"/>
              <w:rPr>
                <w:sz w:val="23"/>
                <w:szCs w:val="23"/>
                <w:color w:val="auto"/>
              </w:rPr>
            </w:pP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69"/>
        </w:trPr>
        <w:tc>
          <w:tcPr>
            <w:tcW w:w="5300" w:type="dxa"/>
            <w:vAlign w:val="bottom"/>
          </w:tcPr>
          <w:p>
            <w:pPr>
              <w:spacing w:after="0"/>
              <w:rPr>
                <w:sz w:val="23"/>
                <w:szCs w:val="23"/>
                <w:color w:val="auto"/>
              </w:rPr>
            </w:pP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$0</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539"/>
        </w:trPr>
        <w:tc>
          <w:tcPr>
            <w:tcW w:w="5300" w:type="dxa"/>
            <w:vAlign w:val="bottom"/>
          </w:tcPr>
          <w:p>
            <w:pPr>
              <w:ind w:left="40"/>
              <w:spacing w:after="0"/>
              <w:rPr>
                <w:sz w:val="20"/>
                <w:szCs w:val="20"/>
                <w:color w:val="auto"/>
              </w:rPr>
            </w:pPr>
            <w:r>
              <w:rPr>
                <w:rFonts w:ascii="Arial" w:cs="Arial" w:eastAsia="Arial" w:hAnsi="Arial"/>
                <w:sz w:val="18"/>
                <w:szCs w:val="18"/>
                <w:color w:val="auto"/>
              </w:rPr>
              <w:t>Emoluments</w:t>
            </w: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2,676</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3,618</w:t>
            </w:r>
          </w:p>
        </w:tc>
      </w:tr>
      <w:tr>
        <w:trPr>
          <w:trHeight w:val="269"/>
        </w:trPr>
        <w:tc>
          <w:tcPr>
            <w:tcW w:w="5300" w:type="dxa"/>
            <w:vAlign w:val="bottom"/>
          </w:tcPr>
          <w:p>
            <w:pPr>
              <w:ind w:left="40"/>
              <w:spacing w:after="0"/>
              <w:rPr>
                <w:sz w:val="20"/>
                <w:szCs w:val="20"/>
                <w:color w:val="auto"/>
              </w:rPr>
            </w:pPr>
            <w:r>
              <w:rPr>
                <w:rFonts w:ascii="Arial" w:cs="Arial" w:eastAsia="Arial" w:hAnsi="Arial"/>
                <w:sz w:val="18"/>
                <w:szCs w:val="18"/>
                <w:color w:val="auto"/>
              </w:rPr>
              <w:t>Benefits under long-term incentive schemes</w:t>
            </w: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3,678</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69"/>
        </w:trPr>
        <w:tc>
          <w:tcPr>
            <w:tcW w:w="5300" w:type="dxa"/>
            <w:vAlign w:val="bottom"/>
          </w:tcPr>
          <w:p>
            <w:pPr>
              <w:ind w:left="40"/>
              <w:spacing w:after="0"/>
              <w:rPr>
                <w:sz w:val="20"/>
                <w:szCs w:val="20"/>
                <w:color w:val="auto"/>
              </w:rPr>
            </w:pPr>
            <w:r>
              <w:rPr>
                <w:rFonts w:ascii="Arial" w:cs="Arial" w:eastAsia="Arial" w:hAnsi="Arial"/>
                <w:sz w:val="18"/>
                <w:szCs w:val="18"/>
                <w:color w:val="auto"/>
              </w:rPr>
              <w:t>Gain on exercise of share options</w:t>
            </w: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16,057</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20,798</w:t>
            </w:r>
          </w:p>
        </w:tc>
      </w:tr>
      <w:tr>
        <w:trPr>
          <w:trHeight w:val="269"/>
        </w:trPr>
        <w:tc>
          <w:tcPr>
            <w:tcW w:w="5300" w:type="dxa"/>
            <w:vAlign w:val="bottom"/>
          </w:tcPr>
          <w:p>
            <w:pPr>
              <w:ind w:left="40"/>
              <w:spacing w:after="0"/>
              <w:rPr>
                <w:sz w:val="20"/>
                <w:szCs w:val="20"/>
                <w:color w:val="auto"/>
              </w:rPr>
            </w:pPr>
            <w:r>
              <w:rPr>
                <w:rFonts w:ascii="Arial" w:cs="Arial" w:eastAsia="Arial" w:hAnsi="Arial"/>
                <w:sz w:val="18"/>
                <w:szCs w:val="18"/>
                <w:color w:val="auto"/>
              </w:rPr>
              <w:t>Pension contributions (defined contribution)</w:t>
            </w: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151</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53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506"/>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60" w:type="dxa"/>
            <w:vAlign w:val="bottom"/>
          </w:tcPr>
          <w:p>
            <w:pPr>
              <w:jc w:val="right"/>
              <w:ind w:right="490"/>
              <w:spacing w:after="0"/>
              <w:rPr>
                <w:sz w:val="20"/>
                <w:szCs w:val="20"/>
                <w:color w:val="auto"/>
              </w:rPr>
            </w:pPr>
            <w:r>
              <w:rPr>
                <w:rFonts w:ascii="Arial" w:cs="Arial" w:eastAsia="Arial" w:hAnsi="Arial"/>
                <w:sz w:val="18"/>
                <w:szCs w:val="18"/>
                <w:b w:val="1"/>
                <w:bCs w:val="1"/>
                <w:color w:val="auto"/>
              </w:rPr>
              <w:t>22,562</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26,439</w:t>
            </w:r>
          </w:p>
        </w:tc>
      </w:tr>
      <w:tr>
        <w:trPr>
          <w:trHeight w:val="34"/>
        </w:trPr>
        <w:tc>
          <w:tcPr>
            <w:tcW w:w="53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left="380" w:firstLine="5"/>
        <w:spacing w:after="0" w:line="285" w:lineRule="auto"/>
        <w:tabs>
          <w:tab w:leader="none" w:pos="6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Subsidiaries of the Company earned revenue of $53,000 (2018: $633,000) from DS Biopharma Limited (formerly Dignity Sciences Limited) during the year. Dr. John Climax is Chief Executive Officer and both Dr. John Climax and Dr. Ronan Lambe are Directors and shareholders of DS Biopharma Limited. Dr Ronan Lambe retired as director of ICON plc on 24 July 2018. The contract terms were agreed on an arm’s length basis.</w:t>
      </w:r>
    </w:p>
    <w:p>
      <w:pPr>
        <w:sectPr>
          <w:pgSz w:w="11900" w:h="16838" w:orient="portrait"/>
          <w:cols w:equalWidth="0" w:num="1">
            <w:col w:w="11420"/>
          </w:cols>
          <w:pgMar w:left="240" w:top="874" w:right="2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874"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 xml:space="preserve">Related parties </w:t>
      </w:r>
      <w:r>
        <w:rPr>
          <w:rFonts w:ascii="Arial" w:cs="Arial" w:eastAsia="Arial" w:hAnsi="Arial"/>
          <w:sz w:val="16"/>
          <w:szCs w:val="16"/>
          <w:i w:val="1"/>
          <w:iCs w:val="1"/>
          <w:color w:val="auto"/>
        </w:rPr>
        <w:t>(continued)</w:t>
      </w:r>
    </w:p>
    <w:p>
      <w:pPr>
        <w:spacing w:after="0" w:line="228"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Further information in relation to the remuneration of Directors and Executive Officers is set out in the Compensation and Organisation report in the Group’s Annual Report for the year ended 31 December 2018, which is available publically and can be obtained at http://investor.iconplc.com/annuals.cfm.</w:t>
      </w:r>
    </w:p>
    <w:p>
      <w:pPr>
        <w:spacing w:after="0" w:line="12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Operating leases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Lease costs recorded under operating leases for the ten months ended 31 October, 2019 were as follows:</w:t>
            </w:r>
          </w:p>
        </w:tc>
        <w:tc>
          <w:tcPr>
            <w:tcW w:w="1980" w:type="dxa"/>
            <w:vAlign w:val="bottom"/>
          </w:tcPr>
          <w:p>
            <w:pPr>
              <w:spacing w:after="0"/>
              <w:rPr>
                <w:sz w:val="20"/>
                <w:szCs w:val="20"/>
                <w:color w:val="auto"/>
              </w:rPr>
            </w:pPr>
          </w:p>
        </w:tc>
      </w:tr>
      <w:tr>
        <w:trPr>
          <w:trHeight w:val="822"/>
        </w:trPr>
        <w:tc>
          <w:tcPr>
            <w:tcW w:w="90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9040" w:type="dxa"/>
            <w:vAlign w:val="bottom"/>
          </w:tcPr>
          <w:p>
            <w:pPr>
              <w:ind w:left="40"/>
              <w:spacing w:after="0"/>
              <w:rPr>
                <w:sz w:val="20"/>
                <w:szCs w:val="20"/>
                <w:color w:val="auto"/>
              </w:rPr>
            </w:pPr>
            <w:r>
              <w:rPr>
                <w:rFonts w:ascii="Arial" w:cs="Arial" w:eastAsia="Arial" w:hAnsi="Arial"/>
                <w:sz w:val="18"/>
                <w:szCs w:val="18"/>
                <w:color w:val="auto"/>
              </w:rPr>
              <w:t>Operating lease costs</w:t>
            </w:r>
          </w:p>
        </w:tc>
        <w:tc>
          <w:tcPr>
            <w:tcW w:w="198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69"/>
        </w:trPr>
        <w:tc>
          <w:tcPr>
            <w:tcW w:w="9040" w:type="dxa"/>
            <w:vAlign w:val="bottom"/>
          </w:tcPr>
          <w:p>
            <w:pPr>
              <w:ind w:left="40"/>
              <w:spacing w:after="0"/>
              <w:rPr>
                <w:sz w:val="20"/>
                <w:szCs w:val="20"/>
                <w:color w:val="auto"/>
              </w:rPr>
            </w:pPr>
            <w:r>
              <w:rPr>
                <w:rFonts w:ascii="Arial" w:cs="Arial" w:eastAsia="Arial" w:hAnsi="Arial"/>
                <w:sz w:val="18"/>
                <w:szCs w:val="18"/>
                <w:color w:val="auto"/>
              </w:rPr>
              <w:t>Income from sub-leases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5"/>
        </w:trPr>
        <w:tc>
          <w:tcPr>
            <w:tcW w:w="9040" w:type="dxa"/>
            <w:vAlign w:val="bottom"/>
          </w:tcPr>
          <w:p>
            <w:pPr>
              <w:ind w:left="40"/>
              <w:spacing w:after="0"/>
              <w:rPr>
                <w:sz w:val="20"/>
                <w:szCs w:val="20"/>
                <w:color w:val="auto"/>
              </w:rPr>
            </w:pPr>
            <w:r>
              <w:rPr>
                <w:rFonts w:ascii="Arial" w:cs="Arial" w:eastAsia="Arial" w:hAnsi="Arial"/>
                <w:sz w:val="18"/>
                <w:szCs w:val="18"/>
                <w:color w:val="auto"/>
              </w:rPr>
              <w:t>Net operating lease costs</w:t>
            </w:r>
          </w:p>
        </w:tc>
        <w:tc>
          <w:tcPr>
            <w:tcW w:w="198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34"/>
        </w:trPr>
        <w:tc>
          <w:tcPr>
            <w:tcW w:w="9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right="360"/>
        <w:spacing w:after="0" w:line="276" w:lineRule="auto"/>
        <w:rPr>
          <w:sz w:val="20"/>
          <w:szCs w:val="20"/>
          <w:color w:val="auto"/>
        </w:rPr>
      </w:pPr>
      <w:r>
        <w:rPr>
          <w:rFonts w:ascii="Arial" w:cs="Arial" w:eastAsia="Arial" w:hAnsi="Arial"/>
          <w:sz w:val="18"/>
          <w:szCs w:val="18"/>
          <w:color w:val="auto"/>
        </w:rPr>
        <w:t>Of the total cost of $1.25 million incurred in the ten months ended 31 October, 2019, $0.85 million is recorded within other operating expenses and $0.40 million is recorded within direct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ten months ended 31 October, 2019, the Company did not incur any costs related to variable lease payments.</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adoption of IFRS 16 resulted in the recognition of operating right-of-use assets and lease liabilities of $5.4 million at 1 January, 2019. Additional right-of-use assets obtained in exchange for lease obligations during the ten months ended 31 October, 2019 totaled $0.5 million. The weighted average remaining lease term and weighted-average discount rate at 31 October, 2019 were 3.71 years and 0.46%,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Future minimum lease payments under non-cancelable leases as of 31 October were as follows:</w:t>
            </w:r>
          </w:p>
        </w:tc>
        <w:tc>
          <w:tcPr>
            <w:tcW w:w="3160" w:type="dxa"/>
            <w:vAlign w:val="bottom"/>
          </w:tcPr>
          <w:p>
            <w:pPr>
              <w:spacing w:after="0"/>
              <w:rPr>
                <w:sz w:val="20"/>
                <w:szCs w:val="20"/>
                <w:color w:val="auto"/>
              </w:rPr>
            </w:pPr>
          </w:p>
        </w:tc>
      </w:tr>
      <w:tr>
        <w:trPr>
          <w:trHeight w:val="377"/>
        </w:trPr>
        <w:tc>
          <w:tcPr>
            <w:tcW w:w="79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Minimum rental payments</w:t>
            </w:r>
          </w:p>
        </w:tc>
      </w:tr>
      <w:tr>
        <w:trPr>
          <w:trHeight w:val="269"/>
        </w:trPr>
        <w:tc>
          <w:tcPr>
            <w:tcW w:w="7960" w:type="dxa"/>
            <w:vAlign w:val="bottom"/>
          </w:tcPr>
          <w:p>
            <w:pPr>
              <w:spacing w:after="0"/>
              <w:rPr>
                <w:sz w:val="23"/>
                <w:szCs w:val="23"/>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69"/>
        </w:trPr>
        <w:tc>
          <w:tcPr>
            <w:tcW w:w="7960" w:type="dxa"/>
            <w:vAlign w:val="bottom"/>
          </w:tcPr>
          <w:p>
            <w:pPr>
              <w:ind w:left="40"/>
              <w:spacing w:after="0"/>
              <w:rPr>
                <w:sz w:val="20"/>
                <w:szCs w:val="20"/>
                <w:color w:val="auto"/>
              </w:rPr>
            </w:pPr>
            <w:r>
              <w:rPr>
                <w:rFonts w:ascii="Arial" w:cs="Arial" w:eastAsia="Arial" w:hAnsi="Arial"/>
                <w:sz w:val="18"/>
                <w:szCs w:val="18"/>
                <w:color w:val="auto"/>
              </w:rPr>
              <w:t>Due within 1 year</w:t>
            </w:r>
          </w:p>
        </w:tc>
        <w:tc>
          <w:tcPr>
            <w:tcW w:w="316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69"/>
        </w:trPr>
        <w:tc>
          <w:tcPr>
            <w:tcW w:w="7960" w:type="dxa"/>
            <w:vAlign w:val="bottom"/>
          </w:tcPr>
          <w:p>
            <w:pPr>
              <w:ind w:left="40"/>
              <w:spacing w:after="0"/>
              <w:rPr>
                <w:sz w:val="20"/>
                <w:szCs w:val="20"/>
                <w:color w:val="auto"/>
              </w:rPr>
            </w:pPr>
            <w:r>
              <w:rPr>
                <w:rFonts w:ascii="Arial" w:cs="Arial" w:eastAsia="Arial" w:hAnsi="Arial"/>
                <w:sz w:val="18"/>
                <w:szCs w:val="18"/>
                <w:color w:val="auto"/>
              </w:rPr>
              <w:t>Due between 1 and 5 years</w:t>
            </w:r>
          </w:p>
        </w:tc>
        <w:tc>
          <w:tcPr>
            <w:tcW w:w="316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7"/>
        </w:trPr>
        <w:tc>
          <w:tcPr>
            <w:tcW w:w="79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479"/>
        </w:trPr>
        <w:tc>
          <w:tcPr>
            <w:tcW w:w="796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160" w:type="dxa"/>
            <w:vAlign w:val="bottom"/>
          </w:tcPr>
          <w:p>
            <w:pPr>
              <w:jc w:val="right"/>
              <w:spacing w:after="0"/>
              <w:rPr>
                <w:sz w:val="20"/>
                <w:szCs w:val="20"/>
                <w:color w:val="auto"/>
              </w:rPr>
            </w:pPr>
            <w:r>
              <w:rPr>
                <w:rFonts w:ascii="Arial" w:cs="Arial" w:eastAsia="Arial" w:hAnsi="Arial"/>
                <w:sz w:val="18"/>
                <w:szCs w:val="18"/>
                <w:color w:val="auto"/>
              </w:rPr>
              <w:t>4,630</w:t>
            </w:r>
          </w:p>
        </w:tc>
      </w:tr>
      <w:tr>
        <w:trPr>
          <w:trHeight w:val="269"/>
        </w:trPr>
        <w:tc>
          <w:tcPr>
            <w:tcW w:w="79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9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6"/>
        </w:trPr>
        <w:tc>
          <w:tcPr>
            <w:tcW w:w="7960" w:type="dxa"/>
            <w:vAlign w:val="bottom"/>
          </w:tcPr>
          <w:p>
            <w:pPr>
              <w:ind w:left="40"/>
              <w:spacing w:after="0"/>
              <w:rPr>
                <w:sz w:val="20"/>
                <w:szCs w:val="20"/>
                <w:color w:val="auto"/>
              </w:rPr>
            </w:pPr>
            <w:r>
              <w:rPr>
                <w:rFonts w:ascii="Arial" w:cs="Arial" w:eastAsia="Arial" w:hAnsi="Arial"/>
                <w:sz w:val="18"/>
                <w:szCs w:val="18"/>
                <w:color w:val="auto"/>
              </w:rPr>
              <w:t>Total</w:t>
            </w:r>
          </w:p>
        </w:tc>
        <w:tc>
          <w:tcPr>
            <w:tcW w:w="3160" w:type="dxa"/>
            <w:vAlign w:val="bottom"/>
          </w:tcPr>
          <w:p>
            <w:pPr>
              <w:jc w:val="right"/>
              <w:spacing w:after="0"/>
              <w:rPr>
                <w:sz w:val="20"/>
                <w:szCs w:val="20"/>
                <w:color w:val="auto"/>
              </w:rPr>
            </w:pPr>
            <w:r>
              <w:rPr>
                <w:rFonts w:ascii="Arial" w:cs="Arial" w:eastAsia="Arial" w:hAnsi="Arial"/>
                <w:sz w:val="18"/>
                <w:szCs w:val="18"/>
                <w:color w:val="auto"/>
              </w:rPr>
              <w:t>4,593</w:t>
            </w:r>
          </w:p>
        </w:tc>
      </w:tr>
      <w:tr>
        <w:trPr>
          <w:trHeight w:val="34"/>
        </w:trPr>
        <w:tc>
          <w:tcPr>
            <w:tcW w:w="79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19.</w:t>
        <w:tab/>
        <w:t>Litigation</w:t>
      </w:r>
    </w:p>
    <w:p>
      <w:pPr>
        <w:spacing w:after="0" w:line="228"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ectPr>
          <w:pgSz w:w="11900" w:h="16838" w:orient="portrait"/>
          <w:cols w:equalWidth="0" w:num="1">
            <w:col w:w="11400"/>
          </w:cols>
          <w:pgMar w:left="240" w:top="8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874" w:right="2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0" w:hanging="445"/>
        <w:spacing w:after="0"/>
        <w:tabs>
          <w:tab w:leader="none" w:pos="11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Intercompany loans receivable and payable are initially recognised at fair value. These are subsequently measured at amortised cost, less any loss allowance.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 expected credit loss assessment was performed in respect of the receivables at 1 January 2018. The identified impairment loss was immaterial.</w:t>
      </w:r>
    </w:p>
    <w:p>
      <w:pPr>
        <w:spacing w:after="0" w:line="2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3"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w:t>
      </w:r>
    </w:p>
    <w:p>
      <w:pPr>
        <w:spacing w:after="0" w:line="19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following table sets out details of the maturity of the Company’s financial liabilities into the relevant maturity groupings based on the remaining period from the financial period end date to the contractual maturity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At 31 October 2019</w:t>
            </w:r>
          </w:p>
        </w:tc>
        <w:tc>
          <w:tcPr>
            <w:tcW w:w="19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9"/>
        </w:trPr>
        <w:tc>
          <w:tcPr>
            <w:tcW w:w="294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Contractual</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294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Cashflows</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2-5 years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 years</w:t>
            </w:r>
          </w:p>
        </w:tc>
      </w:tr>
      <w:tr>
        <w:trPr>
          <w:trHeight w:val="269"/>
        </w:trPr>
        <w:tc>
          <w:tcPr>
            <w:tcW w:w="2940" w:type="dxa"/>
            <w:vAlign w:val="bottom"/>
          </w:tcPr>
          <w:p>
            <w:pPr>
              <w:spacing w:after="0"/>
              <w:rPr>
                <w:sz w:val="23"/>
                <w:szCs w:val="23"/>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$’000</w:t>
            </w:r>
          </w:p>
        </w:tc>
      </w:tr>
      <w:tr>
        <w:trPr>
          <w:trHeight w:val="539"/>
        </w:trPr>
        <w:tc>
          <w:tcPr>
            <w:tcW w:w="29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69"/>
        </w:trPr>
        <w:tc>
          <w:tcPr>
            <w:tcW w:w="294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(4,630)</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(4,630)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(1,385)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(3,245)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69"/>
        </w:trPr>
        <w:tc>
          <w:tcPr>
            <w:tcW w:w="2940" w:type="dxa"/>
            <w:vAlign w:val="bottom"/>
          </w:tcPr>
          <w:p>
            <w:pPr>
              <w:ind w:left="40"/>
              <w:spacing w:after="0"/>
              <w:rPr>
                <w:sz w:val="20"/>
                <w:szCs w:val="20"/>
                <w:color w:val="auto"/>
              </w:rPr>
            </w:pPr>
            <w:r>
              <w:rPr>
                <w:rFonts w:ascii="Arial" w:cs="Arial" w:eastAsia="Arial" w:hAnsi="Arial"/>
                <w:sz w:val="18"/>
                <w:szCs w:val="18"/>
                <w:color w:val="auto"/>
              </w:rPr>
              <w:t>Accruals and other liabilities</w:t>
            </w: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(13,889)</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(13,889)</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(9,052)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(3,111)</w:t>
            </w: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23"/>
                <w:szCs w:val="23"/>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94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(18,519)</w:t>
            </w: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(18,519)</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(10,437)</w:t>
            </w: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(6,356)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(1,726)</w:t>
            </w:r>
          </w:p>
        </w:tc>
        <w:tc>
          <w:tcPr>
            <w:tcW w:w="20" w:type="dxa"/>
            <w:vAlign w:val="bottom"/>
          </w:tcPr>
          <w:p>
            <w:pPr>
              <w:spacing w:after="0"/>
              <w:rPr>
                <w:sz w:val="20"/>
                <w:szCs w:val="20"/>
                <w:color w:val="auto"/>
              </w:rPr>
            </w:pPr>
          </w:p>
        </w:tc>
      </w:tr>
      <w:tr>
        <w:trPr>
          <w:trHeight w:val="34"/>
        </w:trPr>
        <w:tc>
          <w:tcPr>
            <w:tcW w:w="2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1"/>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At 31 December 2018</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2940" w:type="dxa"/>
            <w:vAlign w:val="bottom"/>
          </w:tcPr>
          <w:p>
            <w:pPr>
              <w:spacing w:after="0"/>
              <w:rPr>
                <w:sz w:val="24"/>
                <w:szCs w:val="24"/>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Contractual</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2940" w:type="dxa"/>
            <w:vAlign w:val="bottom"/>
          </w:tcPr>
          <w:p>
            <w:pPr>
              <w:spacing w:after="0"/>
              <w:rPr>
                <w:sz w:val="20"/>
                <w:szCs w:val="20"/>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Cashflows</w:t>
            </w: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1 year</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2-5 years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 years</w:t>
            </w:r>
          </w:p>
        </w:tc>
      </w:tr>
      <w:tr>
        <w:trPr>
          <w:trHeight w:val="269"/>
        </w:trPr>
        <w:tc>
          <w:tcPr>
            <w:tcW w:w="2940" w:type="dxa"/>
            <w:vAlign w:val="bottom"/>
          </w:tcPr>
          <w:p>
            <w:pPr>
              <w:spacing w:after="0"/>
              <w:rPr>
                <w:sz w:val="23"/>
                <w:szCs w:val="23"/>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$’000</w:t>
            </w:r>
          </w:p>
        </w:tc>
      </w:tr>
      <w:tr>
        <w:trPr>
          <w:trHeight w:val="552"/>
        </w:trPr>
        <w:tc>
          <w:tcPr>
            <w:tcW w:w="29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900" w:type="dxa"/>
            <w:vAlign w:val="bottom"/>
          </w:tcPr>
          <w:p>
            <w:pPr>
              <w:jc w:val="right"/>
              <w:ind w:right="290"/>
              <w:spacing w:after="0"/>
              <w:rPr>
                <w:sz w:val="20"/>
                <w:szCs w:val="20"/>
                <w:color w:val="auto"/>
              </w:rPr>
            </w:pPr>
            <w:r>
              <w:rPr>
                <w:rFonts w:ascii="Arial" w:cs="Arial" w:eastAsia="Arial" w:hAnsi="Arial"/>
                <w:sz w:val="18"/>
                <w:szCs w:val="18"/>
                <w:color w:val="auto"/>
              </w:rPr>
              <w:t>(56)</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(56)</w:t>
            </w: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(56)</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69"/>
        </w:trPr>
        <w:tc>
          <w:tcPr>
            <w:tcW w:w="2940" w:type="dxa"/>
            <w:vAlign w:val="bottom"/>
          </w:tcPr>
          <w:p>
            <w:pPr>
              <w:ind w:left="40"/>
              <w:spacing w:after="0"/>
              <w:rPr>
                <w:sz w:val="20"/>
                <w:szCs w:val="20"/>
                <w:color w:val="auto"/>
              </w:rPr>
            </w:pPr>
            <w:r>
              <w:rPr>
                <w:rFonts w:ascii="Arial" w:cs="Arial" w:eastAsia="Arial" w:hAnsi="Arial"/>
                <w:sz w:val="18"/>
                <w:szCs w:val="18"/>
                <w:color w:val="auto"/>
              </w:rPr>
              <w:t>Accruals and other liabilities</w:t>
            </w:r>
          </w:p>
        </w:tc>
        <w:tc>
          <w:tcPr>
            <w:tcW w:w="1900" w:type="dxa"/>
            <w:vAlign w:val="bottom"/>
          </w:tcPr>
          <w:p>
            <w:pPr>
              <w:jc w:val="right"/>
              <w:ind w:right="290"/>
              <w:spacing w:after="0"/>
              <w:rPr>
                <w:sz w:val="20"/>
                <w:szCs w:val="20"/>
                <w:color w:val="auto"/>
              </w:rPr>
            </w:pPr>
            <w:r>
              <w:rPr>
                <w:rFonts w:ascii="Arial" w:cs="Arial" w:eastAsia="Arial" w:hAnsi="Arial"/>
                <w:sz w:val="18"/>
                <w:szCs w:val="18"/>
                <w:color w:val="auto"/>
              </w:rPr>
              <w:t>(14,440)</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(14,440)</w:t>
            </w:r>
          </w:p>
        </w:tc>
        <w:tc>
          <w:tcPr>
            <w:tcW w:w="1720" w:type="dxa"/>
            <w:vAlign w:val="bottom"/>
          </w:tcPr>
          <w:p>
            <w:pPr>
              <w:jc w:val="right"/>
              <w:ind w:right="430"/>
              <w:spacing w:after="0"/>
              <w:rPr>
                <w:sz w:val="20"/>
                <w:szCs w:val="20"/>
                <w:color w:val="auto"/>
              </w:rPr>
            </w:pPr>
            <w:r>
              <w:rPr>
                <w:rFonts w:ascii="Arial" w:cs="Arial" w:eastAsia="Arial" w:hAnsi="Arial"/>
                <w:sz w:val="18"/>
                <w:szCs w:val="18"/>
                <w:color w:val="auto"/>
              </w:rPr>
              <w:t>(10,658)</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(2,272)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r>
      <w:tr>
        <w:trPr>
          <w:trHeight w:val="27"/>
        </w:trPr>
        <w:tc>
          <w:tcPr>
            <w:tcW w:w="2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36"/>
        </w:trPr>
        <w:tc>
          <w:tcPr>
            <w:tcW w:w="2940" w:type="dxa"/>
            <w:vAlign w:val="bottom"/>
          </w:tcPr>
          <w:p>
            <w:pPr>
              <w:spacing w:after="0"/>
              <w:rPr>
                <w:sz w:val="20"/>
                <w:szCs w:val="20"/>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b w:val="1"/>
                <w:bCs w:val="1"/>
                <w:color w:val="auto"/>
              </w:rPr>
              <w:t>(14,496)</w:t>
            </w: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(14,496)</w:t>
            </w: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(10,714)</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(2,272)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(1,510)</w:t>
            </w:r>
          </w:p>
        </w:tc>
      </w:tr>
      <w:tr>
        <w:trPr>
          <w:trHeight w:val="34"/>
        </w:trPr>
        <w:tc>
          <w:tcPr>
            <w:tcW w:w="2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340"/>
          </w:cols>
          <w:pgMar w:left="240" w:top="874" w:right="319" w:bottom="1440" w:gutter="0" w:footer="0" w:header="0"/>
        </w:sectPr>
      </w:pPr>
    </w:p>
    <w:bookmarkStart w:id="36" w:name="page37"/>
    <w:bookmarkEnd w:id="36"/>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00" w:hanging="445"/>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t>
      </w:r>
      <w:r>
        <w:rPr>
          <w:rFonts w:ascii="Arial" w:cs="Arial" w:eastAsia="Arial" w:hAnsi="Arial"/>
          <w:sz w:val="18"/>
          <w:szCs w:val="18"/>
          <w:i w:val="1"/>
          <w:iCs w:val="1"/>
          <w:color w:val="auto"/>
        </w:rPr>
        <w:t>continued)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the functional currency of the Company is USD, the functional currency of the branches is the Euro. As a consequence, the results, when translated into U.S. dollars, could be affected by fluctuations in exchange rates against the U.S. dollar. At 31 October 2019 the Company had $nil US dollar denominated bank loans (2018: $nil).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w:t>
      </w:r>
    </w:p>
    <w:p>
      <w:pPr>
        <w:spacing w:after="0" w:line="22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224" w:lineRule="exact"/>
        <w:rPr>
          <w:sz w:val="20"/>
          <w:szCs w:val="20"/>
          <w:color w:val="auto"/>
        </w:rPr>
      </w:pPr>
    </w:p>
    <w:p>
      <w:pPr>
        <w:ind w:left="1400" w:right="80" w:hanging="1373"/>
        <w:spacing w:after="0" w:line="285" w:lineRule="auto"/>
        <w:tabs>
          <w:tab w:leader="none" w:pos="13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301" w:lineRule="exact"/>
        <w:rPr>
          <w:sz w:val="20"/>
          <w:szCs w:val="20"/>
          <w:color w:val="auto"/>
        </w:rPr>
      </w:pPr>
    </w:p>
    <w:p>
      <w:pPr>
        <w:ind w:left="1400" w:right="460" w:hanging="1373"/>
        <w:spacing w:after="0" w:line="276" w:lineRule="auto"/>
        <w:tabs>
          <w:tab w:leader="none" w:pos="13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pacing w:after="0" w:line="213"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Amounts owed by subsidiary undertakings are non-interest bearing and repayable on demand. All amounts are therefore recorded as due within one year. Fair value is deemed to equal carrying value on this basis.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00"/>
          </w:cols>
          <w:pgMar w:left="240" w:top="874" w:right="259" w:bottom="1440" w:gutter="0" w:footer="0" w:header="0"/>
        </w:sectPr>
      </w:pPr>
    </w:p>
    <w:bookmarkStart w:id="37" w:name="page38"/>
    <w:bookmarkEnd w:id="37"/>
    <w:p>
      <w:pPr>
        <w:spacing w:after="0"/>
        <w:rPr>
          <w:sz w:val="20"/>
          <w:szCs w:val="20"/>
          <w:color w:val="auto"/>
        </w:rPr>
      </w:pPr>
      <w:r>
        <w:rPr>
          <w:rFonts w:ascii="Arial" w:cs="Arial" w:eastAsia="Arial" w:hAnsi="Arial"/>
          <w:sz w:val="32"/>
          <w:szCs w:val="32"/>
          <w:color w:val="auto"/>
        </w:rPr>
        <w:t>ICON Plc</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Group relationships and controlling parties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public limited company incorporated in the Republic of Ireland. The Company’s ordinary shares are traded on the NASDAQ market. The Company prepares consolidated financial statements for itself and its subsidiary undertakings. These consolidated financial statements may be obtained from the Company’s website www.iconplc.com.</w:t>
      </w:r>
    </w:p>
    <w:p>
      <w:pPr>
        <w:spacing w:after="0" w:line="178"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Subsequent events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events since the balance sheet date requiring disclosure in these financial statements.</w:t>
      </w:r>
    </w:p>
    <w:p>
      <w:pPr>
        <w:spacing w:after="0" w:line="207" w:lineRule="exact"/>
        <w:rPr>
          <w:sz w:val="20"/>
          <w:szCs w:val="20"/>
          <w:color w:val="auto"/>
        </w:rPr>
      </w:pPr>
    </w:p>
    <w:p>
      <w:pPr>
        <w:ind w:left="1060" w:hanging="432"/>
        <w:spacing w:after="0"/>
        <w:tabs>
          <w:tab w:leader="none" w:pos="10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were approved on 10 December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32</w:t>
      </w:r>
    </w:p>
    <w:sectPr>
      <w:pgSz w:w="11900" w:h="16838" w:orient="portrait"/>
      <w:cols w:equalWidth="0" w:num="1">
        <w:col w:w="11340"/>
      </w:cols>
      <w:pgMar w:left="240" w:top="8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9"/>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decimal"/>
      <w:start w:val="15"/>
    </w:lvl>
  </w:abstractNum>
  <w:abstractNum w:abstractNumId="16">
    <w:nsid w:val="7C83E458"/>
    <w:multiLevelType w:val="hybridMultilevel"/>
    <w:lvl w:ilvl="0">
      <w:lvlJc w:val="left"/>
      <w:lvlText w:val="%1."/>
      <w:numFmt w:val="decimal"/>
      <w:start w:val="16"/>
    </w:lvl>
  </w:abstractNum>
  <w:abstractNum w:abstractNumId="17">
    <w:nsid w:val="257130A3"/>
    <w:multiLevelType w:val="hybridMultilevel"/>
    <w:lvl w:ilvl="0">
      <w:lvlJc w:val="left"/>
      <w:lvlText w:val="(%1)"/>
      <w:numFmt w:val="lowerLetter"/>
      <w:start w:val="3"/>
    </w:lvl>
  </w:abstractNum>
  <w:abstractNum w:abstractNumId="18">
    <w:nsid w:val="62BBD95A"/>
    <w:multiLevelType w:val="hybridMultilevel"/>
    <w:lvl w:ilvl="0">
      <w:lvlJc w:val="left"/>
      <w:lvlText w:val="%1."/>
      <w:numFmt w:val="decimal"/>
      <w:start w:val="20"/>
    </w:lvl>
  </w:abstractNum>
  <w:abstractNum w:abstractNumId="19">
    <w:nsid w:val="436C6125"/>
    <w:multiLevelType w:val="hybridMultilevel"/>
    <w:lvl w:ilvl="0">
      <w:lvlJc w:val="left"/>
      <w:lvlText w:val="%1."/>
      <w:numFmt w:val="decimal"/>
      <w:start w:val="20"/>
    </w:lvl>
  </w:abstractNum>
  <w:abstractNum w:abstractNumId="20">
    <w:nsid w:val="628C895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2019-12-11T14:47:55Z</dcterms:created>
  <dcterms:modified xsi:type="dcterms:W3CDTF">2019-12-11T14:47:55Z</dcterms:modified>
</cp:coreProperties>
</file>