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center"/>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FORM 6-K </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spacing w:before="0" w:after="0"/>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Washington, D.C. 20549</w:t>
      </w:r>
    </w:p>
    <w:p>
      <w:pPr>
        <w:pStyle w:val="TextBody"/>
        <w:spacing w:before="0" w:after="0"/>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Report of Foreign Private Issuer</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Pursuant to Rule 13a-16 under</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the Securities Exchange Act of 1934</w:t>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month of April, 2023</w:t>
      </w:r>
    </w:p>
    <w:p>
      <w:pPr>
        <w:pStyle w:val="TextBody"/>
        <w:spacing w:before="0" w:after="0"/>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ICON plc </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(Translation of registrant's name into English)</w:t>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333-08704</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(Commission file number)</w:t>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South County Business Park, Leopardstown, Dublin 18, D18 X5R3, Ireland</w:t>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p>
      <w:pPr>
        <w:pStyle w:val="TextBody"/>
        <w:spacing w:before="0" w:after="0"/>
        <w:rPr/>
      </w:pPr>
      <w:r>
        <w:rPr/>
      </w:r>
    </w:p>
    <w:p>
      <w:pPr>
        <w:pStyle w:val="TextBody"/>
        <w:spacing w:before="0" w:after="0"/>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211"/>
        <w:gridCol w:w="1064"/>
        <w:gridCol w:w="1064"/>
        <w:gridCol w:w="1082"/>
        <w:gridCol w:w="1064"/>
        <w:gridCol w:w="1064"/>
        <w:gridCol w:w="1082"/>
        <w:gridCol w:w="1064"/>
        <w:gridCol w:w="1510"/>
      </w:tblGrid>
      <w:tr>
        <w:trPr/>
        <w:tc>
          <w:tcPr>
            <w:tcW w:w="121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files or will file annual reports under cover Form 20-F or Form 40-F.</w:t>
            </w:r>
          </w:p>
        </w:tc>
      </w:tr>
      <w:tr>
        <w:trPr/>
        <w:tc>
          <w:tcPr>
            <w:tcW w:w="3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Form 20-F___</w:t>
            </w:r>
            <w:r>
              <w:rPr>
                <w:rFonts w:ascii="Arial;sans-serif" w:hAnsi="Arial;sans-serif"/>
                <w:b/>
                <w:color w:val="000000"/>
                <w:sz w:val="18"/>
              </w:rPr>
              <w:t>X</w:t>
            </w:r>
            <w:r>
              <w:rPr>
                <w:rFonts w:ascii="Arial;sans-serif" w:hAnsi="Arial;sans-serif"/>
                <w:b w:val="false"/>
                <w:color w:val="000000"/>
                <w:sz w:val="18"/>
              </w:rPr>
              <w:t>___</w:t>
            </w:r>
          </w:p>
        </w:tc>
        <w:tc>
          <w:tcPr>
            <w:tcW w:w="36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Form 40-F______</w:t>
            </w:r>
          </w:p>
        </w:tc>
      </w:tr>
      <w:tr>
        <w:trPr/>
        <w:tc>
          <w:tcPr>
            <w:tcW w:w="1020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submitting the Form 6-K in paper as permitted by Regulation S-T Rule 101(b)(1):</w:t>
            </w:r>
          </w:p>
        </w:tc>
      </w:tr>
      <w:tr>
        <w:trPr/>
        <w:tc>
          <w:tcPr>
            <w:tcW w:w="3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Yes______</w:t>
            </w:r>
          </w:p>
        </w:tc>
        <w:tc>
          <w:tcPr>
            <w:tcW w:w="36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No___</w:t>
            </w:r>
            <w:r>
              <w:rPr>
                <w:rFonts w:ascii="Arial;sans-serif" w:hAnsi="Arial;sans-serif"/>
                <w:b/>
                <w:color w:val="000000"/>
                <w:sz w:val="18"/>
              </w:rPr>
              <w:t>X</w:t>
            </w:r>
            <w:r>
              <w:rPr>
                <w:rFonts w:ascii="Arial;sans-serif" w:hAnsi="Arial;sans-serif"/>
                <w:b w:val="false"/>
                <w:color w:val="000000"/>
                <w:sz w:val="18"/>
              </w:rPr>
              <w:t>___</w:t>
            </w:r>
          </w:p>
        </w:tc>
      </w:tr>
      <w:tr>
        <w:trPr/>
        <w:tc>
          <w:tcPr>
            <w:tcW w:w="1020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submitting the Form 6-K in paper as permitted by Regulation S-T Rule 101(b)(7):</w:t>
            </w:r>
          </w:p>
        </w:tc>
      </w:tr>
      <w:tr>
        <w:trPr/>
        <w:tc>
          <w:tcPr>
            <w:tcW w:w="3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Yes______</w:t>
            </w:r>
          </w:p>
        </w:tc>
        <w:tc>
          <w:tcPr>
            <w:tcW w:w="36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No___</w:t>
            </w:r>
            <w:r>
              <w:rPr>
                <w:rFonts w:ascii="Arial;sans-serif" w:hAnsi="Arial;sans-serif"/>
                <w:b/>
                <w:color w:val="000000"/>
                <w:sz w:val="18"/>
              </w:rPr>
              <w:t>X</w:t>
            </w:r>
            <w:r>
              <w:rPr>
                <w:rFonts w:ascii="Arial;sans-serif" w:hAnsi="Arial;sans-serif"/>
                <w:b w:val="false"/>
                <w:color w:val="000000"/>
                <w:sz w:val="18"/>
              </w:rPr>
              <w:t>___</w:t>
            </w:r>
          </w:p>
        </w:tc>
      </w:tr>
      <w:tr>
        <w:trPr/>
        <w:tc>
          <w:tcPr>
            <w:tcW w:w="3339" w:type="dxa"/>
            <w:gridSpan w:val="3"/>
            <w:tcBorders/>
            <w:shd w:fill="auto" w:val="clear"/>
            <w:vAlign w:val="center"/>
          </w:tcPr>
          <w:p>
            <w:pPr>
              <w:pStyle w:val="TableContents"/>
              <w:spacing w:before="0" w:after="283"/>
              <w:rPr>
                <w:sz w:val="4"/>
                <w:szCs w:val="4"/>
              </w:rPr>
            </w:pPr>
            <w:r>
              <w:rPr>
                <w:sz w:val="4"/>
                <w:szCs w:val="4"/>
              </w:rPr>
            </w:r>
          </w:p>
        </w:tc>
        <w:tc>
          <w:tcPr>
            <w:tcW w:w="6866" w:type="dxa"/>
            <w:gridSpan w:val="6"/>
            <w:tcBorders/>
            <w:shd w:fill="auto" w:val="clear"/>
          </w:tcPr>
          <w:p>
            <w:pPr>
              <w:pStyle w:val="TableContents"/>
              <w:spacing w:before="0" w:after="283"/>
              <w:rPr>
                <w:sz w:val="4"/>
                <w:szCs w:val="4"/>
              </w:rPr>
            </w:pPr>
            <w:r>
              <w:rPr>
                <w:sz w:val="4"/>
                <w:szCs w:val="4"/>
              </w:rPr>
            </w:r>
          </w:p>
        </w:tc>
      </w:tr>
      <w:tr>
        <w:trPr/>
        <w:tc>
          <w:tcPr>
            <w:tcW w:w="3339" w:type="dxa"/>
            <w:gridSpan w:val="3"/>
            <w:tcBorders/>
            <w:shd w:fill="auto" w:val="clear"/>
            <w:vAlign w:val="center"/>
          </w:tcPr>
          <w:p>
            <w:pPr>
              <w:pStyle w:val="TableContents"/>
              <w:spacing w:before="0" w:after="283"/>
              <w:rPr>
                <w:sz w:val="4"/>
                <w:szCs w:val="4"/>
              </w:rPr>
            </w:pPr>
            <w:r>
              <w:rPr>
                <w:sz w:val="4"/>
                <w:szCs w:val="4"/>
              </w:rPr>
            </w:r>
          </w:p>
        </w:tc>
        <w:tc>
          <w:tcPr>
            <w:tcW w:w="6866" w:type="dxa"/>
            <w:gridSpan w:val="6"/>
            <w:tcBorders/>
            <w:shd w:fill="auto" w:val="clear"/>
          </w:tcPr>
          <w:p>
            <w:pPr>
              <w:pStyle w:val="TableContents"/>
              <w:spacing w:before="0" w:after="283"/>
              <w:rPr>
                <w:sz w:val="4"/>
                <w:szCs w:val="4"/>
              </w:rPr>
            </w:pPr>
            <w:r>
              <w:rPr>
                <w:sz w:val="4"/>
                <w:szCs w:val="4"/>
              </w:rPr>
            </w:r>
          </w:p>
        </w:tc>
      </w:tr>
      <w:tr>
        <w:trPr/>
        <w:tc>
          <w:tcPr>
            <w:tcW w:w="3339" w:type="dxa"/>
            <w:gridSpan w:val="3"/>
            <w:tcBorders/>
            <w:shd w:fill="auto" w:val="clear"/>
            <w:vAlign w:val="center"/>
          </w:tcPr>
          <w:p>
            <w:pPr>
              <w:pStyle w:val="TableContents"/>
              <w:spacing w:before="0" w:after="283"/>
              <w:rPr>
                <w:sz w:val="4"/>
                <w:szCs w:val="4"/>
              </w:rPr>
            </w:pPr>
            <w:r>
              <w:rPr>
                <w:sz w:val="4"/>
                <w:szCs w:val="4"/>
              </w:rPr>
            </w:r>
          </w:p>
        </w:tc>
        <w:tc>
          <w:tcPr>
            <w:tcW w:w="3210" w:type="dxa"/>
            <w:gridSpan w:val="3"/>
            <w:tcBorders/>
            <w:shd w:fill="auto" w:val="clear"/>
            <w:vAlign w:val="center"/>
          </w:tcPr>
          <w:p>
            <w:pPr>
              <w:pStyle w:val="TableContents"/>
              <w:spacing w:before="0" w:after="283"/>
              <w:rPr>
                <w:sz w:val="4"/>
                <w:szCs w:val="4"/>
              </w:rPr>
            </w:pPr>
            <w:r>
              <w:rPr>
                <w:sz w:val="4"/>
                <w:szCs w:val="4"/>
              </w:rPr>
            </w:r>
          </w:p>
        </w:tc>
        <w:tc>
          <w:tcPr>
            <w:tcW w:w="3656" w:type="dxa"/>
            <w:gridSpan w:val="3"/>
            <w:tcBorders/>
            <w:shd w:fill="auto" w:val="clear"/>
            <w:vAlign w:val="center"/>
          </w:tcPr>
          <w:p>
            <w:pPr>
              <w:pStyle w:val="TableContents"/>
              <w:spacing w:before="0" w:after="283"/>
              <w:rPr>
                <w:sz w:val="4"/>
                <w:szCs w:val="4"/>
              </w:rPr>
            </w:pPr>
            <w:r>
              <w:rPr>
                <w:sz w:val="4"/>
                <w:szCs w:val="4"/>
              </w:rPr>
            </w:r>
          </w:p>
        </w:tc>
      </w:tr>
      <w:tr>
        <w:trPr/>
        <w:tc>
          <w:tcPr>
            <w:tcW w:w="3339" w:type="dxa"/>
            <w:gridSpan w:val="3"/>
            <w:tcBorders/>
            <w:shd w:fill="auto" w:val="clear"/>
            <w:vAlign w:val="center"/>
          </w:tcPr>
          <w:p>
            <w:pPr>
              <w:pStyle w:val="TableContents"/>
              <w:spacing w:before="0" w:after="283"/>
              <w:rPr>
                <w:sz w:val="4"/>
                <w:szCs w:val="4"/>
              </w:rPr>
            </w:pPr>
            <w:r>
              <w:rPr>
                <w:sz w:val="4"/>
                <w:szCs w:val="4"/>
              </w:rPr>
            </w:r>
          </w:p>
        </w:tc>
        <w:tc>
          <w:tcPr>
            <w:tcW w:w="6866" w:type="dxa"/>
            <w:gridSpan w:val="6"/>
            <w:tcBorders/>
            <w:shd w:fill="auto" w:val="clear"/>
          </w:tcPr>
          <w:p>
            <w:pPr>
              <w:pStyle w:val="TableContents"/>
              <w:spacing w:before="0" w:after="283"/>
              <w:rPr>
                <w:sz w:val="4"/>
                <w:szCs w:val="4"/>
              </w:rPr>
            </w:pPr>
            <w:r>
              <w:rPr>
                <w:sz w:val="4"/>
                <w:szCs w:val="4"/>
              </w:rPr>
            </w:r>
          </w:p>
        </w:tc>
      </w:tr>
      <w:tr>
        <w:trPr/>
        <w:tc>
          <w:tcPr>
            <w:tcW w:w="3339" w:type="dxa"/>
            <w:gridSpan w:val="3"/>
            <w:tcBorders/>
            <w:shd w:fill="auto" w:val="clear"/>
            <w:vAlign w:val="center"/>
          </w:tcPr>
          <w:p>
            <w:pPr>
              <w:pStyle w:val="TableContents"/>
              <w:spacing w:before="0" w:after="283"/>
              <w:rPr>
                <w:sz w:val="4"/>
                <w:szCs w:val="4"/>
              </w:rPr>
            </w:pPr>
            <w:r>
              <w:rPr>
                <w:sz w:val="4"/>
                <w:szCs w:val="4"/>
              </w:rPr>
            </w:r>
          </w:p>
        </w:tc>
        <w:tc>
          <w:tcPr>
            <w:tcW w:w="6866" w:type="dxa"/>
            <w:gridSpan w:val="6"/>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80" w:after="180"/>
        <w:rPr>
          <w:rFonts w:ascii="Arial;sans-serif" w:hAnsi="Arial;sans-serif"/>
          <w:b/>
          <w:color w:val="000000"/>
          <w:sz w:val="18"/>
        </w:rPr>
      </w:pPr>
      <w:r>
        <w:rPr>
          <w:rFonts w:ascii="Arial;sans-serif" w:hAnsi="Arial;sans-serif"/>
          <w:b/>
          <w:color w:val="000000"/>
          <w:sz w:val="18"/>
        </w:rPr>
        <w:t>ICON plc</w:t>
      </w:r>
    </w:p>
    <w:p>
      <w:pPr>
        <w:pStyle w:val="TextBody"/>
        <w:spacing w:lineRule="auto" w:line="288" w:before="180" w:after="180"/>
        <w:ind w:left="0" w:right="0" w:firstLine="720"/>
        <w:jc w:val="both"/>
        <w:rPr>
          <w:rFonts w:ascii="Arial;sans-serif" w:hAnsi="Arial;sans-serif"/>
          <w:b w:val="false"/>
          <w:color w:val="000000"/>
          <w:sz w:val="18"/>
        </w:rPr>
      </w:pPr>
      <w:r>
        <w:rPr>
          <w:rFonts w:ascii="Arial;sans-serif" w:hAnsi="Arial;sans-serif"/>
          <w:b w:val="false"/>
          <w:color w:val="000000"/>
          <w:sz w:val="18"/>
        </w:rPr>
        <w:t>This report on Form 6-K is hereby incorporated by reference in the registration statement on Form F-4 (Registration No. 333-254891) of ICON plc and in the prospectus contained therein, registration statement on Form S-8 (Registration No. 333-152802) of ICON plc, registration statement on Form S-8 (Registration No. 333-204153) of ICON plc, registration statement on Form S-8 (Registration No. 333-231527) of ICON plc, registration statement on Form S-8 (Registration No. 333-254891) of ICON plc, and registration statement on Form S-8 (Registration No. 333-257578)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GENERAL</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used herein, “ICON”, the “Company”, the "Group", and “we” refer to ICON plc and its consolidated subsidiaries, unless the context requires otherwise.</w:t>
      </w:r>
    </w:p>
    <w:p>
      <w:pPr>
        <w:pStyle w:val="TextBody"/>
        <w:spacing w:before="0" w:after="0"/>
        <w:jc w:val="both"/>
        <w:rPr/>
      </w:pPr>
      <w:r>
        <w:rPr/>
      </w:r>
    </w:p>
    <w:p>
      <w:pPr>
        <w:pStyle w:val="TextBody"/>
        <w:spacing w:lineRule="auto" w:line="288" w:before="0" w:after="0"/>
        <w:jc w:val="both"/>
        <w:rPr>
          <w:rFonts w:ascii="Arial;sans-serif" w:hAnsi="Arial;sans-serif"/>
          <w:b/>
          <w:color w:val="000000"/>
          <w:sz w:val="18"/>
        </w:rPr>
      </w:pPr>
      <w:r>
        <w:rPr>
          <w:rFonts w:ascii="Arial;sans-serif" w:hAnsi="Arial;sans-serif"/>
          <w:b/>
          <w:color w:val="000000"/>
          <w:sz w:val="18"/>
        </w:rPr>
        <w:t>Business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2023 we had approximately 41,150 employees in 109 locations in 53 countries. During the three months ended March 31, 2023, we derived approximately 42.7%, 46.8% and 10.5% of our revenue in the United States, Europe and Rest of World, respectively.</w:t>
      </w:r>
    </w:p>
    <w:p>
      <w:pPr>
        <w:pStyle w:val="TextBody"/>
        <w:spacing w:before="0" w:after="0"/>
        <w:jc w:val="both"/>
        <w:rPr/>
      </w:pPr>
      <w:r>
        <w:rPr/>
      </w:r>
    </w:p>
    <w:p>
      <w:pPr>
        <w:pStyle w:val="TextBody"/>
        <w:spacing w:lineRule="auto" w:line="288" w:before="0" w:after="0"/>
        <w:ind w:left="0" w:right="0" w:firstLine="720"/>
        <w:jc w:val="both"/>
        <w:rPr/>
      </w:pPr>
      <w:r>
        <w:rPr>
          <w:rFonts w:ascii="Arial;sans-serif" w:hAnsi="Arial;sans-serif"/>
          <w:b w:val="false"/>
          <w:color w:val="000000"/>
          <w:sz w:val="18"/>
          <w:highlight w:val="white"/>
        </w:rPr>
        <w:t xml:space="preserve">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w:t>
      </w:r>
      <w:r>
        <w:rPr>
          <w:rFonts w:ascii="Arial;sans-serif" w:hAnsi="Arial;sans-serif"/>
          <w:b w:val="false"/>
          <w:color w:val="000000"/>
          <w:sz w:val="18"/>
        </w:rPr>
        <w:t>D18 X5R3,</w:t>
      </w:r>
      <w:r>
        <w:rPr>
          <w:color w:val="000000"/>
          <w:highlight w:val="white"/>
        </w:rPr>
        <w:t xml:space="preserve"> </w:t>
      </w:r>
      <w:r>
        <w:rPr>
          <w:rFonts w:ascii="Arial;sans-serif" w:hAnsi="Arial;sans-serif"/>
          <w:b w:val="false"/>
          <w:color w:val="000000"/>
          <w:sz w:val="18"/>
          <w:highlight w:val="white"/>
        </w:rPr>
        <w:t>Republic of Ireland. The contact telephone number of this office is +353-1-291-2000.</w:t>
      </w:r>
    </w:p>
    <w:p>
      <w:pPr>
        <w:pStyle w:val="TextBody"/>
        <w:spacing w:before="0" w:after="0"/>
        <w:jc w:val="both"/>
        <w:rPr/>
      </w:pPr>
      <w:r>
        <w:rPr/>
      </w:r>
    </w:p>
    <w:p>
      <w:pPr>
        <w:pStyle w:val="TextBody"/>
        <w:spacing w:lineRule="auto" w:line="288" w:before="0" w:after="0"/>
        <w:jc w:val="both"/>
        <w:rPr>
          <w:rFonts w:ascii="Arial;sans-serif" w:hAnsi="Arial;sans-serif"/>
          <w:b/>
          <w:color w:val="000000"/>
          <w:sz w:val="18"/>
        </w:rPr>
      </w:pPr>
      <w:r>
        <w:rPr>
          <w:rFonts w:ascii="Arial;sans-serif" w:hAnsi="Arial;sans-serif"/>
          <w:b/>
          <w:color w:val="000000"/>
          <w:sz w:val="18"/>
        </w:rPr>
        <w:t>Recent developments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Senior Secured Credit Facilities repayment</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March 31, 2023, the Company repaid $250.0 million of the senior secured term loan facility and made a quarterly interest payment of $75.3 million. This repayment resulted in an accelerated charge associated with previously capitalized fees of $2.2 million.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December 30, 2022, the Company repaid $200.0 million of the senior secured term loan facility and made a quarterly interest payment of $66.1 million. This repayment resulted in an accelerated charge associated with previously capitalized fees of $1.8 million.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September 30, 2022, the Company repaid $200.0 million of the senior secured term loan facility and made a</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quarterly interest payment of $53.6 million. This repayment resulted in an accelerated charge associated with previously</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capitalized fees of $1.9 million.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June 30, 2022, the Company repaid $100.0 million of the senior secured term loan facility and made a quarterly</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interest payment of $39.4 million. This repayment resulted in an accelerated charge associated with previously capitalized fees</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 xml:space="preserve">of $0.9 million. </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On March 31, 2022, the Company repaid $300.0 million of the senior secured term loan facility and made a quarterly</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interest payment of $35.1 million. This repayment resulted in an additional charge associated with previously capitalized fees of</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$3.2 million.</w:t>
      </w:r>
    </w:p>
    <w:p>
      <w:pPr>
        <w:pStyle w:val="TextBody"/>
        <w:spacing w:before="0" w:after="0"/>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Senior secured revolving loan facility</w:t>
      </w:r>
    </w:p>
    <w:p>
      <w:pPr>
        <w:pStyle w:val="TextBody"/>
        <w:spacing w:before="0" w:after="0"/>
        <w:jc w:val="both"/>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2023, $100.0 million of the senior secured revolving loan facility was drawn down, in the aggregate, at interest rates of 5.89% and 5.80%, representing one month SOFR plus a margin of 1.25%. This was repaid in full in March 2023. On March 31, 2023, $80.0 million of the senior secured revolving loan facility was drawn down at an interest rate of 6.17%, representing one month SOFR plus a margin of 1.25%. </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Foreign exchange translation</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prepares its financial statements in United States dollar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 in the local currencies of where our global operations are based. Accordingly, changes in exchange rates between the United States dollar and those other currencies can impact the Company’s financial results.</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v:rect>
            </w:pict>
          </mc:Fallback>
        </mc:AlternateContent>
      </w:r>
    </w:p>
    <w:p>
      <w:pPr>
        <w:pStyle w:val="TextBody"/>
        <w:spacing w:before="0" w:after="0"/>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Ukraine situation</w:t>
      </w:r>
    </w:p>
    <w:p>
      <w:pPr>
        <w:pStyle w:val="TextBody"/>
        <w:spacing w:before="0" w:after="0"/>
        <w:jc w:val="both"/>
        <w:rPr/>
      </w:pPr>
      <w:r>
        <w:rPr/>
      </w:r>
    </w:p>
    <w:p>
      <w:pPr>
        <w:pStyle w:val="TextBody"/>
        <w:spacing w:lineRule="auto" w:line="288" w:before="0" w:after="0"/>
        <w:ind w:left="0" w:right="0" w:firstLine="720"/>
        <w:jc w:val="both"/>
        <w:rPr/>
      </w:pPr>
      <w:r>
        <w:rPr>
          <w:rFonts w:ascii="Arial;sans-serif" w:hAnsi="Arial;sans-serif"/>
          <w:b w:val="false"/>
          <w:color w:val="000000"/>
          <w:sz w:val="18"/>
          <w:highlight w:val="white"/>
        </w:rPr>
        <w:t>On February 24, 2022, Russia invaded Ukraine, creating significant instability and unrest in the region. Since that time, the Company's key focus has been on the safety of our employees and their families, patients, investigators and on the mitigation of adverse impacts on ongoing clinical trials. The Company has worked to ensure the safety of employees and their families based in Ukraine through the implementation of a number of employee assistance programs. These programs aim to provide affected emp</w:t>
      </w:r>
      <w:r>
        <w:rPr>
          <w:rFonts w:ascii="Arial;sans-serif" w:hAnsi="Arial;sans-serif"/>
          <w:b w:val="false"/>
          <w:color w:val="000000"/>
          <w:sz w:val="18"/>
        </w:rPr>
        <w:t>loyees and their families with transportation, accommodation in neighboring countries, financial assistance, communications and other support services as needed.</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Arial;sans-serif" w:hAnsi="Arial;sans-serif"/>
          <w:b w:val="false"/>
          <w:color w:val="000000"/>
          <w:sz w:val="18"/>
        </w:rPr>
        <w:t>The Company's operations in these affected regions have been significantly curtailed as a result of these events. The ongoing conflict in Ukraine has resulted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 The financial impact of the conflict was not material to the Company during the three months ended</w:t>
      </w:r>
      <w:r>
        <w:rPr>
          <w:color w:val="000000"/>
        </w:rPr>
        <w:t xml:space="preserve"> </w:t>
      </w:r>
      <w:r>
        <w:rPr>
          <w:rFonts w:ascii="Arial;sans-serif" w:hAnsi="Arial;sans-serif"/>
          <w:b w:val="false"/>
          <w:color w:val="000000"/>
          <w:sz w:val="18"/>
        </w:rPr>
        <w:t>March 31, 2023.</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jc w:val="both"/>
        <w:rPr/>
      </w:pPr>
      <w:r>
        <w:rPr/>
      </w:r>
    </w:p>
    <w:p>
      <w:pPr>
        <w:pStyle w:val="TextBody"/>
        <w:spacing w:before="0" w:after="16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v:rect>
            </w:pict>
          </mc:Fallback>
        </mc:AlternateContent>
      </w:r>
    </w:p>
    <w:p>
      <w:pPr>
        <w:pStyle w:val="TextBody"/>
        <w:spacing w:before="0" w:after="0"/>
        <w:rPr/>
      </w:pPr>
      <w:r>
        <w:rPr/>
      </w:r>
    </w:p>
    <w:p>
      <w:pPr>
        <w:pStyle w:val="TextBody"/>
        <w:spacing w:lineRule="auto" w:line="288" w:before="0" w:after="0"/>
        <w:jc w:val="center"/>
        <w:rPr/>
      </w:pPr>
      <w:r>
        <w:rPr>
          <w:color w:val="000000"/>
        </w:rPr>
        <w:t xml:space="preserve">     </w:t>
      </w:r>
      <w:r>
        <w:rPr>
          <w:rFonts w:ascii="Arial;sans-serif" w:hAnsi="Arial;sans-serif"/>
          <w:b/>
          <w:color w:val="000000"/>
          <w:sz w:val="18"/>
        </w:rPr>
        <w:t>ICON plc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AS AT MARCH 31, 2023 AND DECEMBER 31, 2022 </w:t>
      </w:r>
    </w:p>
    <w:tbl>
      <w:tblPr>
        <w:tblW w:w="10205" w:type="dxa"/>
        <w:jc w:val="center"/>
        <w:tblInd w:w="0" w:type="dxa"/>
        <w:tblCellMar>
          <w:top w:w="28" w:type="dxa"/>
          <w:left w:w="28" w:type="dxa"/>
          <w:bottom w:w="28" w:type="dxa"/>
          <w:right w:w="28" w:type="dxa"/>
        </w:tblCellMar>
      </w:tblPr>
      <w:tblGrid>
        <w:gridCol w:w="2428"/>
        <w:gridCol w:w="2118"/>
        <w:gridCol w:w="2127"/>
        <w:gridCol w:w="211"/>
        <w:gridCol w:w="1081"/>
        <w:gridCol w:w="109"/>
        <w:gridCol w:w="109"/>
        <w:gridCol w:w="109"/>
        <w:gridCol w:w="109"/>
        <w:gridCol w:w="262"/>
        <w:gridCol w:w="1348"/>
        <w:gridCol w:w="194"/>
      </w:tblGrid>
      <w:tr>
        <w:trPr/>
        <w:tc>
          <w:tcPr>
            <w:tcW w:w="2428" w:type="dxa"/>
            <w:tcBorders/>
            <w:shd w:fill="auto" w:val="clear"/>
            <w:vAlign w:val="center"/>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c>
          <w:tcPr>
            <w:tcW w:w="21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(Audited)</w:t>
            </w:r>
          </w:p>
        </w:tc>
      </w:tr>
      <w:tr>
        <w:trPr/>
        <w:tc>
          <w:tcPr>
            <w:tcW w:w="66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w:t>
              <w:br/>
              <w:t>2023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80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December 31, 2022</w:t>
            </w:r>
          </w:p>
        </w:tc>
      </w:tr>
      <w:tr>
        <w:trPr/>
        <w:tc>
          <w:tcPr>
            <w:tcW w:w="66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532"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288,768 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for sale investments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 of allowance for credit losses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1,731,388 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Unbilled revenue</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974,260 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957,655 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63,658 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Prepayments and other current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137,094 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48,790 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92"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3,429,233 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3,229,066 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350,320 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8,979,134 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8,971,670 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4,164,410 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4,278,659 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right-of-use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153,832 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70,790 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76,930 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Investments in equity- long term </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32,631 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4" w:type="dxa"/>
            <w:gridSpan w:val="3"/>
            <w:tcBorders/>
            <w:shd w:fill="auto" w:val="clear"/>
            <w:vAlign w:val="center"/>
          </w:tcPr>
          <w:p>
            <w:pPr>
              <w:pStyle w:val="TableContents"/>
              <w:spacing w:before="0" w:after="283"/>
              <w:rPr>
                <w:sz w:val="4"/>
                <w:szCs w:val="4"/>
              </w:rPr>
            </w:pPr>
            <w:r>
              <w:rPr>
                <w:sz w:val="4"/>
                <w:szCs w:val="4"/>
              </w:rPr>
            </w:r>
          </w:p>
        </w:tc>
      </w:tr>
      <w:tr>
        <w:trPr/>
        <w:tc>
          <w:tcPr>
            <w:tcW w:w="667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17,286,524 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17,185,278 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81,194 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revenue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1,507,449 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1,005,025 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41,783 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bank credit lines and loan facilities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55,150 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292"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2,899,080 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2,690,601 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bank credit lines and loan facilities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4,353,534 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4,599,037 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131,644 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other liabilities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38,260 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income taxes payable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239,188 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988,585 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292"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8,632,671 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8,687,315 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Ordinary shares, par value 6 euro cents per share; 100,000,000 shares authorized,</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81,928,422 shares issued and outstanding at March 31, 2023 and</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81,723,555 shares issued and outstanding at December 31, 2022</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6,867,887 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6,840,306 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undenominated capital</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(171,538)</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1,938,038 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1,821,384 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Shareholders' Equity</w:t>
            </w:r>
          </w:p>
        </w:tc>
        <w:tc>
          <w:tcPr>
            <w:tcW w:w="1292"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8,653,853 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8,497,963 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4" w:type="dxa"/>
            <w:gridSpan w:val="3"/>
            <w:tcBorders/>
            <w:shd w:fill="auto" w:val="clear"/>
            <w:vAlign w:val="center"/>
          </w:tcPr>
          <w:p>
            <w:pPr>
              <w:pStyle w:val="TableContents"/>
              <w:spacing w:before="0" w:after="283"/>
              <w:rPr>
                <w:sz w:val="4"/>
                <w:szCs w:val="4"/>
              </w:rPr>
            </w:pPr>
            <w:r>
              <w:rPr>
                <w:sz w:val="4"/>
                <w:szCs w:val="4"/>
              </w:rPr>
            </w:r>
          </w:p>
        </w:tc>
      </w:tr>
      <w:tr>
        <w:trPr/>
        <w:tc>
          <w:tcPr>
            <w:tcW w:w="6673"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4" w:type="dxa"/>
            <w:gridSpan w:val="3"/>
            <w:tcBorders/>
            <w:shd w:fill="auto" w:val="clear"/>
            <w:vAlign w:val="center"/>
          </w:tcPr>
          <w:p>
            <w:pPr>
              <w:pStyle w:val="TableContents"/>
              <w:spacing w:before="0" w:after="283"/>
              <w:rPr>
                <w:sz w:val="4"/>
                <w:szCs w:val="4"/>
              </w:rPr>
            </w:pPr>
            <w:r>
              <w:rPr>
                <w:sz w:val="4"/>
                <w:szCs w:val="4"/>
              </w:rPr>
            </w:r>
          </w:p>
        </w:tc>
      </w:tr>
      <w:tr>
        <w:trPr/>
        <w:tc>
          <w:tcPr>
            <w:tcW w:w="6673"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17,286,524 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6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17,185,278 </w:t>
            </w:r>
          </w:p>
        </w:tc>
        <w:tc>
          <w:tcPr>
            <w:tcW w:w="19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ICON plc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THREE MONTHS ENDED MARCH 31, 2023 AND MARCH 31, 2022 </w:t>
      </w:r>
    </w:p>
    <w:p>
      <w:pPr>
        <w:pStyle w:val="TextBody"/>
        <w:spacing w:lineRule="auto" w:line="288" w:before="0" w:after="0"/>
        <w:ind w:left="0" w:right="0" w:firstLine="45"/>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CellMar>
          <w:top w:w="28" w:type="dxa"/>
          <w:left w:w="28" w:type="dxa"/>
          <w:bottom w:w="28" w:type="dxa"/>
          <w:right w:w="28" w:type="dxa"/>
        </w:tblCellMar>
      </w:tblPr>
      <w:tblGrid>
        <w:gridCol w:w="2036"/>
        <w:gridCol w:w="1775"/>
        <w:gridCol w:w="1794"/>
        <w:gridCol w:w="129"/>
        <w:gridCol w:w="129"/>
        <w:gridCol w:w="129"/>
        <w:gridCol w:w="271"/>
        <w:gridCol w:w="1259"/>
        <w:gridCol w:w="139"/>
        <w:gridCol w:w="129"/>
        <w:gridCol w:w="129"/>
        <w:gridCol w:w="129"/>
        <w:gridCol w:w="271"/>
        <w:gridCol w:w="1259"/>
        <w:gridCol w:w="139"/>
        <w:gridCol w:w="109"/>
        <w:gridCol w:w="109"/>
        <w:gridCol w:w="109"/>
        <w:gridCol w:w="161"/>
      </w:tblGrid>
      <w:tr>
        <w:trPr/>
        <w:tc>
          <w:tcPr>
            <w:tcW w:w="2036"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79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38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12" w:type="dxa"/>
            <w:gridSpan w:val="1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 except share and per share data)</w:t>
            </w:r>
          </w:p>
        </w:tc>
        <w:tc>
          <w:tcPr>
            <w:tcW w:w="488" w:type="dxa"/>
            <w:gridSpan w:val="4"/>
            <w:tcBorders/>
            <w:shd w:fill="auto" w:val="clea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1,978,578 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1,901,764 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costs (excluding depreciation and amortization)</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1,395,546 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1,378,467 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195,261 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145,126 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141,405 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and integration-related expenses</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1,761,789 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1,731,425 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216,789 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170,339 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(86,551)</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(44,425)</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provision for income taxes</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131,310 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126,041 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(14,273)</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(13,286)</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share of earnings from equity method investments</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117,037 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112,755 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of losses in equity method investments</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Group</w:t>
            </w:r>
          </w:p>
        </w:tc>
        <w:tc>
          <w:tcPr>
            <w:tcW w:w="38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116,654 </w:t>
            </w:r>
          </w:p>
        </w:tc>
        <w:tc>
          <w:tcPr>
            <w:tcW w:w="13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111,970 </w:t>
            </w:r>
          </w:p>
        </w:tc>
        <w:tc>
          <w:tcPr>
            <w:tcW w:w="13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Ordinary Share attributable to the Group (note 13):</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6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Ordinary Shares outstanding (note 13):</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81,784,389 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81,463,303 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605"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8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530"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82,605,659 </w:t>
            </w:r>
          </w:p>
        </w:tc>
        <w:tc>
          <w:tcPr>
            <w:tcW w:w="13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530"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82,613,098 </w:t>
            </w:r>
          </w:p>
        </w:tc>
        <w:tc>
          <w:tcPr>
            <w:tcW w:w="13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ICON plc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COMPREHENSIVE INCOME</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THREE MONTHS ENDED MARCH 31, 2023 AND MARCH 31, 2022 </w:t>
      </w:r>
    </w:p>
    <w:p>
      <w:pPr>
        <w:pStyle w:val="TextBody"/>
        <w:spacing w:lineRule="auto" w:line="288" w:before="0" w:after="0"/>
        <w:ind w:left="0" w:right="0" w:firstLine="45"/>
        <w:jc w:val="center"/>
        <w:rPr>
          <w:rFonts w:ascii="Arial;sans-serif" w:hAnsi="Arial;sans-serif"/>
          <w:b/>
          <w:color w:val="000000"/>
          <w:sz w:val="18"/>
        </w:rPr>
      </w:pPr>
      <w:r>
        <w:rPr>
          <w:rFonts w:ascii="Arial;sans-serif" w:hAnsi="Arial;sans-serif"/>
          <w:b/>
          <w:color w:val="000000"/>
          <w:sz w:val="18"/>
        </w:rPr>
        <w:t>(UNAUDITED)</w:t>
      </w:r>
    </w:p>
    <w:p>
      <w:pPr>
        <w:pStyle w:val="TextBody"/>
        <w:spacing w:before="0" w:after="0"/>
        <w:rPr/>
      </w:pPr>
      <w:r>
        <w:rPr/>
      </w:r>
    </w:p>
    <w:tbl>
      <w:tblPr>
        <w:tblW w:w="8410" w:type="dxa"/>
        <w:jc w:val="center"/>
        <w:tblInd w:w="0" w:type="dxa"/>
        <w:tblCellMar>
          <w:top w:w="28" w:type="dxa"/>
          <w:left w:w="28" w:type="dxa"/>
          <w:bottom w:w="28" w:type="dxa"/>
          <w:right w:w="28" w:type="dxa"/>
        </w:tblCellMar>
      </w:tblPr>
      <w:tblGrid>
        <w:gridCol w:w="1616"/>
        <w:gridCol w:w="1417"/>
        <w:gridCol w:w="1422"/>
        <w:gridCol w:w="109"/>
        <w:gridCol w:w="109"/>
        <w:gridCol w:w="109"/>
        <w:gridCol w:w="259"/>
        <w:gridCol w:w="1017"/>
        <w:gridCol w:w="134"/>
        <w:gridCol w:w="109"/>
        <w:gridCol w:w="109"/>
        <w:gridCol w:w="109"/>
        <w:gridCol w:w="259"/>
        <w:gridCol w:w="1017"/>
        <w:gridCol w:w="134"/>
        <w:gridCol w:w="109"/>
        <w:gridCol w:w="109"/>
        <w:gridCol w:w="109"/>
        <w:gridCol w:w="154"/>
      </w:tblGrid>
      <w:tr>
        <w:trPr/>
        <w:tc>
          <w:tcPr>
            <w:tcW w:w="1616" w:type="dxa"/>
            <w:tcBorders/>
            <w:shd w:fill="auto" w:val="clear"/>
            <w:vAlign w:val="center"/>
          </w:tcPr>
          <w:p>
            <w:pPr>
              <w:pStyle w:val="TableContents"/>
              <w:spacing w:before="0" w:after="283"/>
              <w:rPr>
                <w:sz w:val="4"/>
                <w:szCs w:val="4"/>
              </w:rPr>
            </w:pPr>
            <w:r>
              <w:rPr>
                <w:sz w:val="4"/>
                <w:szCs w:val="4"/>
              </w:rPr>
            </w:r>
          </w:p>
        </w:tc>
        <w:tc>
          <w:tcPr>
            <w:tcW w:w="1417"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u w:val="single"/>
              </w:rPr>
            </w:pPr>
            <w:r>
              <w:rPr>
                <w:rFonts w:ascii="Arial;sans-serif" w:hAnsi="Arial;sans-serif"/>
                <w:b/>
                <w:color w:val="000000"/>
                <w:sz w:val="18"/>
                <w:u w:val="single"/>
              </w:rPr>
              <w:t>March 31, 2023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41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u w:val="single"/>
              </w:rPr>
            </w:pPr>
            <w:r>
              <w:rPr>
                <w:rFonts w:ascii="Arial;sans-serif" w:hAnsi="Arial;sans-serif"/>
                <w:b/>
                <w:color w:val="000000"/>
                <w:sz w:val="18"/>
                <w:u w:val="single"/>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group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116,654 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111,970 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(35,818)</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cash flow hedge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(3,858)</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income attributable to the group</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128,296 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76,152 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ICON plc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CONDENSED CONSOLIDATED STATEMENTS OF SHAREHOLDERS' EQUITY </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spacing w:lineRule="auto" w:line="288" w:before="0" w:after="0"/>
        <w:rPr>
          <w:color w:val="000000"/>
        </w:rPr>
      </w:pPr>
      <w:r>
        <w:rPr>
          <w:color w:val="000000"/>
        </w:rPr>
        <w:t> </w:t>
      </w:r>
    </w:p>
    <w:tbl>
      <w:tblPr>
        <w:tblW w:w="10514" w:type="dxa"/>
        <w:jc w:val="left"/>
        <w:tblInd w:w="0" w:type="dxa"/>
        <w:tblCellMar>
          <w:top w:w="28" w:type="dxa"/>
          <w:left w:w="28" w:type="dxa"/>
          <w:bottom w:w="28" w:type="dxa"/>
          <w:right w:w="28" w:type="dxa"/>
        </w:tblCellMar>
      </w:tblPr>
      <w:tblGrid>
        <w:gridCol w:w="730"/>
        <w:gridCol w:w="325"/>
        <w:gridCol w:w="326"/>
        <w:gridCol w:w="547"/>
        <w:gridCol w:w="549"/>
        <w:gridCol w:w="241"/>
        <w:gridCol w:w="211"/>
        <w:gridCol w:w="616"/>
        <w:gridCol w:w="109"/>
        <w:gridCol w:w="211"/>
        <w:gridCol w:w="976"/>
        <w:gridCol w:w="109"/>
        <w:gridCol w:w="328"/>
        <w:gridCol w:w="958"/>
        <w:gridCol w:w="170"/>
        <w:gridCol w:w="267"/>
        <w:gridCol w:w="1065"/>
        <w:gridCol w:w="139"/>
        <w:gridCol w:w="211"/>
        <w:gridCol w:w="976"/>
        <w:gridCol w:w="109"/>
        <w:gridCol w:w="211"/>
        <w:gridCol w:w="976"/>
        <w:gridCol w:w="154"/>
      </w:tblGrid>
      <w:tr>
        <w:trPr/>
        <w:tc>
          <w:tcPr>
            <w:tcW w:w="73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6"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Group</w:t>
            </w:r>
          </w:p>
        </w:tc>
      </w:tr>
      <w:tr>
        <w:trPr/>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Shares</w:t>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Amount</w:t>
            </w:r>
          </w:p>
        </w:tc>
        <w:tc>
          <w:tcPr>
            <w:tcW w:w="12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Additional</w:t>
              <w:br/>
              <w:t>Paid-in</w:t>
              <w:br/>
              <w:t>Capital</w:t>
            </w:r>
          </w:p>
        </w:tc>
        <w:tc>
          <w:tcPr>
            <w:tcW w:w="1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Other</w:t>
              <w:br/>
              <w:t>Undenominated</w:t>
              <w:br/>
              <w:t>Capital</w:t>
            </w:r>
          </w:p>
        </w:tc>
        <w:tc>
          <w:tcPr>
            <w:tcW w:w="14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Accumulated</w:t>
              <w:br/>
              <w:t>Other</w:t>
              <w:br/>
              <w:t>Comprehensive</w:t>
              <w:br/>
              <w:t>Loss</w:t>
            </w:r>
          </w:p>
        </w:tc>
        <w:tc>
          <w:tcPr>
            <w:tcW w:w="12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Retained</w:t>
              <w:br/>
              <w:t>Earnings</w:t>
            </w:r>
          </w:p>
        </w:tc>
        <w:tc>
          <w:tcPr>
            <w:tcW w:w="13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1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33" w:type="dxa"/>
            <w:gridSpan w:val="21"/>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thousands, except share data)</w:t>
            </w:r>
          </w:p>
        </w:tc>
      </w:tr>
      <w:tr>
        <w:trPr/>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2022</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81,723,555 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6,840,306 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(171,538)</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8,497,963 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116,654 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116,654 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share options</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136,649 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Issue of restricted share units / performance share units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68,218 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 compensation expense</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issuance costs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 of tax</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2023</w:t>
            </w:r>
          </w:p>
        </w:tc>
        <w:tc>
          <w:tcPr>
            <w:tcW w:w="10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81,928,422</w:t>
            </w:r>
            <w:r>
              <w:rPr>
                <w:color w:val="000000"/>
              </w:rPr>
              <w:t>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6,662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6,867,887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1,162</w:t>
            </w:r>
            <w:r>
              <w:rPr>
                <w:color w:val="000000"/>
              </w:rPr>
              <w:t> </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(159,896)</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1,938,038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8,653,853</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tbl>
      <w:tblPr>
        <w:tblW w:w="10623" w:type="dxa"/>
        <w:jc w:val="left"/>
        <w:tblInd w:w="0" w:type="dxa"/>
        <w:tblCellMar>
          <w:top w:w="28" w:type="dxa"/>
          <w:left w:w="28" w:type="dxa"/>
          <w:bottom w:w="28" w:type="dxa"/>
          <w:right w:w="28" w:type="dxa"/>
        </w:tblCellMar>
      </w:tblPr>
      <w:tblGrid>
        <w:gridCol w:w="730"/>
        <w:gridCol w:w="325"/>
        <w:gridCol w:w="326"/>
        <w:gridCol w:w="547"/>
        <w:gridCol w:w="549"/>
        <w:gridCol w:w="241"/>
        <w:gridCol w:w="211"/>
        <w:gridCol w:w="616"/>
        <w:gridCol w:w="109"/>
        <w:gridCol w:w="211"/>
        <w:gridCol w:w="976"/>
        <w:gridCol w:w="109"/>
        <w:gridCol w:w="328"/>
        <w:gridCol w:w="958"/>
        <w:gridCol w:w="170"/>
        <w:gridCol w:w="293"/>
        <w:gridCol w:w="1025"/>
        <w:gridCol w:w="153"/>
        <w:gridCol w:w="211"/>
        <w:gridCol w:w="976"/>
        <w:gridCol w:w="109"/>
        <w:gridCol w:w="211"/>
        <w:gridCol w:w="976"/>
        <w:gridCol w:w="109"/>
        <w:gridCol w:w="154"/>
      </w:tblGrid>
      <w:tr>
        <w:trPr/>
        <w:tc>
          <w:tcPr>
            <w:tcW w:w="73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1"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Group</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Shares</w:t>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Amount</w:t>
            </w:r>
          </w:p>
        </w:tc>
        <w:tc>
          <w:tcPr>
            <w:tcW w:w="12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Additional</w:t>
              <w:br/>
              <w:t>Paid-in</w:t>
              <w:br/>
              <w:t>Capital</w:t>
            </w:r>
          </w:p>
        </w:tc>
        <w:tc>
          <w:tcPr>
            <w:tcW w:w="1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Other</w:t>
              <w:br/>
              <w:t>Undenominated</w:t>
              <w:br/>
              <w:t>Capital</w:t>
            </w:r>
          </w:p>
        </w:tc>
        <w:tc>
          <w:tcPr>
            <w:tcW w:w="14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Accumulated</w:t>
              <w:br/>
              <w:t>Other</w:t>
              <w:br/>
              <w:t>Comprehensive</w:t>
              <w:br/>
              <w:t>Loss</w:t>
            </w:r>
          </w:p>
        </w:tc>
        <w:tc>
          <w:tcPr>
            <w:tcW w:w="12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Retained</w:t>
              <w:br/>
              <w:t>Earnings</w:t>
            </w:r>
          </w:p>
        </w:tc>
        <w:tc>
          <w:tcPr>
            <w:tcW w:w="12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88" w:type="dxa"/>
            <w:gridSpan w:val="21"/>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(dollars in thousands, except share data)</w:t>
            </w:r>
          </w:p>
        </w:tc>
        <w:tc>
          <w:tcPr>
            <w:tcW w:w="154" w:type="dxa"/>
            <w:tcBorders/>
            <w:shd w:fill="auto" w:val="clear"/>
          </w:tcPr>
          <w:p>
            <w:pPr>
              <w:pStyle w:val="TableContents"/>
              <w:spacing w:before="0" w:after="283"/>
              <w:rPr>
                <w:sz w:val="4"/>
                <w:szCs w:val="4"/>
              </w:rPr>
            </w:pPr>
            <w:r>
              <w:rPr>
                <w:sz w:val="4"/>
                <w:szCs w:val="4"/>
              </w:rPr>
            </w:r>
          </w:p>
        </w:tc>
      </w:tr>
      <w:tr>
        <w:trPr/>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2021</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81,554,683 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6,733,910 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(90,937)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8,066,827 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111,970 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111,970 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share options</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84,090 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Issue of restricted share units / performance share units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74,769 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 compensation expense</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issuance costs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 program</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(420,530)</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 costs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net of tax</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(35,818)</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3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2022</w:t>
            </w:r>
          </w:p>
        </w:tc>
        <w:tc>
          <w:tcPr>
            <w:tcW w:w="10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81,293,012</w:t>
            </w:r>
            <w:r>
              <w:rPr>
                <w:color w:val="000000"/>
              </w:rPr>
              <w:t>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6,622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6,760,238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1,162</w:t>
            </w:r>
            <w:r>
              <w:rPr>
                <w:color w:val="000000"/>
              </w:rPr>
              <w:t> </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(126,755)</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1,428,050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8"/>
              </w:rPr>
              <w:t>8,069,317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ICON plc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FOR THE THREE MONTHS ENDED MARCH 31, 2023 AND MARCH 31, 2022 (UNAUDITED)</w:t>
      </w:r>
    </w:p>
    <w:tbl>
      <w:tblPr>
        <w:tblW w:w="10024" w:type="dxa"/>
        <w:jc w:val="center"/>
        <w:tblInd w:w="0" w:type="dxa"/>
        <w:tblCellMar>
          <w:top w:w="28" w:type="dxa"/>
          <w:left w:w="28" w:type="dxa"/>
          <w:bottom w:w="28" w:type="dxa"/>
          <w:right w:w="28" w:type="dxa"/>
        </w:tblCellMar>
      </w:tblPr>
      <w:tblGrid>
        <w:gridCol w:w="2394"/>
        <w:gridCol w:w="2103"/>
        <w:gridCol w:w="2117"/>
        <w:gridCol w:w="259"/>
        <w:gridCol w:w="1017"/>
        <w:gridCol w:w="134"/>
        <w:gridCol w:w="109"/>
        <w:gridCol w:w="109"/>
        <w:gridCol w:w="109"/>
        <w:gridCol w:w="259"/>
        <w:gridCol w:w="1017"/>
        <w:gridCol w:w="134"/>
        <w:gridCol w:w="109"/>
        <w:gridCol w:w="154"/>
      </w:tblGrid>
      <w:tr>
        <w:trPr/>
        <w:tc>
          <w:tcPr>
            <w:tcW w:w="2394" w:type="dxa"/>
            <w:tcBorders/>
            <w:shd w:fill="auto" w:val="clear"/>
            <w:vAlign w:val="center"/>
          </w:tcPr>
          <w:p>
            <w:pPr>
              <w:pStyle w:val="TableContents"/>
              <w:spacing w:before="0" w:after="283"/>
              <w:rPr>
                <w:sz w:val="4"/>
                <w:szCs w:val="4"/>
              </w:rPr>
            </w:pPr>
            <w:r>
              <w:rPr>
                <w:sz w:val="4"/>
                <w:szCs w:val="4"/>
              </w:rPr>
            </w:r>
          </w:p>
        </w:tc>
        <w:tc>
          <w:tcPr>
            <w:tcW w:w="2103" w:type="dxa"/>
            <w:tcBorders/>
            <w:shd w:fill="auto" w:val="clear"/>
            <w:vAlign w:val="center"/>
          </w:tcPr>
          <w:p>
            <w:pPr>
              <w:pStyle w:val="TableContents"/>
              <w:spacing w:before="0" w:after="283"/>
              <w:rPr>
                <w:sz w:val="4"/>
                <w:szCs w:val="4"/>
              </w:rPr>
            </w:pPr>
            <w:r>
              <w:rPr>
                <w:sz w:val="4"/>
                <w:szCs w:val="4"/>
              </w:rPr>
            </w:r>
          </w:p>
        </w:tc>
        <w:tc>
          <w:tcPr>
            <w:tcW w:w="211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116,654 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111,970 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145,126 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141,405 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 lived assets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6,933 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 in carrying value of operating right-of-use assets</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equity method investments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 on cash flow hedge</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financing costs and debt discount</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5,781 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taxes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(43,823)</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(34,702)</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movements</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(7,323)</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17,534 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(2,895)</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(93,259)</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(35,461)</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Unbilled revenue</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(18,346)</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(55,427)</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revenue</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80,990 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(16,812)</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 assets</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(68,186)</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84,041 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226,916 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(26,744)</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(19,632)</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 of available for sale investments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available for sale investments</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 of investments in equity - long term</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investments in equity - long term</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Drawdown of bank credit lines and loan facilities</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180,000 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bank credit lines and loan facilities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(350,000)</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 of equity compensation</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issue costs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ordinary shares</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(99,983)</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 costs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(157,064)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(392,512)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movements on cash</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(7,983)</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decrease in cash and cash equivalents</w:t>
            </w:r>
          </w:p>
        </w:tc>
        <w:tc>
          <w:tcPr>
            <w:tcW w:w="127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(8,888)</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(193,115)</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288,768 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752,213 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at end of period</w:t>
            </w:r>
          </w:p>
        </w:tc>
        <w:tc>
          <w:tcPr>
            <w:tcW w:w="127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279,880 </w:t>
            </w:r>
          </w:p>
        </w:tc>
        <w:tc>
          <w:tcPr>
            <w:tcW w:w="13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559,098 </w:t>
            </w:r>
          </w:p>
        </w:tc>
        <w:tc>
          <w:tcPr>
            <w:tcW w:w="13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ICON plc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NOTES TO THE CONDENSED CONSOLIDATED FINANCIAL STATEMENTS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jc w:val="both"/>
        <w:rPr>
          <w:rFonts w:ascii="Arial;sans-serif" w:hAnsi="Arial;sans-serif"/>
          <w:b/>
          <w:color w:val="000000"/>
          <w:sz w:val="18"/>
        </w:rPr>
      </w:pPr>
      <w:r>
        <w:rPr>
          <w:rFonts w:ascii="Arial;sans-serif" w:hAnsi="Arial;sans-serif"/>
          <w:b/>
          <w:color w:val="000000"/>
          <w:sz w:val="18"/>
        </w:rPr>
        <w:t>1. Basis of presentation</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pStyle w:val="TextBody"/>
        <w:spacing w:before="0" w:after="0"/>
        <w:jc w:val="both"/>
        <w:rPr/>
      </w:pPr>
      <w:r>
        <w:rPr/>
      </w:r>
    </w:p>
    <w:p>
      <w:pPr>
        <w:pStyle w:val="TextBody"/>
        <w:spacing w:lineRule="auto" w:line="288" w:before="0" w:after="0"/>
        <w:ind w:left="0" w:right="0" w:firstLine="720"/>
        <w:jc w:val="both"/>
        <w:rPr/>
      </w:pPr>
      <w:r>
        <w:rPr>
          <w:rFonts w:ascii="Arial;sans-serif" w:hAnsi="Arial;sans-serif"/>
          <w:b w:val="false"/>
          <w:color w:val="000000"/>
          <w:sz w:val="18"/>
        </w:rPr>
        <w:t>The condensed consolidated financial statements should be read in conjunction with the accounting policies and notes to the consolidated financial statements included in ICON’s Form 20-F for the year ended December 31, 2022 (see</w:t>
      </w:r>
      <w:r>
        <w:rPr>
          <w:color w:val="000000"/>
        </w:rPr>
        <w:t xml:space="preserve"> </w:t>
      </w:r>
      <w:r>
        <w:rPr>
          <w:rFonts w:ascii="Arial;sans-serif" w:hAnsi="Arial;sans-serif"/>
          <w:b w:val="false"/>
          <w:i/>
          <w:color w:val="000000"/>
          <w:sz w:val="18"/>
        </w:rPr>
        <w:t>note 2 - Summary of significant accounting policies</w:t>
      </w:r>
      <w:r>
        <w:rPr>
          <w:rFonts w:ascii="Arial;sans-serif" w:hAnsi="Arial;sans-serif"/>
          <w:b w:val="false"/>
          <w:color w:val="000000"/>
          <w:sz w:val="18"/>
        </w:rPr>
        <w:t>). Operating results for the three months ended March 31, 2023 are not necessarily indicative of the results that may be expected for the fiscal period ending December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jc w:val="both"/>
        <w:rPr>
          <w:rFonts w:ascii="Arial;sans-serif" w:hAnsi="Arial;sans-serif"/>
          <w:b/>
          <w:color w:val="000000"/>
          <w:sz w:val="18"/>
        </w:rPr>
      </w:pPr>
      <w:r>
        <w:rPr>
          <w:rFonts w:ascii="Arial;sans-serif" w:hAnsi="Arial;sans-serif"/>
          <w:b/>
          <w:color w:val="000000"/>
          <w:sz w:val="18"/>
        </w:rPr>
        <w:t>2. Summary of significant accounting policies</w:t>
      </w:r>
    </w:p>
    <w:p>
      <w:pPr>
        <w:pStyle w:val="TextBody"/>
        <w:spacing w:lineRule="auto" w:line="288" w:before="300" w:after="283"/>
        <w:jc w:val="both"/>
        <w:rPr>
          <w:rFonts w:ascii="Arial;sans-serif" w:hAnsi="Arial;sans-serif"/>
          <w:b/>
          <w:i/>
          <w:color w:val="000000"/>
          <w:sz w:val="18"/>
        </w:rPr>
      </w:pPr>
      <w:r>
        <w:rPr>
          <w:rFonts w:ascii="Arial;sans-serif" w:hAnsi="Arial;sans-serif"/>
          <w:b/>
          <w:i/>
          <w:color w:val="000000"/>
          <w:sz w:val="18"/>
        </w:rPr>
        <w:t>Revenue recognition</w:t>
      </w:r>
    </w:p>
    <w:p>
      <w:pPr>
        <w:pStyle w:val="TextBody"/>
        <w:spacing w:lineRule="auto" w:line="288" w:before="300" w:after="283"/>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 </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Clinical trial service revenue</w:t>
      </w:r>
    </w:p>
    <w:p>
      <w:pPr>
        <w:pStyle w:val="TextBody"/>
        <w:spacing w:before="0" w:after="0"/>
        <w:jc w:val="both"/>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reimbursable expenses) at each reporting period as a percentage of forecasted total project costs.</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Laboratory services revenue</w:t>
      </w:r>
    </w:p>
    <w:p>
      <w:pPr>
        <w:pStyle w:val="TextBody"/>
        <w:spacing w:before="0" w:after="0"/>
        <w:jc w:val="both"/>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 </w:t>
      </w:r>
    </w:p>
    <w:p>
      <w:pPr>
        <w:pStyle w:val="TextBody"/>
        <w:spacing w:before="0" w:after="0"/>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Contracting services revenue</w:t>
      </w:r>
    </w:p>
    <w:p>
      <w:pPr>
        <w:pStyle w:val="TextBody"/>
        <w:spacing w:before="0" w:after="0"/>
        <w:ind w:left="0" w:right="0" w:firstLine="720"/>
        <w:jc w:val="both"/>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Consulting services revenue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pStyle w:val="TextBody"/>
        <w:spacing w:before="0" w:after="0"/>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Data services revenue</w:t>
      </w:r>
    </w:p>
    <w:p>
      <w:pPr>
        <w:pStyle w:val="TextBody"/>
        <w:spacing w:before="0" w:after="0"/>
        <w:ind w:left="0" w:right="0" w:firstLine="720"/>
        <w:jc w:val="both"/>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pStyle w:val="TextBody"/>
        <w:spacing w:before="0" w:after="0"/>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Commissions</w:t>
      </w:r>
    </w:p>
    <w:p>
      <w:pPr>
        <w:pStyle w:val="TextBody"/>
        <w:spacing w:before="0" w:after="0"/>
        <w:ind w:left="0" w:right="0" w:firstLine="720"/>
        <w:rPr/>
      </w:pPr>
      <w:r>
        <w:rPr/>
      </w:r>
    </w:p>
    <w:p>
      <w:pPr>
        <w:pStyle w:val="TextBody"/>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pStyle w:val="TextBody"/>
        <w:spacing w:lineRule="auto" w:line="288" w:before="300" w:after="283"/>
        <w:jc w:val="both"/>
        <w:rPr>
          <w:rFonts w:ascii="Arial;sans-serif" w:hAnsi="Arial;sans-serif"/>
          <w:b/>
          <w:i/>
          <w:color w:val="000000"/>
          <w:sz w:val="18"/>
        </w:rPr>
      </w:pPr>
      <w:r>
        <w:rPr>
          <w:rFonts w:ascii="Arial;sans-serif" w:hAnsi="Arial;sans-serif"/>
          <w:b/>
          <w:i/>
          <w:color w:val="000000"/>
          <w:sz w:val="18"/>
        </w:rPr>
        <w:t>Business Combinations</w:t>
      </w:r>
    </w:p>
    <w:p>
      <w:pPr>
        <w:pStyle w:val="TextBody"/>
        <w:spacing w:lineRule="auto" w:line="288" w:before="300" w:after="283"/>
        <w:ind w:left="0" w:right="0" w:firstLine="720"/>
        <w:jc w:val="both"/>
        <w:rPr/>
      </w:pPr>
      <w:r>
        <w:rPr>
          <w:rFonts w:ascii="Arial;sans-serif" w:hAnsi="Arial;sans-serif"/>
          <w:b w:val="false"/>
          <w:color w:val="000000"/>
          <w:sz w:val="18"/>
        </w:rPr>
        <w:t xml:space="preserve">The cost of a business combination is measured as the aggregate of the fair value of assets received, liabilities assumed and equity instruments issued in exchange for control. </w:t>
      </w:r>
      <w:r>
        <w:rPr>
          <w:rFonts w:ascii="Arial;sans-serif" w:hAnsi="Arial;sans-serif"/>
          <w:b w:val="false"/>
          <w:color w:val="000000"/>
          <w:sz w:val="18"/>
          <w:highlight w:val="white"/>
        </w:rPr>
        <w:t xml:space="preserve">The Company records and allocates to its reporting units the excess of the cost over the fair value of the net assets acquired, known as goodwill. </w:t>
      </w:r>
      <w:r>
        <w:rPr>
          <w:rFonts w:ascii="Arial;sans-serif" w:hAnsi="Arial;sans-serif"/>
          <w:b w:val="false"/>
          <w:color w:val="000000"/>
          <w:sz w:val="18"/>
        </w:rPr>
        <w:t>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allocates a share of net income to the noncontrolling interest holders based on percentage ownership.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v:rect>
            </w:pict>
          </mc:Fallback>
        </mc:AlternateContent>
      </w:r>
    </w:p>
    <w:p>
      <w:pPr>
        <w:pStyle w:val="TextBody"/>
        <w:spacing w:before="0" w:after="0"/>
        <w:rPr/>
      </w:pPr>
      <w:r>
        <w:rPr/>
      </w:r>
    </w:p>
    <w:p>
      <w:pPr>
        <w:pStyle w:val="TextBody"/>
        <w:spacing w:lineRule="auto" w:line="288" w:before="300" w:after="283"/>
        <w:jc w:val="both"/>
        <w:rPr>
          <w:rFonts w:ascii="Arial;sans-serif" w:hAnsi="Arial;sans-serif"/>
          <w:b/>
          <w:i/>
          <w:color w:val="000000"/>
          <w:sz w:val="18"/>
        </w:rPr>
      </w:pPr>
      <w:r>
        <w:rPr>
          <w:rFonts w:ascii="Arial;sans-serif" w:hAnsi="Arial;sans-serif"/>
          <w:b/>
          <w:i/>
          <w:color w:val="000000"/>
          <w:sz w:val="18"/>
        </w:rPr>
        <w:t>Intangible Assets</w:t>
      </w:r>
    </w:p>
    <w:p>
      <w:pPr>
        <w:pStyle w:val="TextBody"/>
        <w:spacing w:lineRule="auto" w:line="288" w:before="300" w:after="283"/>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Intangible assets are measured at their fair value when acquired and amortized on the straight line basis over their respective useful lives. The Company has no indefinite life intangibles other than goodwill. The Company evaluates its intangibles for impairment when indicators of impairment exist.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Intangible assets are amortized on a straight-line basis over the expected useful life, as set forth in the table below:</w:t>
      </w:r>
    </w:p>
    <w:p>
      <w:pPr>
        <w:pStyle w:val="TextBody"/>
        <w:spacing w:before="0" w:after="0"/>
        <w:ind w:left="0" w:right="0" w:firstLine="720"/>
        <w:jc w:val="both"/>
        <w:rPr/>
      </w:pPr>
      <w:r>
        <w:rPr/>
      </w:r>
    </w:p>
    <w:tbl>
      <w:tblPr>
        <w:tblW w:w="3990" w:type="dxa"/>
        <w:jc w:val="left"/>
        <w:tblInd w:w="0" w:type="dxa"/>
        <w:tblCellMar>
          <w:top w:w="28" w:type="dxa"/>
          <w:left w:w="28" w:type="dxa"/>
          <w:bottom w:w="28" w:type="dxa"/>
          <w:right w:w="28" w:type="dxa"/>
        </w:tblCellMar>
      </w:tblPr>
      <w:tblGrid>
        <w:gridCol w:w="728"/>
        <w:gridCol w:w="640"/>
        <w:gridCol w:w="642"/>
        <w:gridCol w:w="580"/>
        <w:gridCol w:w="580"/>
        <w:gridCol w:w="820"/>
      </w:tblGrid>
      <w:tr>
        <w:trPr/>
        <w:tc>
          <w:tcPr>
            <w:tcW w:w="72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Estimated Useful Life</w:t>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years</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Order backlog</w:t>
            </w:r>
          </w:p>
        </w:tc>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years</w:t>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w:t>
            </w:r>
          </w:p>
        </w:tc>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years</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Patient database</w:t>
            </w:r>
          </w:p>
        </w:tc>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years</w:t>
            </w:r>
          </w:p>
        </w:tc>
      </w:tr>
      <w:tr>
        <w:trPr/>
        <w:tc>
          <w:tcPr>
            <w:tcW w:w="201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assets</w:t>
            </w:r>
          </w:p>
        </w:tc>
        <w:tc>
          <w:tcPr>
            <w:tcW w:w="198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years</w:t>
            </w:r>
          </w:p>
        </w:tc>
      </w:tr>
    </w:tbl>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Company periodically assesses the useful lives of intangible assets to evaluate whether what was established at acquisition continues to be appropriate.</w:t>
      </w:r>
    </w:p>
    <w:p>
      <w:pPr>
        <w:pStyle w:val="TextBody"/>
        <w:spacing w:before="0" w:after="0"/>
        <w:ind w:left="0" w:right="0" w:firstLine="720"/>
        <w:rPr/>
      </w:pPr>
      <w:r>
        <w:rPr/>
      </w:r>
    </w:p>
    <w:p>
      <w:pPr>
        <w:pStyle w:val="TextBody"/>
        <w:spacing w:before="0" w:after="0"/>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Income taxes</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GILTI (“global intangible low-taxed income”) in the period it arises and has therefore not provided for deferred taxes in respect of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jc w:val="both"/>
        <w:rPr>
          <w:rFonts w:ascii="Arial;sans-serif" w:hAnsi="Arial;sans-serif"/>
          <w:b/>
          <w:color w:val="000000"/>
          <w:sz w:val="18"/>
        </w:rPr>
      </w:pPr>
      <w:r>
        <w:rPr>
          <w:rFonts w:ascii="Arial;sans-serif" w:hAnsi="Arial;sans-serif"/>
          <w:b/>
          <w:color w:val="000000"/>
          <w:sz w:val="18"/>
        </w:rPr>
        <w:t>3. Revenue</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Revenue disaggregated by customer concentration is as follows:</w:t>
      </w:r>
    </w:p>
    <w:tbl>
      <w:tblPr>
        <w:tblW w:w="4404" w:type="dxa"/>
        <w:jc w:val="left"/>
        <w:tblInd w:w="0" w:type="dxa"/>
        <w:tblCellMar>
          <w:top w:w="28" w:type="dxa"/>
          <w:left w:w="28" w:type="dxa"/>
          <w:bottom w:w="28" w:type="dxa"/>
          <w:right w:w="28" w:type="dxa"/>
        </w:tblCellMar>
      </w:tblPr>
      <w:tblGrid>
        <w:gridCol w:w="439"/>
        <w:gridCol w:w="387"/>
        <w:gridCol w:w="388"/>
        <w:gridCol w:w="229"/>
        <w:gridCol w:w="1062"/>
        <w:gridCol w:w="118"/>
        <w:gridCol w:w="229"/>
        <w:gridCol w:w="1062"/>
        <w:gridCol w:w="118"/>
        <w:gridCol w:w="109"/>
        <w:gridCol w:w="109"/>
        <w:gridCol w:w="154"/>
      </w:tblGrid>
      <w:tr>
        <w:trPr/>
        <w:tc>
          <w:tcPr>
            <w:tcW w:w="43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8" w:type="dxa"/>
            <w:gridSpan w:val="6"/>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14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18"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Clients 1-5</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570,260 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544,625 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Clients 6-10</w:t>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271,696 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287,740 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Clients 11-25</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415,381 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362,192 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721,241 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707,207 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1,978,578 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1,901,764 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There was no revenue from individual customers greater than 10% of consolidated revenue in the respective periods.</w:t>
      </w:r>
    </w:p>
    <w:p>
      <w:pPr>
        <w:pStyle w:val="TextBody"/>
        <w:spacing w:before="0" w:after="0"/>
        <w:ind w:left="0" w:right="0" w:firstLine="72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4. Accounts receivable, unbilled revenue (contract assets) and unearned revenue or payments on account (contract liabilities)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Accounts receivables and unbilled revenue are as follows: </w:t>
      </w:r>
    </w:p>
    <w:tbl>
      <w:tblPr>
        <w:tblW w:w="7318" w:type="dxa"/>
        <w:jc w:val="left"/>
        <w:tblInd w:w="0" w:type="dxa"/>
        <w:tblCellMar>
          <w:top w:w="28" w:type="dxa"/>
          <w:left w:w="28" w:type="dxa"/>
          <w:bottom w:w="28" w:type="dxa"/>
          <w:right w:w="28" w:type="dxa"/>
        </w:tblCellMar>
      </w:tblPr>
      <w:tblGrid>
        <w:gridCol w:w="1484"/>
        <w:gridCol w:w="1303"/>
        <w:gridCol w:w="1308"/>
        <w:gridCol w:w="229"/>
        <w:gridCol w:w="1062"/>
        <w:gridCol w:w="118"/>
        <w:gridCol w:w="285"/>
        <w:gridCol w:w="1321"/>
        <w:gridCol w:w="208"/>
      </w:tblGrid>
      <w:tr>
        <w:trPr/>
        <w:tc>
          <w:tcPr>
            <w:tcW w:w="1484"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1814"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December 31, 2022</w:t>
            </w:r>
          </w:p>
        </w:tc>
      </w:tr>
      <w:tr>
        <w:trPr/>
        <w:tc>
          <w:tcPr>
            <w:tcW w:w="40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23"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14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Billed services (accounts receivable)</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1,838,875 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1,751,950 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Unbilled services (unbilled revenue)</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974,260 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957,655 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and unbilled revenue, gross</w:t>
            </w:r>
          </w:p>
        </w:tc>
        <w:tc>
          <w:tcPr>
            <w:tcW w:w="1291"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2,813,135 </w:t>
            </w:r>
          </w:p>
        </w:tc>
        <w:tc>
          <w:tcPr>
            <w:tcW w:w="118"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2,709,605 </w:t>
            </w:r>
          </w:p>
        </w:tc>
        <w:tc>
          <w:tcPr>
            <w:tcW w:w="208"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(36,149)</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(20,562)</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and unbilled revenue, net</w:t>
            </w:r>
          </w:p>
        </w:tc>
        <w:tc>
          <w:tcPr>
            <w:tcW w:w="2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2,776,986 </w:t>
            </w:r>
          </w:p>
        </w:tc>
        <w:tc>
          <w:tcPr>
            <w:tcW w:w="11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2,689,043 </w:t>
            </w:r>
          </w:p>
        </w:tc>
        <w:tc>
          <w:tcPr>
            <w:tcW w:w="20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color w:val="000000"/>
        </w:rPr>
      </w:pPr>
      <w:r>
        <w:rPr>
          <w:color w:val="000000"/>
        </w:rPr>
        <w:t>    </w:t>
      </w:r>
    </w:p>
    <w:p>
      <w:pPr>
        <w:pStyle w:val="TextBody"/>
        <w:spacing w:lineRule="auto" w:line="288" w:before="0" w:after="120"/>
        <w:ind w:left="0" w:right="0" w:firstLine="720"/>
        <w:rPr>
          <w:rFonts w:ascii="Arial;sans-serif" w:hAnsi="Arial;sans-serif"/>
          <w:b w:val="false"/>
          <w:color w:val="000000"/>
          <w:sz w:val="18"/>
        </w:rPr>
      </w:pPr>
      <w:r>
        <w:rPr>
          <w:rFonts w:ascii="Arial;sans-serif" w:hAnsi="Arial;sans-serif"/>
          <w:b w:val="false"/>
          <w:color w:val="000000"/>
          <w:sz w:val="18"/>
        </w:rPr>
        <w:t>Unbilled services and unearned revenue or payments on account (contract assets and liabilities) were as follows:</w:t>
      </w:r>
    </w:p>
    <w:tbl>
      <w:tblPr>
        <w:tblW w:w="9962" w:type="dxa"/>
        <w:jc w:val="center"/>
        <w:tblInd w:w="0" w:type="dxa"/>
        <w:tblCellMar>
          <w:top w:w="28" w:type="dxa"/>
          <w:left w:w="28" w:type="dxa"/>
          <w:bottom w:w="28" w:type="dxa"/>
          <w:right w:w="28" w:type="dxa"/>
        </w:tblCellMar>
      </w:tblPr>
      <w:tblGrid>
        <w:gridCol w:w="1293"/>
        <w:gridCol w:w="1136"/>
        <w:gridCol w:w="1141"/>
        <w:gridCol w:w="243"/>
        <w:gridCol w:w="1041"/>
        <w:gridCol w:w="125"/>
        <w:gridCol w:w="109"/>
        <w:gridCol w:w="109"/>
        <w:gridCol w:w="109"/>
        <w:gridCol w:w="306"/>
        <w:gridCol w:w="1306"/>
        <w:gridCol w:w="158"/>
        <w:gridCol w:w="109"/>
        <w:gridCol w:w="109"/>
        <w:gridCol w:w="109"/>
        <w:gridCol w:w="211"/>
        <w:gridCol w:w="796"/>
        <w:gridCol w:w="109"/>
        <w:gridCol w:w="109"/>
        <w:gridCol w:w="109"/>
        <w:gridCol w:w="109"/>
        <w:gridCol w:w="255"/>
        <w:gridCol w:w="256"/>
        <w:gridCol w:w="605"/>
      </w:tblGrid>
      <w:tr>
        <w:trPr/>
        <w:tc>
          <w:tcPr>
            <w:tcW w:w="1293"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percentages)</w:t>
            </w:r>
          </w:p>
        </w:tc>
        <w:tc>
          <w:tcPr>
            <w:tcW w:w="14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770"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35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06" w:type="dxa"/>
            <w:gridSpan w:val="9"/>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Unbilled services (unbilled revenue)</w:t>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974,260 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957,655 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6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revenue (payments on account)</w:t>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(1,580,235)</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(1,507,449)</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6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70"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balance</w:t>
            </w:r>
          </w:p>
        </w:tc>
        <w:tc>
          <w:tcPr>
            <w:tcW w:w="2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(605,975)</w:t>
            </w:r>
          </w:p>
        </w:tc>
        <w:tc>
          <w:tcPr>
            <w:tcW w:w="1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0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0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(549,794)</w:t>
            </w:r>
          </w:p>
        </w:tc>
        <w:tc>
          <w:tcPr>
            <w:tcW w:w="1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(56,181)</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6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Unbilled services as at March 31, 2023 increased by $16.6 million compared to December 31, 2022. Unearned revenue increased by $72.8 million over the same period resulting in an decrease of $56.2 million in the net balance of unbilled services and unearned revenue or payments on account between December 31, 2022 and March 31, 2023.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of March 31, 2023 approximately $13.8 billion (March 31, 2022: $13.6 billion) of revenue is expected to be recognized in the future in respect of unsatisfied performance obligations. The Company expects to recognize revenue on approximately 52% of the unsatisfied performance obligations over the next 12 months, with the remainder recognized thereafter over the duration of the customer contracts.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v:rect>
            </w:pict>
          </mc:Fallback>
        </mc:AlternateContent>
      </w:r>
    </w:p>
    <w:p>
      <w:pPr>
        <w:pStyle w:val="TextBody"/>
        <w:spacing w:before="0" w:after="0"/>
        <w:rPr/>
      </w:pPr>
      <w:r>
        <w:rPr/>
      </w:r>
    </w:p>
    <w:p>
      <w:pPr>
        <w:pStyle w:val="TextBody"/>
        <w:spacing w:lineRule="auto" w:line="288" w:before="120" w:after="180"/>
        <w:jc w:val="both"/>
        <w:rPr>
          <w:rFonts w:ascii="Arial;sans-serif" w:hAnsi="Arial;sans-serif"/>
          <w:b/>
          <w:color w:val="000000"/>
          <w:sz w:val="18"/>
        </w:rPr>
      </w:pPr>
      <w:r>
        <w:rPr>
          <w:rFonts w:ascii="Arial;sans-serif" w:hAnsi="Arial;sans-serif"/>
          <w:b/>
          <w:color w:val="000000"/>
          <w:sz w:val="18"/>
        </w:rPr>
        <w:t>5. Goodwill</w:t>
      </w:r>
    </w:p>
    <w:tbl>
      <w:tblPr>
        <w:tblW w:w="6178" w:type="dxa"/>
        <w:jc w:val="left"/>
        <w:tblInd w:w="0" w:type="dxa"/>
        <w:tblCellMar>
          <w:top w:w="28" w:type="dxa"/>
          <w:left w:w="28" w:type="dxa"/>
          <w:bottom w:w="28" w:type="dxa"/>
          <w:right w:w="28" w:type="dxa"/>
        </w:tblCellMar>
      </w:tblPr>
      <w:tblGrid>
        <w:gridCol w:w="907"/>
        <w:gridCol w:w="797"/>
        <w:gridCol w:w="801"/>
        <w:gridCol w:w="302"/>
        <w:gridCol w:w="1401"/>
        <w:gridCol w:w="156"/>
        <w:gridCol w:w="285"/>
        <w:gridCol w:w="1321"/>
        <w:gridCol w:w="208"/>
      </w:tblGrid>
      <w:tr>
        <w:trPr/>
        <w:tc>
          <w:tcPr>
            <w:tcW w:w="907"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Three Months Ended</w:t>
            </w:r>
          </w:p>
        </w:tc>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Year Ended</w:t>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18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December 31, 2022</w:t>
            </w:r>
          </w:p>
        </w:tc>
      </w:tr>
      <w:tr>
        <w:trPr/>
        <w:tc>
          <w:tcPr>
            <w:tcW w:w="25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Opening balance</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8,971,670 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9,037,931 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Prior period acquisitions</w:t>
            </w:r>
          </w:p>
        </w:tc>
        <w:tc>
          <w:tcPr>
            <w:tcW w:w="17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(35,692)</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Foreign exchange movement</w:t>
            </w:r>
          </w:p>
        </w:tc>
        <w:tc>
          <w:tcPr>
            <w:tcW w:w="1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(30,569)</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Closing balance</w:t>
            </w:r>
          </w:p>
        </w:tc>
        <w:tc>
          <w:tcPr>
            <w:tcW w:w="30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8,979,134 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285"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8,971,670 </w:t>
            </w:r>
          </w:p>
        </w:tc>
        <w:tc>
          <w:tcPr>
            <w:tcW w:w="20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20"/>
        <w:rPr>
          <w:rFonts w:ascii="Arial;sans-serif" w:hAnsi="Arial;sans-serif"/>
          <w:b w:val="false"/>
          <w:color w:val="000000"/>
          <w:sz w:val="18"/>
        </w:rPr>
      </w:pPr>
      <w:r>
        <w:rPr>
          <w:rFonts w:ascii="Arial;sans-serif" w:hAnsi="Arial;sans-serif"/>
          <w:b w:val="false"/>
          <w:color w:val="000000"/>
          <w:sz w:val="18"/>
        </w:rPr>
        <w:t xml:space="preserve">There are no accumulated impairment charges as of March 31, 2023 and December 31, 2022. </w:t>
      </w:r>
    </w:p>
    <w:p>
      <w:pPr>
        <w:pStyle w:val="TextBody"/>
        <w:spacing w:before="10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6. Intangible assets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Intangible assets, net consisted of the following:</w:t>
      </w:r>
    </w:p>
    <w:tbl>
      <w:tblPr>
        <w:tblW w:w="5907" w:type="dxa"/>
        <w:jc w:val="left"/>
        <w:tblInd w:w="0" w:type="dxa"/>
        <w:tblCellMar>
          <w:top w:w="28" w:type="dxa"/>
          <w:left w:w="28" w:type="dxa"/>
          <w:bottom w:w="28" w:type="dxa"/>
          <w:right w:w="28" w:type="dxa"/>
        </w:tblCellMar>
      </w:tblPr>
      <w:tblGrid>
        <w:gridCol w:w="805"/>
        <w:gridCol w:w="708"/>
        <w:gridCol w:w="721"/>
        <w:gridCol w:w="302"/>
        <w:gridCol w:w="1401"/>
        <w:gridCol w:w="156"/>
        <w:gridCol w:w="285"/>
        <w:gridCol w:w="1321"/>
        <w:gridCol w:w="208"/>
      </w:tblGrid>
      <w:tr>
        <w:trPr/>
        <w:tc>
          <w:tcPr>
            <w:tcW w:w="805"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Three Months Ended</w:t>
            </w:r>
          </w:p>
        </w:tc>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Year Ended</w:t>
            </w:r>
          </w:p>
        </w:tc>
      </w:tr>
      <w:tr>
        <w:trPr/>
        <w:tc>
          <w:tcPr>
            <w:tcW w:w="22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18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December 31, 2022</w:t>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Arial;sans-serif" w:hAnsi="Arial;sans-serif"/>
                <w:b/>
                <w:color w:val="000000"/>
                <w:sz w:val="18"/>
              </w:rPr>
            </w:pPr>
            <w:r>
              <w:rPr>
                <w:rFonts w:ascii="Arial;sans-serif" w:hAnsi="Arial;sans-serif"/>
                <w:b/>
                <w:color w:val="000000"/>
                <w:sz w:val="18"/>
              </w:rPr>
              <w:t>Cost</w:t>
            </w:r>
          </w:p>
        </w:tc>
        <w:tc>
          <w:tcPr>
            <w:tcW w:w="3673"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4,077,267 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4,076,435 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Order backlog</w:t>
            </w:r>
          </w:p>
        </w:tc>
        <w:tc>
          <w:tcPr>
            <w:tcW w:w="17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537,247 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536,934 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 &amp; brands</w:t>
            </w:r>
          </w:p>
        </w:tc>
        <w:tc>
          <w:tcPr>
            <w:tcW w:w="1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204,621 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Patient database</w:t>
            </w:r>
          </w:p>
        </w:tc>
        <w:tc>
          <w:tcPr>
            <w:tcW w:w="17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170,298 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170,238 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assets</w:t>
            </w:r>
          </w:p>
        </w:tc>
        <w:tc>
          <w:tcPr>
            <w:tcW w:w="1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121,141 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120,984 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w:t>
            </w:r>
          </w:p>
        </w:tc>
        <w:tc>
          <w:tcPr>
            <w:tcW w:w="17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5,110,593 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5,109,212 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amortization</w:t>
            </w:r>
          </w:p>
        </w:tc>
        <w:tc>
          <w:tcPr>
            <w:tcW w:w="1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(946,183)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(830,553)</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r>
      <w:tr>
        <w:trPr/>
        <w:tc>
          <w:tcPr>
            <w:tcW w:w="2234"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Net book value</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4,164,410 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4,278,659 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18"/>
        </w:rPr>
        <w:t>The identifiable intangible assets are amortized over their estimated useful lives</w:t>
      </w:r>
      <w:r>
        <w:rPr>
          <w:rFonts w:ascii="Times New Roman;sans-serif" w:hAnsi="Times New Roman;sans-serif"/>
          <w:b w:val="false"/>
          <w:color w:val="000000"/>
          <w:sz w:val="20"/>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 xml:space="preserve">7. Fair value measurements </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Arial;sans-serif" w:hAnsi="Arial;sans-serif"/>
          <w:b w:val="false"/>
          <w:color w:val="000000"/>
          <w:sz w:val="18"/>
        </w:rPr>
        <w:t>Level 1 — Quoted prices in active markets for identical assets or liabilities.</w:t>
      </w:r>
    </w:p>
    <w:p>
      <w:pPr>
        <w:pStyle w:val="TextBody"/>
        <w:spacing w:lineRule="auto" w:line="288" w:before="0" w:after="0"/>
        <w:ind w:left="0" w:right="0" w:hanging="360"/>
        <w:jc w:val="both"/>
        <w:rPr/>
      </w:pPr>
      <w:r>
        <w:rPr>
          <w:color w:val="000000"/>
        </w:rPr>
        <w:t>•</w:t>
      </w:r>
      <w:r>
        <w:rPr>
          <w:rFonts w:ascii="Arial;sans-serif" w:hAnsi="Arial;sans-serif"/>
          <w:b w:val="false"/>
          <w:color w:val="000000"/>
          <w:sz w:val="18"/>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spacing w:lineRule="auto" w:line="288" w:before="0" w:after="0"/>
        <w:ind w:left="0" w:right="0" w:hanging="360"/>
        <w:jc w:val="both"/>
        <w:rPr/>
      </w:pPr>
      <w:r>
        <w:rPr>
          <w:color w:val="000000"/>
        </w:rPr>
        <w:t>•</w:t>
      </w:r>
      <w:r>
        <w:rPr>
          <w:rFonts w:ascii="Arial;sans-serif" w:hAnsi="Arial;sans-serif"/>
          <w:b w:val="false"/>
          <w:color w:val="000000"/>
          <w:sz w:val="18"/>
        </w:rPr>
        <w:t>Level 3 — Unobservable inputs that are supported by little or no market activity. This includes certain pricing models, discounted cash flow methodologies, and similar techniques that use significant unobservable inputs.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carrying amounts of financial instruments, including cash and cash equivalents, accounts receivable, unbilled services, contract assets, accounts payable, and unearned revenue approximate fair value due to the short maturities of these instruments.</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of March 31, 2023, the fair value of the major classes of the Company's assets and liabilities measured at fair value on a recurring basis were as follows (in thousands):</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1186"/>
        <w:gridCol w:w="1038"/>
        <w:gridCol w:w="1052"/>
        <w:gridCol w:w="211"/>
        <w:gridCol w:w="616"/>
        <w:gridCol w:w="109"/>
        <w:gridCol w:w="211"/>
        <w:gridCol w:w="616"/>
        <w:gridCol w:w="109"/>
        <w:gridCol w:w="211"/>
        <w:gridCol w:w="406"/>
        <w:gridCol w:w="109"/>
        <w:gridCol w:w="656"/>
        <w:gridCol w:w="2246"/>
        <w:gridCol w:w="340"/>
        <w:gridCol w:w="211"/>
        <w:gridCol w:w="721"/>
        <w:gridCol w:w="157"/>
      </w:tblGrid>
      <w:tr>
        <w:trPr/>
        <w:tc>
          <w:tcPr>
            <w:tcW w:w="1186"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2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93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7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4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Investments Measured at Net Asset Value</w:t>
            </w:r>
          </w:p>
        </w:tc>
        <w:tc>
          <w:tcPr>
            <w:tcW w:w="10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2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29"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for sale securities (short-term) (a)</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for sale investments (long-term) (b)</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32,052 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32,052 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42"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32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32,052 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 (c)</w:t>
            </w:r>
          </w:p>
        </w:tc>
        <w:tc>
          <w:tcPr>
            <w:tcW w:w="8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7,485 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of December 31, 2022, the fair value of the major classes of the Company's assets and liabilities measured at fair value on a recurring basis were as follows (in thousands):</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1186"/>
        <w:gridCol w:w="1038"/>
        <w:gridCol w:w="1052"/>
        <w:gridCol w:w="211"/>
        <w:gridCol w:w="616"/>
        <w:gridCol w:w="109"/>
        <w:gridCol w:w="211"/>
        <w:gridCol w:w="616"/>
        <w:gridCol w:w="109"/>
        <w:gridCol w:w="211"/>
        <w:gridCol w:w="406"/>
        <w:gridCol w:w="109"/>
        <w:gridCol w:w="656"/>
        <w:gridCol w:w="2246"/>
        <w:gridCol w:w="340"/>
        <w:gridCol w:w="211"/>
        <w:gridCol w:w="721"/>
        <w:gridCol w:w="157"/>
      </w:tblGrid>
      <w:tr>
        <w:trPr/>
        <w:tc>
          <w:tcPr>
            <w:tcW w:w="1186"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2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93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7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4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Investments Measured at Net Asset Value</w:t>
            </w:r>
          </w:p>
        </w:tc>
        <w:tc>
          <w:tcPr>
            <w:tcW w:w="10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2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29"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3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for sale securities (short-term) (a)</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for sale investments (long-term) (b)</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32,631 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 (c)</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 (c)</w:t>
            </w:r>
          </w:p>
        </w:tc>
        <w:tc>
          <w:tcPr>
            <w:tcW w:w="8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3,670 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(a) Represents the fair value of investments in highly liquid investments with maturities of greater than three months and a minimum "A-" rated fixed term deposits and are based on quoted market prices.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(b) To determine the classification of its interests in long-term investments, the Company considered the nature of its investment, the extent of influence over operating and financial decisions and the availability of readily determinable fair values. The Company determined that the interests in funds meet the definition of equity securities without readily determinable fair values, which qualify for the Net Asset Value (NAV) practical expedient in ASC 820 'Fair value measurements and disclosures'. Any increases or decreases in fair value are recognized in net income in the period.</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18"/>
        </w:rPr>
        <w:t xml:space="preserve">(c) Represents the fair value of interest rate cap and interest rate swap agreements. </w:t>
      </w:r>
      <w:r>
        <w:rPr>
          <w:rFonts w:ascii="Arial;sans-serif" w:hAnsi="Arial;sans-serif"/>
          <w:b w:val="false"/>
          <w:color w:val="000000"/>
          <w:sz w:val="18"/>
          <w:highlight w:val="white"/>
        </w:rPr>
        <w:t xml:space="preserve">The fair value of the agreements are the estimated amount that the Company would receive or pay to terminate such agreements, taking into account market interest rates and the remaining time to maturities or using market inputs with mid-market pricing as a practical expedient for bid-ask spread.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 xml:space="preserve">Non-recurring Fair Value Measurements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March 31, 2023, assets carried on the balance sheet at cost and not re-measured to fair value on a recurring basis totaled approximately $13,143.5 million and are identified as Level 3 assets. These assets are comprised of goodwill of $8,979.1 million and net identifiable intangible assets of $4,164.4 million.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estimated fair value of the Company’s debt was $4,400.4 million at March 31, 2023. The fair values of the Senior Secured Credit Facilities and Senior Secured Notes were determined based on Level 2 inputs, which are based on rates at which the debt is traded among financial institutions. The fair value of the senior secured revolving loan facility is recorded as its carrying value, due to the short term duration.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Arial;sans-serif" w:hAnsi="Arial;sans-serif"/>
          <w:b/>
          <w:color w:val="000000"/>
          <w:sz w:val="18"/>
        </w:rPr>
      </w:pPr>
      <w:r>
        <w:rPr>
          <w:rFonts w:ascii="Arial;sans-serif" w:hAnsi="Arial;sans-serif"/>
          <w:b/>
          <w:color w:val="000000"/>
          <w:sz w:val="18"/>
        </w:rPr>
        <w:t>8. Restructuring</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the three months ended March 31, 2023, a restructuring charge of $9.7 million was recorded in the Condensed Consolidated Statement of Operations under a restructuring plan adopted following a review of operations. The restructuring plan reflected an office consolidation program to optimize the Company's office footprint. </w:t>
      </w:r>
    </w:p>
    <w:p>
      <w:pPr>
        <w:pStyle w:val="TextBody"/>
        <w:spacing w:before="100" w:after="283"/>
        <w:jc w:val="both"/>
        <w:rPr/>
      </w:pPr>
      <w:r>
        <w:rPr/>
      </w:r>
    </w:p>
    <w:tbl>
      <w:tblPr>
        <w:tblW w:w="4785" w:type="dxa"/>
        <w:jc w:val="left"/>
        <w:tblInd w:w="0" w:type="dxa"/>
        <w:tblCellMar>
          <w:top w:w="28" w:type="dxa"/>
          <w:left w:w="28" w:type="dxa"/>
          <w:bottom w:w="28" w:type="dxa"/>
          <w:right w:w="28" w:type="dxa"/>
        </w:tblCellMar>
      </w:tblPr>
      <w:tblGrid>
        <w:gridCol w:w="695"/>
        <w:gridCol w:w="611"/>
        <w:gridCol w:w="614"/>
        <w:gridCol w:w="318"/>
        <w:gridCol w:w="928"/>
        <w:gridCol w:w="164"/>
        <w:gridCol w:w="313"/>
        <w:gridCol w:w="914"/>
        <w:gridCol w:w="228"/>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65" w:type="dxa"/>
            <w:gridSpan w:val="6"/>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14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65"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Restructuring charges</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4,207 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charge</w:t>
            </w:r>
          </w:p>
        </w:tc>
        <w:tc>
          <w:tcPr>
            <w:tcW w:w="3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9,729 </w:t>
            </w:r>
          </w:p>
        </w:tc>
        <w:tc>
          <w:tcPr>
            <w:tcW w:w="1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4,207 </w:t>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pStyle w:val="TextBody"/>
        <w:spacing w:lineRule="auto" w:line="288" w:before="100" w:after="283"/>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At March 31, 2023, a total liability of $4.8 million was recorded on the Consolidated Balance Sheet relating to restructuring activities. The total liability included $2.7 million of facilities related liabilities of which $0.5 million is included within other liabilities and $2.2 million is included within non-current other liabilities. </w:t>
      </w:r>
    </w:p>
    <w:p>
      <w:pPr>
        <w:pStyle w:val="TextBody"/>
        <w:spacing w:before="0" w:after="0"/>
        <w:ind w:left="0" w:right="0" w:firstLine="720"/>
        <w:jc w:val="both"/>
        <w:rPr/>
      </w:pPr>
      <w:r>
        <w:rPr/>
      </w:r>
    </w:p>
    <w:tbl>
      <w:tblPr>
        <w:tblW w:w="5503" w:type="dxa"/>
        <w:jc w:val="left"/>
        <w:tblInd w:w="0" w:type="dxa"/>
        <w:tblCellMar>
          <w:top w:w="28" w:type="dxa"/>
          <w:left w:w="28" w:type="dxa"/>
          <w:bottom w:w="28" w:type="dxa"/>
          <w:right w:w="28" w:type="dxa"/>
        </w:tblCellMar>
      </w:tblPr>
      <w:tblGrid>
        <w:gridCol w:w="662"/>
        <w:gridCol w:w="582"/>
        <w:gridCol w:w="586"/>
        <w:gridCol w:w="419"/>
        <w:gridCol w:w="1224"/>
        <w:gridCol w:w="216"/>
        <w:gridCol w:w="352"/>
        <w:gridCol w:w="1206"/>
        <w:gridCol w:w="256"/>
      </w:tblGrid>
      <w:tr>
        <w:trPr/>
        <w:tc>
          <w:tcPr>
            <w:tcW w:w="662"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Three Months Ended</w:t>
            </w:r>
          </w:p>
        </w:tc>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Year ended</w:t>
            </w:r>
          </w:p>
        </w:tc>
      </w:tr>
      <w:tr>
        <w:trPr/>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18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December 31, 2022</w:t>
            </w:r>
          </w:p>
        </w:tc>
      </w:tr>
      <w:tr>
        <w:trPr/>
        <w:tc>
          <w:tcPr>
            <w:tcW w:w="18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Opening provision</w:t>
            </w:r>
          </w:p>
        </w:tc>
        <w:tc>
          <w:tcPr>
            <w:tcW w:w="4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6,022 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provisions</w:t>
            </w:r>
          </w:p>
        </w:tc>
        <w:tc>
          <w:tcPr>
            <w:tcW w:w="1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Utilization</w:t>
            </w:r>
          </w:p>
        </w:tc>
        <w:tc>
          <w:tcPr>
            <w:tcW w:w="16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(8,653)</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provision</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Arial;sans-serif" w:hAnsi="Arial;sans-serif"/>
          <w:b/>
          <w:color w:val="000000"/>
          <w:sz w:val="18"/>
        </w:rPr>
      </w:pPr>
      <w:r>
        <w:rPr>
          <w:rFonts w:ascii="Arial;sans-serif" w:hAnsi="Arial;sans-serif"/>
          <w:b/>
          <w:color w:val="000000"/>
          <w:sz w:val="18"/>
        </w:rPr>
        <w:t>9. Operating leases</w:t>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Lease costs recorded under operating leases for the three months ended March 31, 2023 and March 31, 2022 were as follows:</w:t>
      </w:r>
    </w:p>
    <w:p>
      <w:pPr>
        <w:pStyle w:val="TextBody"/>
        <w:spacing w:before="0" w:after="0"/>
        <w:jc w:val="both"/>
        <w:rPr/>
      </w:pPr>
      <w:r>
        <w:rPr/>
      </w:r>
    </w:p>
    <w:tbl>
      <w:tblPr>
        <w:tblW w:w="5721" w:type="dxa"/>
        <w:jc w:val="left"/>
        <w:tblInd w:w="0" w:type="dxa"/>
        <w:tblCellMar>
          <w:top w:w="28" w:type="dxa"/>
          <w:left w:w="28" w:type="dxa"/>
          <w:bottom w:w="28" w:type="dxa"/>
          <w:right w:w="28" w:type="dxa"/>
        </w:tblCellMar>
      </w:tblPr>
      <w:tblGrid>
        <w:gridCol w:w="793"/>
        <w:gridCol w:w="696"/>
        <w:gridCol w:w="701"/>
        <w:gridCol w:w="109"/>
        <w:gridCol w:w="176"/>
        <w:gridCol w:w="341"/>
        <w:gridCol w:w="1166"/>
        <w:gridCol w:w="176"/>
        <w:gridCol w:w="285"/>
        <w:gridCol w:w="977"/>
        <w:gridCol w:w="147"/>
        <w:gridCol w:w="154"/>
      </w:tblGrid>
      <w:tr>
        <w:trPr/>
        <w:tc>
          <w:tcPr>
            <w:tcW w:w="793"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4"/>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14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4"/>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costs</w:t>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sub-leases</w:t>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lease costs</w:t>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Of the total cost of $12.6 million incurred in the three months ended March 31, 2023 (March 31, 2022: $14.9 million), $10.0 million (March 31, 2022: $14.3 million) is recorded within selling, general and administration costs and $2.6 million (March 31, 2022: $0.6 million) is recorded within direct costs.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the three months ended March 31, 2023 and March 31, 2022, costs incurred by the Group related to variable lease payments was de minimis. </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Right-of-use assets obtained, in exchange for lease obligations, net of early termination options now reasonably certain to be exercised, during the three months ended March 31, 2023, totaled $12.3 million (March 31, 2022: $6.8 million).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v:rect>
            </w:pict>
          </mc:Fallback>
        </mc:AlternateContent>
      </w:r>
    </w:p>
    <w:p>
      <w:pPr>
        <w:pStyle w:val="TextBody"/>
        <w:spacing w:before="0" w:after="0"/>
        <w:rPr/>
      </w:pPr>
      <w:r>
        <w:rPr/>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weighted average remaining lease term and weighted-average discount rate at March 31, 2023 were 7.25 years and 2.60%, respectively.</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Future minimum lease payments under non-cancelable leases as of March 31, 2023 were as follows:</w:t>
      </w:r>
    </w:p>
    <w:tbl>
      <w:tblPr>
        <w:tblW w:w="5643" w:type="dxa"/>
        <w:jc w:val="left"/>
        <w:tblInd w:w="0" w:type="dxa"/>
        <w:tblCellMar>
          <w:top w:w="28" w:type="dxa"/>
          <w:left w:w="28" w:type="dxa"/>
          <w:bottom w:w="28" w:type="dxa"/>
          <w:right w:w="28" w:type="dxa"/>
        </w:tblCellMar>
      </w:tblPr>
      <w:tblGrid>
        <w:gridCol w:w="1144"/>
        <w:gridCol w:w="1009"/>
        <w:gridCol w:w="1011"/>
        <w:gridCol w:w="428"/>
        <w:gridCol w:w="1676"/>
        <w:gridCol w:w="221"/>
        <w:gridCol w:w="154"/>
      </w:tblGrid>
      <w:tr>
        <w:trPr/>
        <w:tc>
          <w:tcPr>
            <w:tcW w:w="1144"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67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Minimum rental payments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1</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47,268 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2</w:t>
            </w:r>
          </w:p>
        </w:tc>
        <w:tc>
          <w:tcPr>
            <w:tcW w:w="2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34,247 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3</w:t>
            </w:r>
          </w:p>
        </w:tc>
        <w:tc>
          <w:tcPr>
            <w:tcW w:w="2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24,934 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4</w:t>
            </w:r>
          </w:p>
        </w:tc>
        <w:tc>
          <w:tcPr>
            <w:tcW w:w="2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20,339 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5</w:t>
            </w:r>
          </w:p>
        </w:tc>
        <w:tc>
          <w:tcPr>
            <w:tcW w:w="2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17,173 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2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future minimum lease payments</w:t>
            </w:r>
          </w:p>
        </w:tc>
        <w:tc>
          <w:tcPr>
            <w:tcW w:w="210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188,827 </w:t>
            </w:r>
          </w:p>
        </w:tc>
        <w:tc>
          <w:tcPr>
            <w:tcW w:w="22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imputed interest</w:t>
            </w:r>
          </w:p>
        </w:tc>
        <w:tc>
          <w:tcPr>
            <w:tcW w:w="2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(12,396)</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4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176,431 </w:t>
            </w:r>
          </w:p>
        </w:tc>
        <w:tc>
          <w:tcPr>
            <w:tcW w:w="2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Operating lease liabilities are presented as current and non-current. Operating lease liabilities of $43.4 million have been included in other liabilities as at March 31, 2023 (March 31, 2022: $48.6 million).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18"/>
        </w:rPr>
      </w:pPr>
      <w:r>
        <w:rPr>
          <w:rFonts w:ascii="Arial;sans-serif" w:hAnsi="Arial;sans-serif"/>
          <w:b/>
          <w:color w:val="000000"/>
          <w:sz w:val="18"/>
        </w:rPr>
        <w:t>10. Bank credit lines and loan facilities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Company had the following debt outstanding as of March 31, 2023 and December 31, 2022:</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1316"/>
        <w:gridCol w:w="1160"/>
        <w:gridCol w:w="1163"/>
        <w:gridCol w:w="352"/>
        <w:gridCol w:w="286"/>
        <w:gridCol w:w="719"/>
        <w:gridCol w:w="379"/>
        <w:gridCol w:w="326"/>
        <w:gridCol w:w="770"/>
        <w:gridCol w:w="211"/>
        <w:gridCol w:w="976"/>
        <w:gridCol w:w="109"/>
        <w:gridCol w:w="211"/>
        <w:gridCol w:w="980"/>
        <w:gridCol w:w="109"/>
        <w:gridCol w:w="330"/>
        <w:gridCol w:w="330"/>
        <w:gridCol w:w="478"/>
      </w:tblGrid>
      <w:tr>
        <w:trPr/>
        <w:tc>
          <w:tcPr>
            <w:tcW w:w="1316"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6"/>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Principal amount</w:t>
            </w:r>
          </w:p>
        </w:tc>
        <w:tc>
          <w:tcPr>
            <w:tcW w:w="11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Interest rate as of</w:t>
            </w:r>
          </w:p>
        </w:tc>
        <w:tc>
          <w:tcPr>
            <w:tcW w:w="14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Interest rate as of</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130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c>
          <w:tcPr>
            <w:tcW w:w="11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13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14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3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1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r>
      <w:tr>
        <w:trPr/>
        <w:tc>
          <w:tcPr>
            <w:tcW w:w="36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Facilities:</w:t>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Term Loan</w:t>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7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7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3,951,213 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4,201,213 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2028</w:t>
            </w:r>
          </w:p>
        </w:tc>
      </w:tr>
      <w:tr>
        <w:trPr/>
        <w:tc>
          <w:tcPr>
            <w:tcW w:w="36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w:t>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7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7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2026</w:t>
            </w:r>
          </w:p>
        </w:tc>
      </w:tr>
      <w:tr>
        <w:trPr/>
        <w:tc>
          <w:tcPr>
            <w:tcW w:w="3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Revolving Loan Facility</w:t>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7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2023</w:t>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135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135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135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135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135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 and debt issuance costs</w:t>
            </w:r>
          </w:p>
        </w:tc>
        <w:tc>
          <w:tcPr>
            <w:tcW w:w="1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w:t>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4,646,063 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long-term portion of debt issuance costs and debt discount</w:t>
            </w:r>
          </w:p>
        </w:tc>
        <w:tc>
          <w:tcPr>
            <w:tcW w:w="1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 net</w:t>
            </w:r>
          </w:p>
        </w:tc>
        <w:tc>
          <w:tcPr>
            <w:tcW w:w="135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475"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4,353,534 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4,599,037 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720"/>
        <w:rPr>
          <w:rFonts w:ascii="Arial;sans-serif" w:hAnsi="Arial;sans-serif"/>
          <w:b w:val="false"/>
          <w:color w:val="000000"/>
          <w:sz w:val="18"/>
        </w:rPr>
      </w:pPr>
      <w:r>
        <w:rPr>
          <w:rFonts w:ascii="Arial;sans-serif" w:hAnsi="Arial;sans-serif"/>
          <w:b w:val="false"/>
          <w:color w:val="000000"/>
          <w:sz w:val="18"/>
        </w:rPr>
        <w:t>The Company paid a $27.6 million debt discount in connection with the Senior Secured Credit Facility and Senior Secured Notes on July 1, 2021.</w:t>
      </w:r>
    </w:p>
    <w:p>
      <w:pPr>
        <w:pStyle w:val="TextBody"/>
        <w:spacing w:before="0" w:after="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As of March 31, 2023, the contractual maturities of the Company's debt obligations were as follows:</w:t>
      </w:r>
    </w:p>
    <w:p>
      <w:pPr>
        <w:pStyle w:val="TextBody"/>
        <w:spacing w:before="0" w:after="0"/>
        <w:rPr/>
      </w:pPr>
      <w:r>
        <w:rPr/>
      </w:r>
    </w:p>
    <w:tbl>
      <w:tblPr>
        <w:tblW w:w="5617" w:type="dxa"/>
        <w:jc w:val="left"/>
        <w:tblInd w:w="0" w:type="dxa"/>
        <w:tblCellMar>
          <w:top w:w="28" w:type="dxa"/>
          <w:left w:w="28" w:type="dxa"/>
          <w:bottom w:w="28" w:type="dxa"/>
          <w:right w:w="28" w:type="dxa"/>
        </w:tblCellMar>
      </w:tblPr>
      <w:tblGrid>
        <w:gridCol w:w="665"/>
        <w:gridCol w:w="585"/>
        <w:gridCol w:w="585"/>
        <w:gridCol w:w="585"/>
        <w:gridCol w:w="585"/>
        <w:gridCol w:w="594"/>
        <w:gridCol w:w="109"/>
        <w:gridCol w:w="109"/>
        <w:gridCol w:w="109"/>
        <w:gridCol w:w="109"/>
        <w:gridCol w:w="109"/>
        <w:gridCol w:w="109"/>
        <w:gridCol w:w="214"/>
        <w:gridCol w:w="994"/>
        <w:gridCol w:w="156"/>
      </w:tblGrid>
      <w:tr>
        <w:trPr/>
        <w:tc>
          <w:tcPr>
            <w:tcW w:w="66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59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Contractual maturities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1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2023 (remaining)</w:t>
            </w:r>
          </w:p>
        </w:tc>
        <w:tc>
          <w:tcPr>
            <w:tcW w:w="1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121,363 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1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 and thereafter</w:t>
            </w:r>
          </w:p>
        </w:tc>
        <w:tc>
          <w:tcPr>
            <w:tcW w:w="1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4,244,400 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764"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4,531,213 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35" w:type="dxa"/>
            <w:gridSpan w:val="3"/>
            <w:tcBorders/>
            <w:shd w:fill="auto" w:val="clear"/>
            <w:vAlign w:val="center"/>
          </w:tcPr>
          <w:p>
            <w:pPr>
              <w:pStyle w:val="TableContents"/>
              <w:spacing w:before="0" w:after="283"/>
              <w:rPr>
                <w:sz w:val="4"/>
                <w:szCs w:val="4"/>
              </w:rPr>
            </w:pPr>
            <w:r>
              <w:rPr>
                <w:sz w:val="4"/>
                <w:szCs w:val="4"/>
              </w:rPr>
            </w:r>
          </w:p>
        </w:tc>
        <w:tc>
          <w:tcPr>
            <w:tcW w:w="17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r>
      <w:tr>
        <w:trPr/>
        <w:tc>
          <w:tcPr>
            <w:tcW w:w="1835" w:type="dxa"/>
            <w:gridSpan w:val="3"/>
            <w:tcBorders/>
            <w:shd w:fill="auto" w:val="clear"/>
            <w:vAlign w:val="center"/>
          </w:tcPr>
          <w:p>
            <w:pPr>
              <w:pStyle w:val="TableContents"/>
              <w:spacing w:before="0" w:after="283"/>
              <w:rPr>
                <w:sz w:val="4"/>
                <w:szCs w:val="4"/>
              </w:rPr>
            </w:pPr>
            <w:r>
              <w:rPr>
                <w:sz w:val="4"/>
                <w:szCs w:val="4"/>
              </w:rPr>
            </w:r>
          </w:p>
        </w:tc>
        <w:tc>
          <w:tcPr>
            <w:tcW w:w="17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r>
      <w:tr>
        <w:trPr/>
        <w:tc>
          <w:tcPr>
            <w:tcW w:w="1835" w:type="dxa"/>
            <w:gridSpan w:val="3"/>
            <w:tcBorders/>
            <w:shd w:fill="auto" w:val="clear"/>
            <w:vAlign w:val="center"/>
          </w:tcPr>
          <w:p>
            <w:pPr>
              <w:pStyle w:val="TableContents"/>
              <w:spacing w:before="0" w:after="283"/>
              <w:rPr>
                <w:sz w:val="4"/>
                <w:szCs w:val="4"/>
              </w:rPr>
            </w:pPr>
            <w:r>
              <w:rPr>
                <w:sz w:val="4"/>
                <w:szCs w:val="4"/>
              </w:rPr>
            </w:r>
          </w:p>
        </w:tc>
        <w:tc>
          <w:tcPr>
            <w:tcW w:w="17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Company's primary financing arrangements are its senior secured credit facilities (the "Senior Secured Credit Facilities"), which consists of a senior secured term loan and a revolving credit facility, and the senior secured notes (the "Senior Secured Notes").</w:t>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Senior Secured Credit Facilities</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At March 31, 2023, the applicable margin is 2.25%. The senior secured term loan facility is subject to a floor of 0.50%.</w:t>
      </w:r>
    </w:p>
    <w:p>
      <w:pPr>
        <w:pStyle w:val="TextBody"/>
        <w:spacing w:before="0" w:after="0"/>
        <w:ind w:left="0" w:right="0" w:firstLine="720"/>
        <w:jc w:val="both"/>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 xml:space="preserve">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utilization fees dependent on the proportion of the facility drawn. In January 2023, $100.0 million of the senior secured revolving loan facility was drawn down, in the aggregate, at interest rates of 5.89% and 5.80%, representing one month SOFR plus a margin of 1.25%. This was repaid in full in March 2023. On March 31, 2023, $80.0 million of the senior secured revolving loan facility was drawn down at an interest rate of 6.17%, representing one month SOFR plus a margin of 1.25%.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have a first-priority lien on such assets, which will rank pari passu with the lien securing the Senior Secured Notes, subject to other permitted liens. The Company is permitted to make prepayments on the senior secured term loan without penalty.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March 31, 2023 the Company repaid $250.0 million of the senior secured term loan facility and made a quarterly interest payment of $75.3 million. This repayment resulted in an additional charge associated with previously capitalized fees of $2.2 million. </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Senior Secured Notes</w:t>
      </w:r>
    </w:p>
    <w:p>
      <w:pPr>
        <w:pStyle w:val="TextBody"/>
        <w:spacing w:before="0" w:after="0"/>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addition to the Senior Secured Credit Facilities, on July 1, 2021, a subsidiary of the Company issued $500 million in aggregate principal amount of 2.875% senior secured notes due 2026 (the "Senior Secured Notes") in a private offering (the “Offering”). The Senior Secured Notes will mature on July 15, 2026.</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Fair Value of Debt</w:t>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estimated fair value of the Company’s debt was $4,400.4 million at March 31, 2023. The fair values of the Senior Secured Credit Facilities and Senior Secured Notes were determined based on Level 2 inputs, which are based on rates at which the debt is traded among financial institutions. The fair value of the senior secured revolving loan facility is recorded as its carrying value due to the short term duration.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v:rect>
            </w:pict>
          </mc:Fallback>
        </mc:AlternateContent>
      </w:r>
    </w:p>
    <w:p>
      <w:pPr>
        <w:pStyle w:val="TextBody"/>
        <w:spacing w:before="0" w:after="0"/>
        <w:rPr/>
      </w:pPr>
      <w:r>
        <w:rPr/>
      </w:r>
    </w:p>
    <w:p>
      <w:pPr>
        <w:pStyle w:val="TextBody"/>
        <w:spacing w:lineRule="auto" w:line="268" w:before="0" w:after="0"/>
        <w:jc w:val="both"/>
        <w:rPr>
          <w:rFonts w:ascii="Arial;sans-serif" w:hAnsi="Arial;sans-serif"/>
          <w:b/>
          <w:color w:val="000000"/>
          <w:sz w:val="18"/>
        </w:rPr>
      </w:pPr>
      <w:r>
        <w:rPr>
          <w:rFonts w:ascii="Arial;sans-serif" w:hAnsi="Arial;sans-serif"/>
          <w:b/>
          <w:color w:val="000000"/>
          <w:sz w:val="18"/>
        </w:rPr>
        <w:t>11. Derivatives</w:t>
      </w:r>
    </w:p>
    <w:p>
      <w:pPr>
        <w:pStyle w:val="TextBody"/>
        <w:spacing w:before="0" w:after="0"/>
        <w:jc w:val="both"/>
        <w:rPr/>
      </w:pPr>
      <w:r>
        <w:rPr/>
      </w:r>
    </w:p>
    <w:p>
      <w:pPr>
        <w:pStyle w:val="TextBody"/>
        <w:spacing w:lineRule="auto" w:line="268" w:before="0" w:after="0"/>
        <w:ind w:left="0" w:right="0" w:firstLine="288"/>
        <w:jc w:val="both"/>
        <w:rPr>
          <w:rFonts w:ascii="Arial;sans-serif" w:hAnsi="Arial;sans-serif"/>
          <w:b w:val="false"/>
          <w:color w:val="000000"/>
          <w:sz w:val="18"/>
        </w:rPr>
      </w:pPr>
      <w:r>
        <w:rPr>
          <w:rFonts w:ascii="Arial;sans-serif" w:hAnsi="Arial;sans-serif"/>
          <w:b w:val="false"/>
          <w:color w:val="000000"/>
          <w:sz w:val="18"/>
        </w:rPr>
        <w:t>On November 29, 2022, the Company entered into two interest rate cap agreements ("2022 Caps") with an initial total notional value of $2,101 million to limit its exposure to changes in the variable interest rate on its Senior Secured Credit Facilities. Interest on the 2022 Caps began accruing on December 30, 2022 and the interest rate cap expires on December 31, 2024. The Company pays a fixed rate of 0.42% and receives a variable rate equal to the amount that the three-month SOFR rate exceeds 4.75%.</w:t>
      </w:r>
    </w:p>
    <w:p>
      <w:pPr>
        <w:pStyle w:val="TextBody"/>
        <w:spacing w:before="0" w:after="0"/>
        <w:ind w:left="0" w:right="0" w:firstLine="288"/>
        <w:jc w:val="both"/>
        <w:rPr/>
      </w:pPr>
      <w:r>
        <w:rPr/>
      </w:r>
    </w:p>
    <w:p>
      <w:pPr>
        <w:pStyle w:val="TextBody"/>
        <w:spacing w:lineRule="auto" w:line="268" w:before="0" w:after="0"/>
        <w:ind w:left="0" w:right="0" w:firstLine="288"/>
        <w:jc w:val="both"/>
        <w:rPr>
          <w:rFonts w:ascii="Arial;sans-serif" w:hAnsi="Arial;sans-serif"/>
          <w:b w:val="false"/>
          <w:color w:val="000000"/>
          <w:sz w:val="18"/>
        </w:rPr>
      </w:pPr>
      <w:r>
        <w:rPr>
          <w:rFonts w:ascii="Arial;sans-serif" w:hAnsi="Arial;sans-serif"/>
          <w:b w:val="false"/>
          <w:color w:val="000000"/>
          <w:sz w:val="18"/>
        </w:rPr>
        <w:t>On November 29, 2022, the Company entered into an interest rate swap agreement ("2022 Swap") with an initial notional value of $1,101 million to limit its exposure to changes in the variable interest rate on its Senior Secured Credit Facilities. Interest on the 2022 Swaps begins accruing on December 31, 2024 and the interest rate swap expires on December 31, 2026. The Company pays a fixed rate of 3.4% and receives a variable rate of interest equal to the three-month SOFR on the 2022 Swap.</w:t>
      </w:r>
    </w:p>
    <w:p>
      <w:pPr>
        <w:pStyle w:val="TextBody"/>
        <w:spacing w:before="0" w:after="0"/>
        <w:ind w:left="0" w:right="0" w:firstLine="285"/>
        <w:jc w:val="both"/>
        <w:rPr/>
      </w:pPr>
      <w:r>
        <w:rPr/>
      </w:r>
    </w:p>
    <w:p>
      <w:pPr>
        <w:pStyle w:val="TextBody"/>
        <w:spacing w:lineRule="auto" w:line="268" w:before="0" w:after="0"/>
        <w:ind w:left="0" w:right="0" w:firstLine="285"/>
        <w:jc w:val="both"/>
        <w:rPr>
          <w:rFonts w:ascii="Arial;sans-serif" w:hAnsi="Arial;sans-serif"/>
          <w:b w:val="false"/>
          <w:color w:val="000000"/>
          <w:sz w:val="18"/>
        </w:rPr>
      </w:pPr>
      <w:r>
        <w:rPr>
          <w:rFonts w:ascii="Arial;sans-serif" w:hAnsi="Arial;sans-serif"/>
          <w:b w:val="false"/>
          <w:color w:val="000000"/>
          <w:sz w:val="18"/>
        </w:rPr>
        <w:t>The fair value of the Company’s derivative financial instruments, on a gross basis, and the line items on the accompanying consolidated balance sheets to which they were recorded are summarized in the following table:</w:t>
      </w:r>
    </w:p>
    <w:p>
      <w:pPr>
        <w:pStyle w:val="TextBody"/>
        <w:spacing w:before="0" w:after="0"/>
        <w:ind w:left="0" w:right="0" w:firstLine="285"/>
        <w:rPr/>
      </w:pPr>
      <w:r>
        <w:rPr/>
      </w:r>
    </w:p>
    <w:tbl>
      <w:tblPr>
        <w:tblW w:w="10205" w:type="dxa"/>
        <w:jc w:val="left"/>
        <w:tblInd w:w="0" w:type="dxa"/>
        <w:tblCellMar>
          <w:top w:w="28" w:type="dxa"/>
          <w:left w:w="28" w:type="dxa"/>
          <w:bottom w:w="28" w:type="dxa"/>
          <w:right w:w="28" w:type="dxa"/>
        </w:tblCellMar>
      </w:tblPr>
      <w:tblGrid>
        <w:gridCol w:w="497"/>
        <w:gridCol w:w="435"/>
        <w:gridCol w:w="439"/>
        <w:gridCol w:w="1097"/>
        <w:gridCol w:w="1097"/>
        <w:gridCol w:w="1101"/>
        <w:gridCol w:w="109"/>
        <w:gridCol w:w="109"/>
        <w:gridCol w:w="109"/>
        <w:gridCol w:w="205"/>
        <w:gridCol w:w="205"/>
        <w:gridCol w:w="206"/>
        <w:gridCol w:w="255"/>
        <w:gridCol w:w="255"/>
        <w:gridCol w:w="256"/>
        <w:gridCol w:w="344"/>
        <w:gridCol w:w="344"/>
        <w:gridCol w:w="348"/>
        <w:gridCol w:w="109"/>
        <w:gridCol w:w="109"/>
        <w:gridCol w:w="109"/>
        <w:gridCol w:w="205"/>
        <w:gridCol w:w="205"/>
        <w:gridCol w:w="206"/>
        <w:gridCol w:w="255"/>
        <w:gridCol w:w="255"/>
        <w:gridCol w:w="256"/>
        <w:gridCol w:w="310"/>
        <w:gridCol w:w="310"/>
        <w:gridCol w:w="465"/>
      </w:tblGrid>
      <w:tr>
        <w:trPr/>
        <w:tc>
          <w:tcPr>
            <w:tcW w:w="497"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r>
      <w:tr>
        <w:trPr/>
        <w:tc>
          <w:tcPr>
            <w:tcW w:w="1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8" w:type="dxa"/>
            <w:gridSpan w:val="9"/>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9"/>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1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Asset</w:t>
            </w:r>
          </w:p>
        </w:tc>
        <w:tc>
          <w:tcPr>
            <w:tcW w:w="7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Liability</w:t>
            </w:r>
          </w:p>
        </w:tc>
        <w:tc>
          <w:tcPr>
            <w:tcW w:w="10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Asset</w:t>
            </w:r>
          </w:p>
        </w:tc>
        <w:tc>
          <w:tcPr>
            <w:tcW w:w="7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Liability</w:t>
            </w:r>
          </w:p>
        </w:tc>
        <w:tc>
          <w:tcPr>
            <w:tcW w:w="10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Notional</w:t>
            </w:r>
          </w:p>
        </w:tc>
      </w:tr>
      <w:tr>
        <w:trPr/>
        <w:tc>
          <w:tcPr>
            <w:tcW w:w="13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8"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9120" w:type="dxa"/>
            <w:gridSpan w:val="27"/>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designated as hedging instruments:</w:t>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Interest Rate Caps</w:t>
            </w:r>
          </w:p>
        </w:tc>
        <w:tc>
          <w:tcPr>
            <w:tcW w:w="329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Current Liabilities, Other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76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$2,964</w:t>
            </w:r>
          </w:p>
        </w:tc>
        <w:tc>
          <w:tcPr>
            <w:tcW w:w="103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$1,975,606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76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$3,363</w:t>
            </w:r>
          </w:p>
        </w:tc>
        <w:tc>
          <w:tcPr>
            <w:tcW w:w="1085"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$2,100,606</w:t>
            </w:r>
          </w:p>
        </w:tc>
      </w:tr>
      <w:tr>
        <w:trPr/>
        <w:tc>
          <w:tcPr>
            <w:tcW w:w="137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329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7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$4,521</w:t>
            </w:r>
          </w:p>
        </w:tc>
        <w:tc>
          <w:tcPr>
            <w:tcW w:w="103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$1,100,606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7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$307</w:t>
            </w:r>
          </w:p>
        </w:tc>
        <w:tc>
          <w:tcPr>
            <w:tcW w:w="1085"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$1,100,606</w:t>
            </w:r>
          </w:p>
        </w:tc>
      </w:tr>
      <w:tr>
        <w:trPr/>
        <w:tc>
          <w:tcPr>
            <w:tcW w:w="13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6" w:type="dxa"/>
            <w:gridSpan w:val="6"/>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Total 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7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$7,485</w:t>
            </w:r>
          </w:p>
        </w:tc>
        <w:tc>
          <w:tcPr>
            <w:tcW w:w="103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$3,076,212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7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$3,670</w:t>
            </w:r>
          </w:p>
        </w:tc>
        <w:tc>
          <w:tcPr>
            <w:tcW w:w="1085"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$3,201,212</w:t>
            </w:r>
          </w:p>
        </w:tc>
      </w:tr>
      <w:tr>
        <w:trPr/>
        <w:tc>
          <w:tcPr>
            <w:tcW w:w="13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9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288"/>
        <w:jc w:val="both"/>
        <w:rPr>
          <w:rFonts w:ascii="Arial;sans-serif" w:hAnsi="Arial;sans-serif"/>
          <w:b w:val="false"/>
          <w:color w:val="000000"/>
          <w:sz w:val="18"/>
        </w:rPr>
      </w:pPr>
      <w:r>
        <w:rPr>
          <w:rFonts w:ascii="Arial;sans-serif" w:hAnsi="Arial;sans-serif"/>
          <w:b w:val="false"/>
          <w:color w:val="000000"/>
          <w:sz w:val="18"/>
        </w:rPr>
        <w:t>During the next 12 months, the Company estimates that an additional $1.8 million will be reflected as interest expense in the consolidated statements.</w:t>
      </w:r>
    </w:p>
    <w:p>
      <w:pPr>
        <w:pStyle w:val="TextBody"/>
        <w:spacing w:before="0" w:after="0"/>
        <w:ind w:left="0" w:right="0" w:firstLine="288"/>
        <w:jc w:val="both"/>
        <w:rPr/>
      </w:pPr>
      <w:r>
        <w:rPr/>
      </w:r>
    </w:p>
    <w:p>
      <w:pPr>
        <w:pStyle w:val="TextBody"/>
        <w:spacing w:lineRule="auto" w:line="268" w:before="0" w:after="0"/>
        <w:ind w:left="0" w:right="0" w:firstLine="288"/>
        <w:rPr>
          <w:rFonts w:ascii="Arial;sans-serif" w:hAnsi="Arial;sans-serif"/>
          <w:b w:val="false"/>
          <w:color w:val="000000"/>
          <w:sz w:val="18"/>
        </w:rPr>
      </w:pPr>
      <w:r>
        <w:rPr>
          <w:rFonts w:ascii="Arial;sans-serif" w:hAnsi="Arial;sans-serif"/>
          <w:b w:val="false"/>
          <w:color w:val="000000"/>
          <w:sz w:val="18"/>
        </w:rPr>
        <w:t>The Company recognized $3.9 million of a loss within OCI for the three months ended March 31, 2023 (March 31, 2022: $nil) after a reclassification of $2.3 million of a loss from OCI to the income statement (March 31, 2022: $nil).</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Arial;sans-serif" w:hAnsi="Arial;sans-serif"/>
          <w:b/>
          <w:color w:val="000000"/>
          <w:sz w:val="18"/>
        </w:rPr>
      </w:pPr>
      <w:r>
        <w:rPr>
          <w:rFonts w:ascii="Arial;sans-serif" w:hAnsi="Arial;sans-serif"/>
          <w:b/>
          <w:color w:val="000000"/>
          <w:sz w:val="18"/>
        </w:rPr>
        <w:t>12. Income taxes</w:t>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Income taxes recognized during the three months ended March 31, 2023 and March 31, 2022, comprise:</w:t>
      </w:r>
    </w:p>
    <w:p>
      <w:pPr>
        <w:pStyle w:val="TextBody"/>
        <w:spacing w:before="0" w:after="0"/>
        <w:jc w:val="both"/>
        <w:rPr/>
      </w:pPr>
      <w:r>
        <w:rPr/>
      </w:r>
    </w:p>
    <w:tbl>
      <w:tblPr>
        <w:tblW w:w="5936" w:type="dxa"/>
        <w:jc w:val="left"/>
        <w:tblInd w:w="0" w:type="dxa"/>
        <w:tblCellMar>
          <w:top w:w="28" w:type="dxa"/>
          <w:left w:w="28" w:type="dxa"/>
          <w:bottom w:w="28" w:type="dxa"/>
          <w:right w:w="28" w:type="dxa"/>
        </w:tblCellMar>
      </w:tblPr>
      <w:tblGrid>
        <w:gridCol w:w="837"/>
        <w:gridCol w:w="735"/>
        <w:gridCol w:w="738"/>
        <w:gridCol w:w="285"/>
        <w:gridCol w:w="977"/>
        <w:gridCol w:w="147"/>
        <w:gridCol w:w="109"/>
        <w:gridCol w:w="109"/>
        <w:gridCol w:w="109"/>
        <w:gridCol w:w="285"/>
        <w:gridCol w:w="977"/>
        <w:gridCol w:w="147"/>
        <w:gridCol w:w="109"/>
        <w:gridCol w:w="109"/>
        <w:gridCol w:w="109"/>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45"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10"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Provision for income taxes </w:t>
            </w:r>
          </w:p>
        </w:tc>
        <w:tc>
          <w:tcPr>
            <w:tcW w:w="285"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14,273 </w:t>
            </w:r>
          </w:p>
        </w:tc>
        <w:tc>
          <w:tcPr>
            <w:tcW w:w="147"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85"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13,286 </w:t>
            </w:r>
          </w:p>
        </w:tc>
        <w:tc>
          <w:tcPr>
            <w:tcW w:w="147"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at March 31, 2023 the Company maintains a $243.5 million liability (December 31, 2022: $240.2 million) for unrecognized tax benefit, which is comprised of $218.2 million (December 31, 2022: $217.6 million) related to items generating unrecognized tax benefits and $25.3 million (December 31, 2022: $22.6 million) for interest and penalties related to such items. The Company recognizes interest accrued on unrecognized tax benefits as an additional income tax expense.</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2016 through 2022 tax years. During such audits, local tax authorities may challenge the positions taken by us in our tax returns.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v:rect>
            </w:pict>
          </mc:Fallback>
        </mc:AlternateContent>
      </w:r>
    </w:p>
    <w:p>
      <w:pPr>
        <w:pStyle w:val="TextBody"/>
        <w:spacing w:before="0" w:after="0"/>
        <w:rPr/>
      </w:pPr>
      <w:r>
        <w:rPr/>
      </w:r>
    </w:p>
    <w:p>
      <w:pPr>
        <w:pStyle w:val="TextBody"/>
        <w:spacing w:lineRule="auto" w:line="288" w:before="300" w:after="283"/>
        <w:rPr>
          <w:rFonts w:ascii="Arial;sans-serif" w:hAnsi="Arial;sans-serif"/>
          <w:b/>
          <w:color w:val="000000"/>
          <w:sz w:val="18"/>
        </w:rPr>
      </w:pPr>
      <w:r>
        <w:rPr>
          <w:rFonts w:ascii="Arial;sans-serif" w:hAnsi="Arial;sans-serif"/>
          <w:b/>
          <w:color w:val="000000"/>
          <w:sz w:val="18"/>
        </w:rPr>
        <w:t>13. Net income per ordinary share</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highlight w:val="white"/>
        </w:rPr>
      </w:pPr>
      <w:r>
        <w:rPr>
          <w:rFonts w:ascii="Arial;sans-serif" w:hAnsi="Arial;sans-serif"/>
          <w:b w:val="false"/>
          <w:color w:val="000000"/>
          <w:sz w:val="18"/>
          <w:highlight w:val="white"/>
        </w:rPr>
        <w:t>Basic net income per ordinary share attributable to the Group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pStyle w:val="TextBody"/>
        <w:spacing w:before="0" w:after="0"/>
        <w:jc w:val="both"/>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The reconciliation of the number of shares used in the computation of basic and diluted net income per ordinary share is as follows:</w:t>
      </w:r>
    </w:p>
    <w:tbl>
      <w:tblPr>
        <w:tblW w:w="10205" w:type="dxa"/>
        <w:jc w:val="left"/>
        <w:tblInd w:w="0" w:type="dxa"/>
        <w:tblCellMar>
          <w:top w:w="28" w:type="dxa"/>
          <w:left w:w="28" w:type="dxa"/>
          <w:bottom w:w="28" w:type="dxa"/>
          <w:right w:w="28" w:type="dxa"/>
        </w:tblCellMar>
      </w:tblPr>
      <w:tblGrid>
        <w:gridCol w:w="2304"/>
        <w:gridCol w:w="1972"/>
        <w:gridCol w:w="1983"/>
        <w:gridCol w:w="540"/>
        <w:gridCol w:w="541"/>
        <w:gridCol w:w="388"/>
        <w:gridCol w:w="174"/>
        <w:gridCol w:w="174"/>
        <w:gridCol w:w="174"/>
        <w:gridCol w:w="540"/>
        <w:gridCol w:w="541"/>
        <w:gridCol w:w="388"/>
        <w:gridCol w:w="109"/>
        <w:gridCol w:w="109"/>
        <w:gridCol w:w="109"/>
        <w:gridCol w:w="159"/>
      </w:tblGrid>
      <w:tr>
        <w:trPr/>
        <w:tc>
          <w:tcPr>
            <w:tcW w:w="2304" w:type="dxa"/>
            <w:tcBorders/>
            <w:shd w:fill="auto" w:val="clear"/>
            <w:vAlign w:val="center"/>
          </w:tcPr>
          <w:p>
            <w:pPr>
              <w:pStyle w:val="TableContents"/>
              <w:spacing w:before="0" w:after="283"/>
              <w:rPr>
                <w:sz w:val="4"/>
                <w:szCs w:val="4"/>
              </w:rPr>
            </w:pPr>
            <w:r>
              <w:rPr>
                <w:sz w:val="4"/>
                <w:szCs w:val="4"/>
              </w:rPr>
            </w:r>
          </w:p>
        </w:tc>
        <w:tc>
          <w:tcPr>
            <w:tcW w:w="1972"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0"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6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ordinary shares outstanding for basic net income per ordinary share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81,784,389 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81,463,303 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share options and other awards outstanding under share based compensation programs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821,270 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1,149,795 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59"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ordinary shares outstanding for diluted net income per ordinary share</w:t>
            </w:r>
          </w:p>
        </w:tc>
        <w:tc>
          <w:tcPr>
            <w:tcW w:w="108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82,605,659 </w:t>
            </w:r>
          </w:p>
        </w:tc>
        <w:tc>
          <w:tcPr>
            <w:tcW w:w="3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2" w:type="dxa"/>
            <w:gridSpan w:val="3"/>
            <w:tcBorders>
              <w:top w:val="single" w:sz="16"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82,613,098 </w:t>
            </w:r>
          </w:p>
        </w:tc>
        <w:tc>
          <w:tcPr>
            <w:tcW w:w="3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8578" w:type="dxa"/>
        <w:jc w:val="left"/>
        <w:tblInd w:w="0" w:type="dxa"/>
        <w:tblCellMar>
          <w:top w:w="28" w:type="dxa"/>
          <w:left w:w="28" w:type="dxa"/>
          <w:bottom w:w="28" w:type="dxa"/>
          <w:right w:w="28" w:type="dxa"/>
        </w:tblCellMar>
      </w:tblPr>
      <w:tblGrid>
        <w:gridCol w:w="1793"/>
        <w:gridCol w:w="1576"/>
        <w:gridCol w:w="1581"/>
        <w:gridCol w:w="358"/>
        <w:gridCol w:w="867"/>
        <w:gridCol w:w="185"/>
        <w:gridCol w:w="109"/>
        <w:gridCol w:w="109"/>
        <w:gridCol w:w="109"/>
        <w:gridCol w:w="358"/>
        <w:gridCol w:w="867"/>
        <w:gridCol w:w="185"/>
        <w:gridCol w:w="109"/>
        <w:gridCol w:w="109"/>
        <w:gridCol w:w="109"/>
        <w:gridCol w:w="154"/>
      </w:tblGrid>
      <w:tr>
        <w:trPr/>
        <w:tc>
          <w:tcPr>
            <w:tcW w:w="1793"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 per Ordinary Share attributable to the Group:</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5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8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5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8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Arial;sans-serif" w:hAnsi="Arial;sans-serif"/>
          <w:b/>
          <w:color w:val="000000"/>
          <w:sz w:val="18"/>
        </w:rPr>
      </w:pPr>
      <w:r>
        <w:rPr>
          <w:rFonts w:ascii="Arial;sans-serif" w:hAnsi="Arial;sans-serif"/>
          <w:b/>
          <w:color w:val="000000"/>
          <w:sz w:val="18"/>
        </w:rPr>
        <w:t>14. Share-based awards</w:t>
      </w:r>
    </w:p>
    <w:p>
      <w:pPr>
        <w:pStyle w:val="TextBody"/>
        <w:spacing w:before="0" w:after="0"/>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Share Options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summarizes option activity for the three months ended March 31, 2023:</w:t>
      </w:r>
    </w:p>
    <w:tbl>
      <w:tblPr>
        <w:tblW w:w="7748" w:type="dxa"/>
        <w:jc w:val="left"/>
        <w:tblInd w:w="0" w:type="dxa"/>
        <w:tblCellMar>
          <w:top w:w="28" w:type="dxa"/>
          <w:left w:w="28" w:type="dxa"/>
          <w:bottom w:w="28" w:type="dxa"/>
          <w:right w:w="28" w:type="dxa"/>
        </w:tblCellMar>
      </w:tblPr>
      <w:tblGrid>
        <w:gridCol w:w="1075"/>
        <w:gridCol w:w="946"/>
        <w:gridCol w:w="949"/>
        <w:gridCol w:w="569"/>
        <w:gridCol w:w="569"/>
        <w:gridCol w:w="571"/>
        <w:gridCol w:w="109"/>
        <w:gridCol w:w="109"/>
        <w:gridCol w:w="109"/>
        <w:gridCol w:w="211"/>
        <w:gridCol w:w="721"/>
        <w:gridCol w:w="109"/>
        <w:gridCol w:w="109"/>
        <w:gridCol w:w="109"/>
        <w:gridCol w:w="109"/>
        <w:gridCol w:w="109"/>
        <w:gridCol w:w="109"/>
        <w:gridCol w:w="338"/>
        <w:gridCol w:w="338"/>
        <w:gridCol w:w="480"/>
      </w:tblGrid>
      <w:tr>
        <w:trPr/>
        <w:tc>
          <w:tcPr>
            <w:tcW w:w="1075"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Options</w:t>
              <w:br/>
              <w:t>Outstanding</w:t>
              <w:br/>
              <w:t>Number of Shares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Weighted</w:t>
              <w:br/>
              <w:t>Average</w:t>
              <w:br/>
              <w:t>Exercise</w:t>
              <w:br/>
              <w:t>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Weighted</w:t>
              <w:br/>
              <w:t>Average</w:t>
              <w:br/>
              <w:t>Remaining</w:t>
              <w:br/>
              <w:t>Contractual</w:t>
              <w:br/>
              <w:t>Life</w:t>
            </w:r>
          </w:p>
        </w:tc>
      </w:tr>
      <w:tr>
        <w:trPr/>
        <w:tc>
          <w:tcPr>
            <w:tcW w:w="29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December 31, 2022</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1,378,119 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w:t>
            </w:r>
          </w:p>
        </w:tc>
      </w:tr>
      <w:tr>
        <w:trPr/>
        <w:tc>
          <w:tcPr>
            <w:tcW w:w="2970"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76,066 </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(136,649)</w:t>
            </w:r>
          </w:p>
        </w:tc>
        <w:tc>
          <w:tcPr>
            <w:tcW w:w="5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Canceled/expired</w:t>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(6,499)</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March 31, 2023</w:t>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1,311,037 </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r>
      <w:tr>
        <w:trPr/>
        <w:tc>
          <w:tcPr>
            <w:tcW w:w="29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Exercisable at March 31, 2023</w:t>
            </w:r>
          </w:p>
        </w:tc>
        <w:tc>
          <w:tcPr>
            <w:tcW w:w="1138"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1,003,832 </w:t>
            </w:r>
          </w:p>
        </w:tc>
        <w:tc>
          <w:tcPr>
            <w:tcW w:w="57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w:t>
            </w:r>
          </w:p>
        </w:tc>
      </w:tr>
    </w:tbl>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issues ordinary shares for all options exercised. The total amount of fully vested share options which remained outstanding at March 31, 2023 was 1,003,832. Fully vested share options at March 31, 2023 have an average remaining contractual term of 4.29 years and an average exercise price of $108.94.</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i/>
          <w:color w:val="000000"/>
          <w:sz w:val="18"/>
        </w:rPr>
      </w:pPr>
      <w:r>
        <w:rPr>
          <w:rFonts w:ascii="Arial;sans-serif" w:hAnsi="Arial;sans-serif"/>
          <w:b w:val="false"/>
          <w:i/>
          <w:color w:val="000000"/>
          <w:sz w:val="18"/>
        </w:rPr>
        <w:t>Fair value of Stock Options Assumptions</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weighted average fair value of options granted during the three months ended March 31, 2023 and March 31, 2022 was calculated using the Black-Scholes option pricing model. The weighted average grant date fair values and assumptions used were as follows:</w:t>
      </w:r>
    </w:p>
    <w:tbl>
      <w:tblPr>
        <w:tblW w:w="6475" w:type="dxa"/>
        <w:jc w:val="left"/>
        <w:tblInd w:w="0" w:type="dxa"/>
        <w:tblCellMar>
          <w:top w:w="28" w:type="dxa"/>
          <w:left w:w="28" w:type="dxa"/>
          <w:bottom w:w="28" w:type="dxa"/>
          <w:right w:w="28" w:type="dxa"/>
        </w:tblCellMar>
      </w:tblPr>
      <w:tblGrid>
        <w:gridCol w:w="1188"/>
        <w:gridCol w:w="1046"/>
        <w:gridCol w:w="1050"/>
        <w:gridCol w:w="271"/>
        <w:gridCol w:w="791"/>
        <w:gridCol w:w="348"/>
        <w:gridCol w:w="109"/>
        <w:gridCol w:w="109"/>
        <w:gridCol w:w="109"/>
        <w:gridCol w:w="268"/>
        <w:gridCol w:w="784"/>
        <w:gridCol w:w="402"/>
      </w:tblGrid>
      <w:tr>
        <w:trPr/>
        <w:tc>
          <w:tcPr>
            <w:tcW w:w="118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1"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2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grant date fair value</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85.75 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68.24 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Assumptions:</w:t>
            </w:r>
          </w:p>
        </w:tc>
        <w:tc>
          <w:tcPr>
            <w:tcW w:w="1410"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volatility</w:t>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yield</w:t>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84"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life</w:t>
            </w:r>
          </w:p>
        </w:tc>
        <w:tc>
          <w:tcPr>
            <w:tcW w:w="1410"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years</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454"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years</w:t>
            </w:r>
          </w:p>
        </w:tc>
      </w:tr>
    </w:tbl>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18"/>
        </w:rPr>
        <w:t>Restricted Share Units and Performance Share Units</w:t>
      </w:r>
      <w:r>
        <w:rPr>
          <w:color w:val="000000"/>
        </w:rPr>
        <w:t> </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May 11, 2025.</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2020, 2021 and 2022 vest in twelve months. </w:t>
      </w:r>
    </w:p>
    <w:p>
      <w:pPr>
        <w:pStyle w:val="TextBody"/>
        <w:spacing w:before="0" w:after="0"/>
        <w:jc w:val="both"/>
        <w:rPr/>
      </w:pPr>
      <w:r>
        <w:rPr/>
      </w:r>
    </w:p>
    <w:p>
      <w:pPr>
        <w:pStyle w:val="TextBody"/>
        <w:spacing w:lineRule="auto" w:line="288" w:before="0" w:after="0"/>
        <w:rPr>
          <w:color w:val="000000"/>
        </w:rPr>
      </w:pPr>
      <w:r>
        <w:rPr>
          <w:color w:val="000000"/>
        </w:rPr>
        <w:t>    </w:t>
      </w:r>
      <w:r>
        <w:rPr>
          <w:rFonts w:ascii="Arial;sans-serif" w:hAnsi="Arial;sans-serif"/>
          <w:b w:val="false"/>
          <w:color w:val="000000"/>
          <w:sz w:val="18"/>
        </w:rPr>
        <w:t>The Company has awarded RSUs and PSUs to certain key individuals of the Group. The following table summarizes RSU and PSU activity for the three months ended March 31, 2023:</w:t>
      </w:r>
    </w:p>
    <w:tbl>
      <w:tblPr>
        <w:tblW w:w="10205" w:type="dxa"/>
        <w:jc w:val="left"/>
        <w:tblInd w:w="0" w:type="dxa"/>
        <w:tblCellMar>
          <w:top w:w="28" w:type="dxa"/>
          <w:left w:w="28" w:type="dxa"/>
          <w:bottom w:w="28" w:type="dxa"/>
          <w:right w:w="28" w:type="dxa"/>
        </w:tblCellMar>
      </w:tblPr>
      <w:tblGrid>
        <w:gridCol w:w="1043"/>
        <w:gridCol w:w="918"/>
        <w:gridCol w:w="920"/>
        <w:gridCol w:w="413"/>
        <w:gridCol w:w="413"/>
        <w:gridCol w:w="381"/>
        <w:gridCol w:w="109"/>
        <w:gridCol w:w="109"/>
        <w:gridCol w:w="109"/>
        <w:gridCol w:w="360"/>
        <w:gridCol w:w="1231"/>
        <w:gridCol w:w="186"/>
        <w:gridCol w:w="109"/>
        <w:gridCol w:w="109"/>
        <w:gridCol w:w="109"/>
        <w:gridCol w:w="109"/>
        <w:gridCol w:w="109"/>
        <w:gridCol w:w="109"/>
        <w:gridCol w:w="413"/>
        <w:gridCol w:w="413"/>
        <w:gridCol w:w="381"/>
        <w:gridCol w:w="109"/>
        <w:gridCol w:w="109"/>
        <w:gridCol w:w="109"/>
        <w:gridCol w:w="353"/>
        <w:gridCol w:w="1210"/>
        <w:gridCol w:w="262"/>
      </w:tblGrid>
      <w:tr>
        <w:trPr/>
        <w:tc>
          <w:tcPr>
            <w:tcW w:w="104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0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Arial;sans-serif" w:hAnsi="Arial;sans-serif"/>
                <w:b/>
                <w:color w:val="000000"/>
                <w:sz w:val="18"/>
              </w:rPr>
              <w:br/>
              <w:t>PSU</w:t>
              <w:br/>
              <w:t>Outstanding</w:t>
              <w:br/>
              <w:t>Number of</w:t>
              <w:br/>
              <w:t>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Arial;sans-serif" w:hAnsi="Arial;sans-serif"/>
                <w:b/>
                <w:color w:val="000000"/>
                <w:sz w:val="18"/>
              </w:rPr>
              <w:br/>
              <w:t>PSU</w:t>
              <w:br/>
              <w:t>Weighted</w:t>
              <w:br/>
              <w:t>Average Grant Date</w:t>
              <w:br/>
              <w:t>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Arial;sans-serif" w:hAnsi="Arial;sans-serif"/>
                <w:b/>
                <w:color w:val="000000"/>
                <w:sz w:val="18"/>
              </w:rPr>
              <w:br/>
              <w:t>RSU</w:t>
              <w:br/>
              <w:t>Outstanding</w:t>
              <w:br/>
              <w:t>Number of</w:t>
              <w:br/>
              <w:t>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Arial;sans-serif" w:hAnsi="Arial;sans-serif"/>
                <w:b/>
                <w:color w:val="000000"/>
                <w:sz w:val="18"/>
              </w:rPr>
              <w:br/>
              <w:t>RSU</w:t>
              <w:br/>
              <w:t>Weighted</w:t>
              <w:br/>
              <w:t>Average Grant Date</w:t>
              <w:br/>
              <w:t>Fair Value</w:t>
            </w:r>
          </w:p>
        </w:tc>
      </w:tr>
      <w:tr>
        <w:trPr/>
        <w:tc>
          <w:tcPr>
            <w:tcW w:w="28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December 31, 2022</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152,420 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582,612 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207.73 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2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55,772 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26,466 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233.88 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vested</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(45,460)</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159.33 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(22,758)</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191.74 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(16,523)</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208.48 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2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1"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March 31, 2023</w:t>
            </w:r>
          </w:p>
        </w:tc>
        <w:tc>
          <w:tcPr>
            <w:tcW w:w="826"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162,732 </w:t>
            </w:r>
          </w:p>
        </w:tc>
        <w:tc>
          <w:tcPr>
            <w:tcW w:w="38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60"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215.75 </w:t>
            </w:r>
          </w:p>
        </w:tc>
        <w:tc>
          <w:tcPr>
            <w:tcW w:w="18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26"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569,797 </w:t>
            </w:r>
          </w:p>
        </w:tc>
        <w:tc>
          <w:tcPr>
            <w:tcW w:w="38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53"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207.94 </w:t>
            </w:r>
          </w:p>
        </w:tc>
        <w:tc>
          <w:tcPr>
            <w:tcW w:w="262"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fair value of PSUs vested for the three months ended March 31, 2023 totaled $7.2 million (full year 2022: $6.5 million).</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fair value of RSUs vested for the three months ended March 31, 2023 totaled $4.4 million (full year 2022: $34.1 million).</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PSUs vest based on service and specified EPS targets over the periods 2021 - 2023, 2022 - 2024, and 2023 - 2025. Depending on the amount of EPS from 2021 to 2024, up to an additional 80,583 PSUs may also be granted.</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Non-cash stock compensation expense</w:t>
      </w:r>
    </w:p>
    <w:p>
      <w:pPr>
        <w:pStyle w:val="TextBody"/>
        <w:spacing w:before="0" w:after="0"/>
        <w:jc w:val="both"/>
        <w:rPr/>
      </w:pPr>
      <w:r>
        <w:rPr/>
      </w:r>
    </w:p>
    <w:p>
      <w:pPr>
        <w:pStyle w:val="TextBody"/>
        <w:spacing w:lineRule="auto" w:line="288" w:before="0" w:after="0"/>
        <w:ind w:left="0" w:right="0" w:firstLine="720"/>
        <w:rPr>
          <w:rFonts w:ascii="Arial;sans-serif" w:hAnsi="Arial;sans-serif"/>
          <w:b w:val="false"/>
          <w:color w:val="000000"/>
          <w:sz w:val="18"/>
        </w:rPr>
      </w:pPr>
      <w:r>
        <w:rPr>
          <w:rFonts w:ascii="Arial;sans-serif" w:hAnsi="Arial;sans-serif"/>
          <w:b w:val="false"/>
          <w:color w:val="000000"/>
          <w:sz w:val="18"/>
        </w:rPr>
        <w:t>Non-cash stock compensation expense for the three months ended March 31, 2023 and March 31, 2022 has been allocated as follows:</w:t>
      </w:r>
    </w:p>
    <w:tbl>
      <w:tblPr>
        <w:tblW w:w="6580" w:type="dxa"/>
        <w:jc w:val="left"/>
        <w:tblInd w:w="0" w:type="dxa"/>
        <w:tblCellMar>
          <w:top w:w="28" w:type="dxa"/>
          <w:left w:w="28" w:type="dxa"/>
          <w:bottom w:w="28" w:type="dxa"/>
          <w:right w:w="28" w:type="dxa"/>
        </w:tblCellMar>
      </w:tblPr>
      <w:tblGrid>
        <w:gridCol w:w="1066"/>
        <w:gridCol w:w="937"/>
        <w:gridCol w:w="951"/>
        <w:gridCol w:w="285"/>
        <w:gridCol w:w="977"/>
        <w:gridCol w:w="147"/>
        <w:gridCol w:w="109"/>
        <w:gridCol w:w="109"/>
        <w:gridCol w:w="109"/>
        <w:gridCol w:w="285"/>
        <w:gridCol w:w="977"/>
        <w:gridCol w:w="147"/>
        <w:gridCol w:w="109"/>
        <w:gridCol w:w="109"/>
        <w:gridCol w:w="109"/>
        <w:gridCol w:w="154"/>
      </w:tblGrid>
      <w:tr>
        <w:trPr/>
        <w:tc>
          <w:tcPr>
            <w:tcW w:w="1066"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45"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costs</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4,999 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c>
          <w:tcPr>
            <w:tcW w:w="285"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14,759 </w:t>
            </w:r>
          </w:p>
        </w:tc>
        <w:tc>
          <w:tcPr>
            <w:tcW w:w="147"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85"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18,903 </w:t>
            </w:r>
          </w:p>
        </w:tc>
        <w:tc>
          <w:tcPr>
            <w:tcW w:w="147"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18"/>
        </w:rPr>
      </w:pPr>
      <w:r>
        <w:rPr>
          <w:rFonts w:ascii="Arial;sans-serif" w:hAnsi="Arial;sans-serif"/>
          <w:b/>
          <w:color w:val="000000"/>
          <w:sz w:val="18"/>
        </w:rPr>
        <w:t>15. Share capital</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can acquire up to 10% of its outstanding ordinary shares (by way of redemption), in accordance with Irish law, the United States securities laws, and the Company’s constitutional documents through open market share acquisitions.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February 18, 2022, the Company commenced a share buyback program which was fully complete at March 31, 2022. Under this buyback program, 420,530 ordinary shares were redeemed by the Company for total consideration of $100.0 million. 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other undenominated capital reserve as required under Irish Company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Arial;sans-serif" w:hAnsi="Arial;sans-serif"/>
          <w:b/>
          <w:color w:val="000000"/>
          <w:sz w:val="18"/>
        </w:rPr>
      </w:pPr>
      <w:r>
        <w:rPr>
          <w:rFonts w:ascii="Arial;sans-serif" w:hAnsi="Arial;sans-serif"/>
          <w:b/>
          <w:color w:val="000000"/>
          <w:sz w:val="18"/>
        </w:rPr>
        <w:t>16. Business Segment and Geographical Information</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pStyle w:val="TextBody"/>
        <w:spacing w:before="0" w:after="0"/>
        <w:rPr/>
      </w:pPr>
      <w:r>
        <w:rPr/>
      </w:r>
    </w:p>
    <w:p>
      <w:pPr>
        <w:pStyle w:val="TextBody"/>
        <w:spacing w:lineRule="auto" w:line="288" w:before="0" w:after="0"/>
        <w:ind w:left="0" w:right="0" w:firstLine="720"/>
        <w:jc w:val="both"/>
        <w:rPr/>
      </w:pPr>
      <w:r>
        <w:rPr>
          <w:rFonts w:ascii="Arial;sans-serif" w:hAnsi="Arial;sans-serif"/>
          <w:b w:val="false"/>
          <w:color w:val="000000"/>
          <w:sz w:val="18"/>
        </w:rPr>
        <w:t xml:space="preserve">The Company determines and presents operating segments based on the information that is internally provided to the chief operating decision maker, the (‘CODM’) in accordance with ASC 280 </w:t>
      </w:r>
      <w:r>
        <w:rPr>
          <w:rFonts w:ascii="Arial;sans-serif" w:hAnsi="Arial;sans-serif"/>
          <w:b w:val="false"/>
          <w:i/>
          <w:color w:val="000000"/>
          <w:sz w:val="18"/>
        </w:rPr>
        <w:t>'Segment Reporting'</w:t>
      </w:r>
      <w:r>
        <w:rPr>
          <w:rFonts w:ascii="Arial;sans-serif" w:hAnsi="Arial;sans-serif"/>
          <w:b w:val="false"/>
          <w:color w:val="000000"/>
          <w:sz w:val="18"/>
        </w:rPr>
        <w:t>. The Company determined that the CODM was comprised of the Chief Executive Officer and the Chief Financial Officer.</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operates as one reporting segment, which is the provision of outsourced development services on a global basis to the pharmaceutical, biotechnology and medical devices industries. </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ICON Ireland (Ireland Segment)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ICON Ireland remunerates other operating entities in the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 The integration of entities acquired through the Merger into this global network and global transfer pricing model remains ongoing.</w:t>
      </w:r>
    </w:p>
    <w:p>
      <w:pPr>
        <w:pStyle w:val="TextBody"/>
        <w:spacing w:before="0" w:after="0"/>
        <w:jc w:val="both"/>
        <w:rPr/>
      </w:pPr>
      <w:r>
        <w:rPr/>
      </w:r>
    </w:p>
    <w:p>
      <w:pPr>
        <w:pStyle w:val="TextBody"/>
        <w:spacing w:lineRule="auto" w:line="288" w:before="0" w:after="0"/>
        <w:ind w:left="0" w:right="0" w:firstLine="720"/>
        <w:jc w:val="both"/>
        <w:rPr/>
      </w:pPr>
      <w:r>
        <w:rPr>
          <w:rFonts w:ascii="Arial;sans-serif" w:hAnsi="Arial;sans-serif"/>
          <w:b w:val="false"/>
          <w:color w:val="000000"/>
          <w:sz w:val="18"/>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w:t>
      </w:r>
      <w:r>
        <w:rPr>
          <w:color w:val="000000"/>
          <w:highlight w:val="white"/>
        </w:rPr>
        <w:t xml:space="preserve"> </w:t>
      </w:r>
      <w:r>
        <w:rPr>
          <w:rFonts w:ascii="Arial;sans-serif" w:hAnsi="Arial;sans-serif"/>
          <w:b w:val="false"/>
          <w:color w:val="000000"/>
          <w:sz w:val="18"/>
          <w:highlight w:val="white"/>
        </w:rPr>
        <w:t xml:space="preserve">model and comprise revenues of the Group after deducting the cost plus revenues attributable to the activities performed outside Ireland. </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geographical distribution of the Company’s segment measures as at March 31, 2023 and December 31, 2022 and for the three months ended March 31, 2023 and March 31, 2022 is as follows:</w:t>
      </w:r>
    </w:p>
    <w:p>
      <w:pPr>
        <w:pStyle w:val="TextBody"/>
        <w:spacing w:before="0" w:after="0"/>
        <w:jc w:val="both"/>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 The distribution of revenue by geographical area was as follows:</w:t>
      </w:r>
    </w:p>
    <w:tbl>
      <w:tblPr>
        <w:tblW w:w="4961" w:type="dxa"/>
        <w:jc w:val="left"/>
        <w:tblInd w:w="0" w:type="dxa"/>
        <w:tblCellMar>
          <w:top w:w="28" w:type="dxa"/>
          <w:left w:w="28" w:type="dxa"/>
          <w:bottom w:w="28" w:type="dxa"/>
          <w:right w:w="28" w:type="dxa"/>
        </w:tblCellMar>
      </w:tblPr>
      <w:tblGrid>
        <w:gridCol w:w="483"/>
        <w:gridCol w:w="425"/>
        <w:gridCol w:w="427"/>
        <w:gridCol w:w="229"/>
        <w:gridCol w:w="1062"/>
        <w:gridCol w:w="118"/>
        <w:gridCol w:w="109"/>
        <w:gridCol w:w="109"/>
        <w:gridCol w:w="109"/>
        <w:gridCol w:w="229"/>
        <w:gridCol w:w="1062"/>
        <w:gridCol w:w="118"/>
        <w:gridCol w:w="109"/>
        <w:gridCol w:w="109"/>
        <w:gridCol w:w="109"/>
        <w:gridCol w:w="154"/>
      </w:tblGrid>
      <w:tr>
        <w:trPr/>
        <w:tc>
          <w:tcPr>
            <w:tcW w:w="48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45"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 xml:space="preserve">Ireland </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511,834 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367,359 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Europe</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414,223 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456,064 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U.S.</w:t>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844,404 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970,629 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World</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208,117 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107,712 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1,978,578 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1,901,764 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540"/>
        <w:jc w:val="both"/>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b) The distribution of income from operations by geographical area was as follows:</w:t>
      </w:r>
    </w:p>
    <w:tbl>
      <w:tblPr>
        <w:tblW w:w="4963" w:type="dxa"/>
        <w:jc w:val="left"/>
        <w:tblInd w:w="0" w:type="dxa"/>
        <w:tblCellMar>
          <w:top w:w="28" w:type="dxa"/>
          <w:left w:w="28" w:type="dxa"/>
          <w:bottom w:w="28" w:type="dxa"/>
          <w:right w:w="28" w:type="dxa"/>
        </w:tblCellMar>
      </w:tblPr>
      <w:tblGrid>
        <w:gridCol w:w="483"/>
        <w:gridCol w:w="425"/>
        <w:gridCol w:w="427"/>
        <w:gridCol w:w="259"/>
        <w:gridCol w:w="1017"/>
        <w:gridCol w:w="134"/>
        <w:gridCol w:w="109"/>
        <w:gridCol w:w="109"/>
        <w:gridCol w:w="109"/>
        <w:gridCol w:w="259"/>
        <w:gridCol w:w="1017"/>
        <w:gridCol w:w="134"/>
        <w:gridCol w:w="109"/>
        <w:gridCol w:w="109"/>
        <w:gridCol w:w="109"/>
        <w:gridCol w:w="154"/>
      </w:tblGrid>
      <w:tr>
        <w:trPr/>
        <w:tc>
          <w:tcPr>
            <w:tcW w:w="48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Ireland *</w:t>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51,327 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Europe</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59,766 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59,509 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U.S.</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88,089 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60,468 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World</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40,488 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216,789 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59"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170,339 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60"/>
        <w:jc w:val="both"/>
        <w:rPr>
          <w:rFonts w:ascii="Arial;sans-serif" w:hAnsi="Arial;sans-serif"/>
          <w:b w:val="false"/>
          <w:color w:val="000000"/>
          <w:sz w:val="18"/>
        </w:rPr>
      </w:pPr>
      <w:r>
        <w:rPr>
          <w:rFonts w:ascii="Arial;sans-serif" w:hAnsi="Arial;sans-serif"/>
          <w:b w:val="false"/>
          <w:color w:val="000000"/>
          <w:sz w:val="18"/>
        </w:rPr>
        <w:t xml:space="preserve">* Includes the full amount of the amortization charge associated with the intangible asset acquired in the Merger. </w:t>
      </w:r>
    </w:p>
    <w:p>
      <w:pPr>
        <w:pStyle w:val="TextBody"/>
        <w:spacing w:before="100" w:after="60"/>
        <w:jc w:val="both"/>
        <w:rPr/>
      </w:pPr>
      <w:r>
        <w:rPr/>
      </w:r>
    </w:p>
    <w:p>
      <w:pPr>
        <w:pStyle w:val="TextBody"/>
        <w:spacing w:lineRule="auto" w:line="288" w:before="100" w:after="283"/>
        <w:jc w:val="both"/>
        <w:rPr>
          <w:rFonts w:ascii="Arial;sans-serif" w:hAnsi="Arial;sans-serif"/>
          <w:b w:val="false"/>
          <w:color w:val="000000"/>
          <w:sz w:val="18"/>
        </w:rPr>
      </w:pPr>
      <w:r>
        <w:rPr>
          <w:rFonts w:ascii="Arial;sans-serif" w:hAnsi="Arial;sans-serif"/>
          <w:b w:val="false"/>
          <w:color w:val="000000"/>
          <w:sz w:val="18"/>
        </w:rPr>
        <w:t>c) The distribution of long-lived assets (property, plant and equipment and operating right-of-use assets), net, by geographical area was as follows:</w:t>
      </w:r>
    </w:p>
    <w:tbl>
      <w:tblPr>
        <w:tblW w:w="5322" w:type="dxa"/>
        <w:jc w:val="left"/>
        <w:tblInd w:w="0" w:type="dxa"/>
        <w:tblCellMar>
          <w:top w:w="28" w:type="dxa"/>
          <w:left w:w="28" w:type="dxa"/>
          <w:bottom w:w="28" w:type="dxa"/>
          <w:right w:w="28" w:type="dxa"/>
        </w:tblCellMar>
      </w:tblPr>
      <w:tblGrid>
        <w:gridCol w:w="481"/>
        <w:gridCol w:w="424"/>
        <w:gridCol w:w="429"/>
        <w:gridCol w:w="259"/>
        <w:gridCol w:w="1017"/>
        <w:gridCol w:w="134"/>
        <w:gridCol w:w="109"/>
        <w:gridCol w:w="109"/>
        <w:gridCol w:w="109"/>
        <w:gridCol w:w="326"/>
        <w:gridCol w:w="1276"/>
        <w:gridCol w:w="168"/>
        <w:gridCol w:w="109"/>
        <w:gridCol w:w="109"/>
        <w:gridCol w:w="109"/>
        <w:gridCol w:w="154"/>
      </w:tblGrid>
      <w:tr>
        <w:trPr/>
        <w:tc>
          <w:tcPr>
            <w:tcW w:w="48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770"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Ireland</w:t>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145,150 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143,025 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Europe</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101,994 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99,721 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U.S.</w:t>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203,459 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213,311 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Rest of World</w:t>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47,998 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48,095 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498,601 </w:t>
            </w:r>
          </w:p>
        </w:tc>
        <w:tc>
          <w:tcPr>
            <w:tcW w:w="13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504,152 </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v:rect>
            </w:pict>
          </mc:Fallback>
        </mc:AlternateContent>
      </w:r>
    </w:p>
    <w:p>
      <w:pPr>
        <w:pStyle w:val="TextBody"/>
        <w:spacing w:before="0" w:after="0"/>
        <w:rPr/>
      </w:pPr>
      <w:r>
        <w:rPr/>
      </w:r>
    </w:p>
    <w:p>
      <w:pPr>
        <w:pStyle w:val="TextBody"/>
        <w:spacing w:before="100" w:after="283"/>
        <w:rPr/>
      </w:pPr>
      <w:r>
        <w:rPr/>
      </w:r>
    </w:p>
    <w:p>
      <w:pPr>
        <w:pStyle w:val="TextBody"/>
        <w:spacing w:lineRule="auto" w:line="288" w:before="100" w:after="283"/>
        <w:jc w:val="both"/>
        <w:rPr>
          <w:color w:val="000000"/>
        </w:rPr>
      </w:pPr>
      <w:r>
        <w:rPr>
          <w:color w:val="000000"/>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17. Subsequent events</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On July 24, 2020, a subsidiary of the Company, ICON Clinical Research Limited, entered into an agreement to jointly establish a new company, Oncacare Limited (Oncacare), a specialized oncology site network in the US and EMEA regions, with a third party. The Company had invested $4.9 million to obtain a 49% interest in the voting share capital of Oncacare. On April 20, 2023, the Company completed the purchase of the majority investor’s 51% majority voting share capital of Oncacare. The consideration paid by ICON to purchase the 51% majority voting share capital was $5.1 million. As a result of this transaction, Oncacare and its subsidiaries became wholly owned subsidiaries of the ICON Group.</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18"/>
        </w:rPr>
      </w:pPr>
      <w:r>
        <w:rPr>
          <w:rFonts w:ascii="Arial;sans-serif" w:hAnsi="Arial;sans-serif"/>
          <w:b/>
          <w:color w:val="000000"/>
          <w:sz w:val="18"/>
        </w:rPr>
        <w:t>ICON plc</w:t>
      </w:r>
    </w:p>
    <w:p>
      <w:pPr>
        <w:pStyle w:val="TextBody"/>
        <w:spacing w:before="0" w:after="0"/>
        <w:rPr/>
      </w:pPr>
      <w:r>
        <w:rPr/>
      </w:r>
    </w:p>
    <w:p>
      <w:pPr>
        <w:pStyle w:val="TextBody"/>
        <w:spacing w:lineRule="auto" w:line="288" w:before="0" w:after="0"/>
        <w:jc w:val="both"/>
        <w:rPr>
          <w:rFonts w:ascii="Arial;sans-serif" w:hAnsi="Arial;sans-serif"/>
          <w:b/>
          <w:color w:val="000000"/>
          <w:sz w:val="18"/>
        </w:rPr>
      </w:pPr>
      <w:r>
        <w:rPr>
          <w:rFonts w:ascii="Arial;sans-serif" w:hAnsi="Arial;sans-serif"/>
          <w:b/>
          <w:color w:val="000000"/>
          <w:sz w:val="18"/>
        </w:rPr>
        <w:t>Management’s discussion and analysis of financial condition and results of operations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2022. The consolidated financial statements have been prepared in accordance with accounting principles generally accepted in the United States.</w:t>
      </w:r>
    </w:p>
    <w:p>
      <w:pPr>
        <w:pStyle w:val="TextBody"/>
        <w:spacing w:before="0" w:after="0"/>
        <w:jc w:val="both"/>
        <w:rPr/>
      </w:pPr>
      <w:r>
        <w:rPr/>
      </w:r>
    </w:p>
    <w:p>
      <w:pPr>
        <w:pStyle w:val="TextBody"/>
        <w:spacing w:lineRule="auto" w:line="288" w:before="0" w:after="0"/>
        <w:jc w:val="both"/>
        <w:rPr>
          <w:rFonts w:ascii="Arial;sans-serif" w:hAnsi="Arial;sans-serif"/>
          <w:b/>
          <w:color w:val="000000"/>
          <w:sz w:val="18"/>
        </w:rPr>
      </w:pPr>
      <w:r>
        <w:rPr>
          <w:rFonts w:ascii="Arial;sans-serif" w:hAnsi="Arial;sans-serif"/>
          <w:b/>
          <w:color w:val="000000"/>
          <w:sz w:val="18"/>
        </w:rPr>
        <w:t>Overview</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2023, we employed approximately 41,150 employees in 109 locations in 53 countries. During the three months ended March 31, 2023 we derived approximately 42.7%, 46.8% and 10.5% of our revenue in the United States, Europe and Rest of World, respectively.</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    </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pStyle w:val="TextBody"/>
        <w:spacing w:before="0" w:after="0"/>
        <w:jc w:val="both"/>
        <w:rPr/>
      </w:pPr>
      <w:r>
        <w:rPr/>
      </w:r>
    </w:p>
    <w:p>
      <w:pPr>
        <w:pStyle w:val="TextBody"/>
        <w:spacing w:lineRule="auto" w:line="288" w:before="0" w:after="0"/>
        <w:ind w:left="0" w:right="0" w:firstLine="720"/>
        <w:jc w:val="both"/>
        <w:rPr/>
      </w:pPr>
      <w:r>
        <w:rPr>
          <w:rFonts w:ascii="Arial;sans-serif" w:hAnsi="Arial;sans-serif"/>
          <w:b w:val="false"/>
          <w:color w:val="000000"/>
          <w:sz w:val="18"/>
        </w:rPr>
        <w:t xml:space="preserve">Our unsatisfied performance obligation comprises our assessment of contracted revenue yet to be earned from projects awarded by clients. At March 31, 2023 we had unsatisfied performance obligations of approximately $13.8 billion </w:t>
      </w:r>
      <w:r>
        <w:rPr>
          <w:rFonts w:ascii="Arial;sans-serif" w:hAnsi="Arial;sans-serif"/>
          <w:b w:val="false"/>
          <w:i/>
          <w:color w:val="000000"/>
          <w:sz w:val="18"/>
        </w:rPr>
        <w:t>(</w:t>
      </w:r>
      <w:r>
        <w:rPr>
          <w:rFonts w:ascii="Arial;sans-serif" w:hAnsi="Arial;sans-serif"/>
          <w:b w:val="false"/>
          <w:color w:val="000000"/>
          <w:sz w:val="18"/>
        </w:rPr>
        <w:t>see</w:t>
      </w:r>
      <w:r>
        <w:rPr>
          <w:color w:val="000000"/>
        </w:rPr>
        <w:t xml:space="preserve"> </w:t>
      </w:r>
      <w:r>
        <w:rPr>
          <w:rFonts w:ascii="Arial;sans-serif" w:hAnsi="Arial;sans-serif"/>
          <w:b w:val="false"/>
          <w:i/>
          <w:color w:val="000000"/>
          <w:sz w:val="18"/>
        </w:rPr>
        <w:t xml:space="preserve">note 4 - Accounts receivable, unbilled revenue (contract assets) and unearned revenue or payments on account (contract liabilities) </w:t>
      </w:r>
      <w:r>
        <w:rPr>
          <w:rFonts w:ascii="Arial;sans-serif" w:hAnsi="Arial;sans-serif"/>
          <w:b w:val="false"/>
          <w:color w:val="000000"/>
          <w:sz w:val="18"/>
        </w:rPr>
        <w:t>for further details). We believe that our unsatisfied performance obligations as of 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v:rect>
            </w:pict>
          </mc:Fallback>
        </mc:AlternateContent>
      </w:r>
    </w:p>
    <w:p>
      <w:pPr>
        <w:pStyle w:val="TextBody"/>
        <w:spacing w:before="0" w:after="0"/>
        <w:rPr/>
      </w:pPr>
      <w:r>
        <w:rPr/>
      </w:r>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currency, where costs are incurred in currencies other than those in which contracts are priced, fluctuations in the relative value of those currencies could have a material effect on our results of operations. We regularly review our currency exposures. </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pStyle w:val="TextBody"/>
        <w:spacing w:before="0" w:after="0"/>
        <w:jc w:val="both"/>
        <w:rPr/>
      </w:pPr>
      <w:r>
        <w:rPr/>
      </w:r>
    </w:p>
    <w:p>
      <w:pPr>
        <w:pStyle w:val="TextBody"/>
        <w:spacing w:lineRule="auto" w:line="288" w:before="0" w:after="0"/>
        <w:jc w:val="both"/>
        <w:rPr>
          <w:rFonts w:ascii="Arial;sans-serif" w:hAnsi="Arial;sans-serif"/>
          <w:b/>
          <w:color w:val="000000"/>
          <w:sz w:val="18"/>
        </w:rPr>
      </w:pPr>
      <w:r>
        <w:rPr>
          <w:rFonts w:ascii="Arial;sans-serif" w:hAnsi="Arial;sans-serif"/>
          <w:b/>
          <w:color w:val="000000"/>
          <w:sz w:val="18"/>
        </w:rPr>
        <w:t>Operating Results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 </w:t>
      </w:r>
    </w:p>
    <w:p>
      <w:pPr>
        <w:pStyle w:val="TextBody"/>
        <w:spacing w:before="0" w:after="0"/>
        <w:jc w:val="both"/>
        <w:rPr/>
      </w:pPr>
      <w:r>
        <w:rPr/>
      </w:r>
    </w:p>
    <w:p>
      <w:pPr>
        <w:pStyle w:val="TextBody"/>
        <w:spacing w:lineRule="auto" w:line="288" w:before="0" w:after="0"/>
        <w:jc w:val="both"/>
        <w:rPr>
          <w:rFonts w:ascii="Arial;sans-serif" w:hAnsi="Arial;sans-serif"/>
          <w:b/>
          <w:color w:val="000000"/>
          <w:sz w:val="18"/>
        </w:rPr>
      </w:pPr>
      <w:r>
        <w:rPr>
          <w:rFonts w:ascii="Arial;sans-serif" w:hAnsi="Arial;sans-serif"/>
          <w:b/>
          <w:color w:val="000000"/>
          <w:sz w:val="18"/>
        </w:rPr>
        <w:t>Three Months Ended March 31, 2023</w:t>
      </w:r>
    </w:p>
    <w:p>
      <w:pPr>
        <w:pStyle w:val="TextBody"/>
        <w:spacing w:before="0" w:after="0"/>
        <w:ind w:left="0" w:right="0" w:firstLine="720"/>
        <w:jc w:val="both"/>
        <w:rPr/>
      </w:pPr>
      <w:r>
        <w:rPr/>
      </w:r>
    </w:p>
    <w:tbl>
      <w:tblPr>
        <w:tblW w:w="7951" w:type="dxa"/>
        <w:jc w:val="left"/>
        <w:tblInd w:w="0" w:type="dxa"/>
        <w:tblCellMar>
          <w:top w:w="28" w:type="dxa"/>
          <w:left w:w="28" w:type="dxa"/>
          <w:bottom w:w="28" w:type="dxa"/>
          <w:right w:w="28" w:type="dxa"/>
        </w:tblCellMar>
      </w:tblPr>
      <w:tblGrid>
        <w:gridCol w:w="1079"/>
        <w:gridCol w:w="948"/>
        <w:gridCol w:w="957"/>
        <w:gridCol w:w="314"/>
        <w:gridCol w:w="314"/>
        <w:gridCol w:w="782"/>
        <w:gridCol w:w="155"/>
        <w:gridCol w:w="155"/>
        <w:gridCol w:w="155"/>
        <w:gridCol w:w="314"/>
        <w:gridCol w:w="314"/>
        <w:gridCol w:w="782"/>
        <w:gridCol w:w="109"/>
        <w:gridCol w:w="109"/>
        <w:gridCol w:w="109"/>
        <w:gridCol w:w="307"/>
        <w:gridCol w:w="309"/>
        <w:gridCol w:w="739"/>
      </w:tblGrid>
      <w:tr>
        <w:trPr/>
        <w:tc>
          <w:tcPr>
            <w:tcW w:w="1079"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2023</w:t>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2022 to 2023</w:t>
            </w:r>
          </w:p>
        </w:tc>
      </w:tr>
      <w:tr>
        <w:trPr/>
        <w:tc>
          <w:tcPr>
            <w:tcW w:w="29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Percentage</w:t>
              <w:br/>
              <w:t> Increase/</w:t>
              <w:br/>
              <w:t>(Decrease)</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7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84"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Costs and expenses:</w:t>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costs</w:t>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7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7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and integration-related</w:t>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131.3 </w:t>
            </w:r>
          </w:p>
        </w:tc>
        <w:tc>
          <w:tcPr>
            <w:tcW w:w="7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84"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628"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78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65"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628"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78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739"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100" w:after="283"/>
        <w:rPr>
          <w:rFonts w:ascii="Arial;sans-serif" w:hAnsi="Arial;sans-serif"/>
          <w:b/>
          <w:i/>
          <w:color w:val="000000"/>
          <w:sz w:val="18"/>
        </w:rPr>
      </w:pPr>
      <w:r>
        <w:rPr>
          <w:rFonts w:ascii="Arial;sans-serif" w:hAnsi="Arial;sans-serif"/>
          <w:b/>
          <w:i/>
          <w:color w:val="000000"/>
          <w:sz w:val="18"/>
        </w:rPr>
        <w:t>Revenue</w:t>
      </w:r>
    </w:p>
    <w:tbl>
      <w:tblPr>
        <w:tblW w:w="6244" w:type="dxa"/>
        <w:jc w:val="center"/>
        <w:tblInd w:w="0" w:type="dxa"/>
        <w:tblCellMar>
          <w:top w:w="28" w:type="dxa"/>
          <w:left w:w="28" w:type="dxa"/>
          <w:bottom w:w="28" w:type="dxa"/>
          <w:right w:w="28" w:type="dxa"/>
        </w:tblCellMar>
      </w:tblPr>
      <w:tblGrid>
        <w:gridCol w:w="683"/>
        <w:gridCol w:w="602"/>
        <w:gridCol w:w="604"/>
        <w:gridCol w:w="211"/>
        <w:gridCol w:w="976"/>
        <w:gridCol w:w="109"/>
        <w:gridCol w:w="211"/>
        <w:gridCol w:w="976"/>
        <w:gridCol w:w="109"/>
        <w:gridCol w:w="211"/>
        <w:gridCol w:w="721"/>
        <w:gridCol w:w="109"/>
        <w:gridCol w:w="203"/>
        <w:gridCol w:w="203"/>
        <w:gridCol w:w="316"/>
      </w:tblGrid>
      <w:tr>
        <w:trPr/>
        <w:tc>
          <w:tcPr>
            <w:tcW w:w="683"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2" w:type="dxa"/>
            <w:gridSpan w:val="6"/>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763" w:type="dxa"/>
            <w:gridSpan w:val="6"/>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2023</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2022</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before="0" w:after="0"/>
        <w:jc w:val="center"/>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Revenue for the three months ended March 31, 2023 increased by $76.8 million, or 4.0%, to $1,978.6 million, compared to $1,901.8 million for the three months ended March 31, 2022. The increase in revenue for the three months ended March 31, 2023 is due to continued organic growth across the Company's markets.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During the three months ended March 31, 2023, we derived approximately 42.7%, 46.8% and 10.5% of our revenue in the United States, Europe and Rest of World respectively. During the three months ended March 31, 2023, $570.3 million or 28.8% of our revenues were derived from our top 5 customers. New customer accounts are continually added across the full portfolio of large pharma customers, mid-tier pharma customers and biotech customers.</w:t>
      </w:r>
    </w:p>
    <w:p>
      <w:pPr>
        <w:pStyle w:val="TextBody"/>
        <w:spacing w:before="0" w:after="0"/>
        <w:jc w:val="both"/>
        <w:rPr/>
      </w:pPr>
      <w:r>
        <w:rPr/>
      </w:r>
    </w:p>
    <w:p>
      <w:pPr>
        <w:pStyle w:val="TextBody"/>
        <w:spacing w:lineRule="auto" w:line="288" w:before="0" w:after="0"/>
        <w:ind w:left="0" w:right="0" w:firstLine="720"/>
        <w:jc w:val="both"/>
        <w:rPr/>
      </w:pPr>
      <w:r>
        <w:rPr>
          <w:rFonts w:ascii="Arial;sans-serif" w:hAnsi="Arial;sans-serif"/>
          <w:b w:val="false"/>
          <w:color w:val="000000"/>
          <w:sz w:val="18"/>
        </w:rPr>
        <w:t>Revenue in Ireland for the three months ended March 31, 2023 increased to $511.8 million compared to $367.4 million for the three months ended March 31, 2022. Regional revenue is principally a function of the Company’s global transfer pricing model (see</w:t>
      </w:r>
      <w:r>
        <w:rPr>
          <w:color w:val="000000"/>
        </w:rPr>
        <w:t xml:space="preserve"> </w:t>
      </w:r>
      <w:r>
        <w:rPr>
          <w:rFonts w:ascii="Arial;sans-serif" w:hAnsi="Arial;sans-serif"/>
          <w:b w:val="false"/>
          <w:i/>
          <w:color w:val="000000"/>
          <w:sz w:val="18"/>
        </w:rPr>
        <w:t xml:space="preserve">note 16 - Business Segment and Geographical Information </w:t>
      </w:r>
      <w:r>
        <w:rPr>
          <w:rFonts w:ascii="Arial;sans-serif" w:hAnsi="Arial;sans-serif"/>
          <w:b w:val="false"/>
          <w:color w:val="000000"/>
          <w:sz w:val="18"/>
        </w:rPr>
        <w:t>for further details). Revenue in our Rest of Europe region decreased to $414.2 million compared to $456.1 million for the three months ended March 31, 2022. Revenue in the Rest of World region increased to $208.1 million compared to $107.7 million for the three months ended March 31, 2022. Revenue in the U.S. region decreased to $844.4 million from $970.6 million for the three months ended March 31, 2022.</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Arial;sans-serif" w:hAnsi="Arial;sans-serif"/>
          <w:b/>
          <w:i/>
          <w:color w:val="000000"/>
          <w:sz w:val="18"/>
        </w:rPr>
      </w:pPr>
      <w:r>
        <w:rPr>
          <w:rFonts w:ascii="Arial;sans-serif" w:hAnsi="Arial;sans-serif"/>
          <w:b/>
          <w:i/>
          <w:color w:val="000000"/>
          <w:sz w:val="18"/>
        </w:rPr>
        <w:t>Direct costs</w:t>
      </w:r>
    </w:p>
    <w:p>
      <w:pPr>
        <w:pStyle w:val="TextBody"/>
        <w:spacing w:before="0" w:after="0"/>
        <w:rPr/>
      </w:pPr>
      <w:r>
        <w:rPr/>
      </w:r>
    </w:p>
    <w:tbl>
      <w:tblPr>
        <w:tblW w:w="6380" w:type="dxa"/>
        <w:jc w:val="center"/>
        <w:tblInd w:w="0" w:type="dxa"/>
        <w:tblCellMar>
          <w:top w:w="28" w:type="dxa"/>
          <w:left w:w="28" w:type="dxa"/>
          <w:bottom w:w="28" w:type="dxa"/>
          <w:right w:w="28" w:type="dxa"/>
        </w:tblCellMar>
      </w:tblPr>
      <w:tblGrid>
        <w:gridCol w:w="683"/>
        <w:gridCol w:w="602"/>
        <w:gridCol w:w="604"/>
        <w:gridCol w:w="211"/>
        <w:gridCol w:w="976"/>
        <w:gridCol w:w="271"/>
        <w:gridCol w:w="211"/>
        <w:gridCol w:w="976"/>
        <w:gridCol w:w="271"/>
        <w:gridCol w:w="211"/>
        <w:gridCol w:w="721"/>
        <w:gridCol w:w="271"/>
        <w:gridCol w:w="109"/>
        <w:gridCol w:w="109"/>
        <w:gridCol w:w="154"/>
      </w:tblGrid>
      <w:tr>
        <w:trPr/>
        <w:tc>
          <w:tcPr>
            <w:tcW w:w="683"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45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2023</w:t>
            </w:r>
          </w:p>
        </w:tc>
        <w:tc>
          <w:tcPr>
            <w:tcW w:w="145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2022</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1,395,546 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1,378,467 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Direct costs for the three months ended March 31, 2023 increased by $17.1 million, or 1.2%, to $1,395.5 million compared to $1,378.5 million for the three months ended March 31, 2022. Direct costs consist primarily of investigator and other reimbursable costs, compensation, associated fringe benefits and share based compensation expense for project-related employees and other direct project driven costs. The increase in direct costs arose due to an increase in headcount and an increase in personnel related expenditure in the period to March 31, 2023 combined with an increase in other direct project related costs, an increase in travel related costs and an increase in laboratory costs. There was a decrease in third party investigator and other reimbursable costs in the period to March 31, 2023. The decrease in direct costs as a percentage of revenue reflect the different activity mix for the three months ended March 31, 2023 compared to the three months ended March 31, 2022, as well as the realization of integration synergies. </w:t>
      </w:r>
    </w:p>
    <w:p>
      <w:pPr>
        <w:pStyle w:val="TextBody"/>
        <w:spacing w:before="0" w:after="0"/>
        <w:ind w:left="0" w:right="0" w:firstLine="720"/>
        <w:jc w:val="both"/>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Selling, general and administrative expense</w:t>
      </w:r>
    </w:p>
    <w:p>
      <w:pPr>
        <w:pStyle w:val="TextBody"/>
        <w:spacing w:before="0" w:after="0"/>
        <w:rPr/>
      </w:pPr>
      <w:r>
        <w:rPr/>
      </w:r>
    </w:p>
    <w:tbl>
      <w:tblPr>
        <w:tblW w:w="7790" w:type="dxa"/>
        <w:jc w:val="center"/>
        <w:tblInd w:w="0" w:type="dxa"/>
        <w:tblCellMar>
          <w:top w:w="28" w:type="dxa"/>
          <w:left w:w="28" w:type="dxa"/>
          <w:bottom w:w="28" w:type="dxa"/>
          <w:right w:w="28" w:type="dxa"/>
        </w:tblCellMar>
      </w:tblPr>
      <w:tblGrid>
        <w:gridCol w:w="1339"/>
        <w:gridCol w:w="1181"/>
        <w:gridCol w:w="1184"/>
        <w:gridCol w:w="211"/>
        <w:gridCol w:w="826"/>
        <w:gridCol w:w="271"/>
        <w:gridCol w:w="211"/>
        <w:gridCol w:w="826"/>
        <w:gridCol w:w="271"/>
        <w:gridCol w:w="211"/>
        <w:gridCol w:w="616"/>
        <w:gridCol w:w="271"/>
        <w:gridCol w:w="109"/>
        <w:gridCol w:w="109"/>
        <w:gridCol w:w="154"/>
      </w:tblGrid>
      <w:tr>
        <w:trPr/>
        <w:tc>
          <w:tcPr>
            <w:tcW w:w="133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2023</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2022</w:t>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Selling, general and administrative expenses for the three months ended March 31, 2023 increased by $4.7 million, or 2.4%, to $200.0 million, compared to $195.3 million for the three months ended March 31, 2022. Selling, general and administrative expenses comprise primarily of compensation, related fringe benefits and routine share based compensation expense for non-project-related employees, recruitment expenditure, professional service costs, advertising costs and all costs related to facilities and information systems. As a percentage of revenue, selling, general and administrative expenses decreased to 10.1% compared to 10.3% for the three months ended March 31, 2022. The increase in selling, general and administrative expenses relates to an increase in general overhead costs of $23.7 million and changes in foreign exchange movements. These increases were offset by a $21.1 million decrease in personnel related expenditures as the Company continues to integrate its workforce after completion of the Merger. </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i/>
          <w:color w:val="000000"/>
          <w:sz w:val="18"/>
        </w:rPr>
      </w:pPr>
      <w:r>
        <w:rPr>
          <w:rFonts w:ascii="Arial;sans-serif" w:hAnsi="Arial;sans-serif"/>
          <w:b/>
          <w:i/>
          <w:color w:val="000000"/>
          <w:sz w:val="18"/>
        </w:rPr>
        <w:t>Depreciation and amortization</w:t>
      </w:r>
    </w:p>
    <w:tbl>
      <w:tblPr>
        <w:tblW w:w="5975" w:type="dxa"/>
        <w:jc w:val="center"/>
        <w:tblInd w:w="0" w:type="dxa"/>
        <w:tblCellMar>
          <w:top w:w="28" w:type="dxa"/>
          <w:left w:w="28" w:type="dxa"/>
          <w:bottom w:w="28" w:type="dxa"/>
          <w:right w:w="28" w:type="dxa"/>
        </w:tblCellMar>
      </w:tblPr>
      <w:tblGrid>
        <w:gridCol w:w="683"/>
        <w:gridCol w:w="602"/>
        <w:gridCol w:w="604"/>
        <w:gridCol w:w="211"/>
        <w:gridCol w:w="826"/>
        <w:gridCol w:w="271"/>
        <w:gridCol w:w="211"/>
        <w:gridCol w:w="826"/>
        <w:gridCol w:w="271"/>
        <w:gridCol w:w="211"/>
        <w:gridCol w:w="616"/>
        <w:gridCol w:w="271"/>
        <w:gridCol w:w="109"/>
        <w:gridCol w:w="109"/>
        <w:gridCol w:w="154"/>
      </w:tblGrid>
      <w:tr>
        <w:trPr/>
        <w:tc>
          <w:tcPr>
            <w:tcW w:w="683"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2023</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2022</w:t>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114,802 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depreciation charge reflects investment in facilities, information systems and equipment to support the Company’s continued growth. The depreciation expense for the three months ended March 31, 2023 increased by $3.8 million, or 14.5%, to $30.4 million compared to $26.6 million for the three months ended March 31, 2022. As a percentage of revenue the depreciation expense was 1.5%, which increased from 1.4% for the three months ended March 31, 2022. The increase in the depreciation charge for the three months ended March 31, 2023 is due to the increase in our depreciable asset base and additional spend related to computer hardware and software. </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amortization expense represents the amortization of intangible assets acquired in business combinations. Amortization of intangibles for the three months ended March 31, 2023 decreased by $0.1 million, or 0.1%, to $114.7 million compared to $114.8 million for the three months ended March 31, 2022. As a percentage of revenue, amortization expense decreased to 5.8%, compared to 6.0% for the three months ended March 31, 2022.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v:rect>
            </w:pict>
          </mc:Fallback>
        </mc:AlternateContent>
      </w:r>
    </w:p>
    <w:p>
      <w:pPr>
        <w:pStyle w:val="TextBody"/>
        <w:spacing w:before="0" w:after="0"/>
        <w:rPr/>
      </w:pPr>
      <w:r>
        <w:rPr/>
      </w:r>
    </w:p>
    <w:p>
      <w:pPr>
        <w:pStyle w:val="TextBody"/>
        <w:spacing w:before="0" w:after="0"/>
        <w:ind w:left="0" w:right="0" w:firstLine="72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i/>
          <w:color w:val="000000"/>
          <w:sz w:val="18"/>
        </w:rPr>
      </w:pPr>
      <w:r>
        <w:rPr>
          <w:rFonts w:ascii="Arial;sans-serif" w:hAnsi="Arial;sans-serif"/>
          <w:b/>
          <w:i/>
          <w:color w:val="000000"/>
          <w:sz w:val="18"/>
        </w:rPr>
        <w:t>Restructuring, transaction and integration-related expenses associated with the Merger</w:t>
      </w:r>
    </w:p>
    <w:p>
      <w:pPr>
        <w:pStyle w:val="TextBody"/>
        <w:spacing w:before="0" w:after="0"/>
        <w:jc w:val="both"/>
        <w:rPr/>
      </w:pPr>
      <w:r>
        <w:rPr/>
      </w:r>
    </w:p>
    <w:tbl>
      <w:tblPr>
        <w:tblW w:w="7701" w:type="dxa"/>
        <w:jc w:val="left"/>
        <w:tblInd w:w="0" w:type="dxa"/>
        <w:tblCellMar>
          <w:top w:w="28" w:type="dxa"/>
          <w:left w:w="28" w:type="dxa"/>
          <w:bottom w:w="28" w:type="dxa"/>
          <w:right w:w="28" w:type="dxa"/>
        </w:tblCellMar>
      </w:tblPr>
      <w:tblGrid>
        <w:gridCol w:w="1383"/>
        <w:gridCol w:w="1219"/>
        <w:gridCol w:w="1223"/>
        <w:gridCol w:w="211"/>
        <w:gridCol w:w="721"/>
        <w:gridCol w:w="271"/>
        <w:gridCol w:w="211"/>
        <w:gridCol w:w="721"/>
        <w:gridCol w:w="271"/>
        <w:gridCol w:w="211"/>
        <w:gridCol w:w="616"/>
        <w:gridCol w:w="271"/>
        <w:gridCol w:w="109"/>
        <w:gridCol w:w="109"/>
        <w:gridCol w:w="154"/>
      </w:tblGrid>
      <w:tr>
        <w:trPr/>
        <w:tc>
          <w:tcPr>
            <w:tcW w:w="1383"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2023</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2022</w:t>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and integration-related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the three months ended March 31, 2023, the Company incurred $21.1 million for restructuring, transaction and integration-related expenses associated with the Merger. The charge includes transaction and integration costs of $11.4 million associated with advisory costs, severance arrangements, retention agreements and ongoing integration activities.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has also undertaken a restructuring program following the announcement of the Merger to review its global office footprint and optimize its locations to best fit the requirements of the Company. This program has resulted in a charge of $9.7 million in the three months ended March 31, 2023. </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expect to incur additional integration expenses associated with the Merger; however, the timing and the amount of these expenses depends on various factors such as, but not limited to, the execution of integration activities and the aggregate amount of synergies we achieve from these activities.</w:t>
      </w:r>
    </w:p>
    <w:p>
      <w:pPr>
        <w:pStyle w:val="TextBody"/>
        <w:spacing w:before="0" w:after="0"/>
        <w:ind w:left="0" w:right="0" w:firstLine="720"/>
        <w:jc w:val="both"/>
        <w:rPr/>
      </w:pPr>
      <w:r>
        <w:rPr/>
      </w:r>
    </w:p>
    <w:p>
      <w:pPr>
        <w:pStyle w:val="TextBody"/>
        <w:spacing w:lineRule="auto" w:line="288" w:before="0" w:after="0"/>
        <w:jc w:val="both"/>
        <w:rPr/>
      </w:pPr>
      <w:r>
        <w:rPr>
          <w:rFonts w:ascii="Arial;sans-serif" w:hAnsi="Arial;sans-serif"/>
          <w:b/>
          <w:i/>
          <w:color w:val="000000"/>
          <w:sz w:val="18"/>
          <w:highlight w:val="white"/>
        </w:rPr>
        <w:t>Income</w:t>
      </w:r>
      <w:r>
        <w:rPr>
          <w:color w:val="000000"/>
        </w:rPr>
        <w:t xml:space="preserve"> </w:t>
      </w:r>
      <w:r>
        <w:rPr>
          <w:rFonts w:ascii="Arial;sans-serif" w:hAnsi="Arial;sans-serif"/>
          <w:b/>
          <w:i/>
          <w:color w:val="000000"/>
          <w:sz w:val="18"/>
        </w:rPr>
        <w:t>from operations</w:t>
      </w:r>
    </w:p>
    <w:tbl>
      <w:tblPr>
        <w:tblW w:w="5948" w:type="dxa"/>
        <w:jc w:val="center"/>
        <w:tblInd w:w="0" w:type="dxa"/>
        <w:tblCellMar>
          <w:top w:w="28" w:type="dxa"/>
          <w:left w:w="28" w:type="dxa"/>
          <w:bottom w:w="28" w:type="dxa"/>
          <w:right w:w="28" w:type="dxa"/>
        </w:tblCellMar>
      </w:tblPr>
      <w:tblGrid>
        <w:gridCol w:w="754"/>
        <w:gridCol w:w="664"/>
        <w:gridCol w:w="666"/>
        <w:gridCol w:w="211"/>
        <w:gridCol w:w="826"/>
        <w:gridCol w:w="271"/>
        <w:gridCol w:w="211"/>
        <w:gridCol w:w="826"/>
        <w:gridCol w:w="271"/>
        <w:gridCol w:w="211"/>
        <w:gridCol w:w="721"/>
        <w:gridCol w:w="316"/>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2023</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2022</w:t>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Change</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from operations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84"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Income from operations for the three months ended March 31, 2023 increased by $46.5 million or 27.3% to $216.8 million compared to $170.3 million for the three months ended March 31, 2022. As a percentage of revenue, income from operations increased to 11.0% compared to 9.0% of revenue for the three months ended March 31, 2022. </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Income from operations in Ireland increased to $51.3 million compared to $9.9 million for the three months ended March 31, 2022.</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the Rest of Europe region, income from operations increased to $59.8 million compared to $59.5 million for the three months ended March 31, 2022. As a percentage of revenues, income from operations in the Rest of Europe region increased to 14.4% compared to 13.0% for the period ended March 31, 2022.</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the U.S. region, income from operations increased by $27.6 million, to $88.1 million, compared to $60.5 million for the period ended March 31, 2022. As a percentage of revenues, income from operations in the U.S. region increased to 10.4% compared to 6.2% for the period ended March 31, 2022. </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the Rest of World region, income from operations decreased by $22.9 million to $17.6 million compared to $40.5 million for the three months ended March 31, 2022. As percentage of revenues, income from operations in the other regions decreased to 8.5% compared to 37.6% for the period ended March 31, 2022.</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i/>
          <w:color w:val="000000"/>
          <w:sz w:val="18"/>
        </w:rPr>
      </w:pPr>
      <w:r>
        <w:rPr>
          <w:rFonts w:ascii="Arial;sans-serif" w:hAnsi="Arial;sans-serif"/>
          <w:b/>
          <w:i/>
          <w:color w:val="000000"/>
          <w:sz w:val="18"/>
        </w:rPr>
        <w:t>Interest income and expense</w:t>
      </w:r>
    </w:p>
    <w:p>
      <w:pPr>
        <w:pStyle w:val="TextBody"/>
        <w:spacing w:before="0" w:after="0"/>
        <w:rPr/>
      </w:pPr>
      <w:r>
        <w:rPr/>
      </w:r>
    </w:p>
    <w:tbl>
      <w:tblPr>
        <w:tblW w:w="6605" w:type="dxa"/>
        <w:jc w:val="left"/>
        <w:tblInd w:w="0" w:type="dxa"/>
        <w:tblCellMar>
          <w:top w:w="28" w:type="dxa"/>
          <w:left w:w="28" w:type="dxa"/>
          <w:bottom w:w="28" w:type="dxa"/>
          <w:right w:w="28" w:type="dxa"/>
        </w:tblCellMar>
      </w:tblPr>
      <w:tblGrid>
        <w:gridCol w:w="683"/>
        <w:gridCol w:w="602"/>
        <w:gridCol w:w="604"/>
        <w:gridCol w:w="211"/>
        <w:gridCol w:w="796"/>
        <w:gridCol w:w="109"/>
        <w:gridCol w:w="211"/>
        <w:gridCol w:w="796"/>
        <w:gridCol w:w="109"/>
        <w:gridCol w:w="211"/>
        <w:gridCol w:w="796"/>
        <w:gridCol w:w="109"/>
        <w:gridCol w:w="308"/>
        <w:gridCol w:w="308"/>
        <w:gridCol w:w="271"/>
        <w:gridCol w:w="109"/>
        <w:gridCol w:w="109"/>
        <w:gridCol w:w="109"/>
        <w:gridCol w:w="154"/>
      </w:tblGrid>
      <w:tr>
        <w:trPr/>
        <w:tc>
          <w:tcPr>
            <w:tcW w:w="683"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2" w:type="dxa"/>
            <w:gridSpan w:val="6"/>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2003" w:type="dxa"/>
            <w:gridSpan w:val="6"/>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2023</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2022</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Interest expense for the three months ended March 31, 2023 increased to $86.6 million, compared to $44.4 million for the three months ended March 31, 2022. The increase during the period reflects the impact of financing costs associated with the Merger and the average gross amount of outstanding borrowing and the impact of rising interest rates during the year. Interest income for the three months ended March 31, 2023 increased to $1.1 million, compared to $0.1 million for the three months ended March 31, 2022.</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i/>
          <w:color w:val="000000"/>
          <w:sz w:val="18"/>
          <w:highlight w:val="white"/>
        </w:rPr>
      </w:pPr>
      <w:r>
        <w:rPr>
          <w:rFonts w:ascii="Arial;sans-serif" w:hAnsi="Arial;sans-serif"/>
          <w:b/>
          <w:i/>
          <w:color w:val="000000"/>
          <w:sz w:val="18"/>
          <w:highlight w:val="white"/>
        </w:rPr>
        <w:t>Income tax expense</w:t>
      </w:r>
    </w:p>
    <w:p>
      <w:pPr>
        <w:pStyle w:val="TextBody"/>
        <w:spacing w:before="0" w:after="0"/>
        <w:jc w:val="both"/>
        <w:rPr/>
      </w:pPr>
      <w:r>
        <w:rPr/>
      </w:r>
    </w:p>
    <w:tbl>
      <w:tblPr>
        <w:tblW w:w="5870" w:type="dxa"/>
        <w:jc w:val="left"/>
        <w:tblInd w:w="0" w:type="dxa"/>
        <w:tblCellMar>
          <w:top w:w="28" w:type="dxa"/>
          <w:left w:w="28" w:type="dxa"/>
          <w:bottom w:w="28" w:type="dxa"/>
          <w:right w:w="28" w:type="dxa"/>
        </w:tblCellMar>
      </w:tblPr>
      <w:tblGrid>
        <w:gridCol w:w="775"/>
        <w:gridCol w:w="683"/>
        <w:gridCol w:w="686"/>
        <w:gridCol w:w="211"/>
        <w:gridCol w:w="721"/>
        <w:gridCol w:w="271"/>
        <w:gridCol w:w="211"/>
        <w:gridCol w:w="721"/>
        <w:gridCol w:w="271"/>
        <w:gridCol w:w="211"/>
        <w:gridCol w:w="466"/>
        <w:gridCol w:w="271"/>
        <w:gridCol w:w="109"/>
        <w:gridCol w:w="109"/>
        <w:gridCol w:w="154"/>
      </w:tblGrid>
      <w:tr>
        <w:trPr/>
        <w:tc>
          <w:tcPr>
            <w:tcW w:w="775"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6"/>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2023</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2022</w:t>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Effective income tax rate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Provision for income taxes increased to a $14.3 million charge for the three months ended March 31, 2023, compared to a $13.3 million charge for the three months ended March 31, 2022. The Company’s effective tax rate for the three months ended March 31, 2023 was 10.9% compared with 10.5% for the three months ended March 31,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Company’s effective tax rate remains principally a function of the distribution of pre-tax profits amongst the territories in which it operates.</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color w:val="000000"/>
          <w:sz w:val="18"/>
        </w:rPr>
      </w:pPr>
      <w:r>
        <w:rPr>
          <w:rFonts w:ascii="Arial;sans-serif" w:hAnsi="Arial;sans-serif"/>
          <w:b/>
          <w:color w:val="000000"/>
          <w:sz w:val="18"/>
        </w:rPr>
        <w:t>Liquidity and capital resources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at the time the contract is entered into, with the balance paid in installments over the contract's duration, in some cases on the achievement of certain milestones. Therefore, cash receipts do not correspond to costs incurred and revenue recognized on contracts.</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color w:val="000000"/>
          <w:sz w:val="18"/>
        </w:rPr>
      </w:pPr>
      <w:r>
        <w:rPr>
          <w:rFonts w:ascii="Arial;sans-serif" w:hAnsi="Arial;sans-serif"/>
          <w:b/>
          <w:color w:val="000000"/>
          <w:sz w:val="18"/>
        </w:rPr>
        <w:t>Cash and cash equivalents and net borrowings</w:t>
      </w:r>
    </w:p>
    <w:tbl>
      <w:tblPr>
        <w:tblW w:w="10885" w:type="dxa"/>
        <w:jc w:val="left"/>
        <w:tblInd w:w="0" w:type="dxa"/>
        <w:tblCellMar>
          <w:top w:w="28" w:type="dxa"/>
          <w:left w:w="28" w:type="dxa"/>
          <w:bottom w:w="28" w:type="dxa"/>
          <w:right w:w="28" w:type="dxa"/>
        </w:tblCellMar>
      </w:tblPr>
      <w:tblGrid>
        <w:gridCol w:w="416"/>
        <w:gridCol w:w="339"/>
        <w:gridCol w:w="341"/>
        <w:gridCol w:w="656"/>
        <w:gridCol w:w="335"/>
        <w:gridCol w:w="336"/>
        <w:gridCol w:w="109"/>
        <w:gridCol w:w="109"/>
        <w:gridCol w:w="109"/>
        <w:gridCol w:w="434"/>
        <w:gridCol w:w="407"/>
        <w:gridCol w:w="241"/>
        <w:gridCol w:w="109"/>
        <w:gridCol w:w="109"/>
        <w:gridCol w:w="109"/>
        <w:gridCol w:w="413"/>
        <w:gridCol w:w="413"/>
        <w:gridCol w:w="236"/>
        <w:gridCol w:w="109"/>
        <w:gridCol w:w="109"/>
        <w:gridCol w:w="109"/>
        <w:gridCol w:w="315"/>
        <w:gridCol w:w="316"/>
        <w:gridCol w:w="261"/>
        <w:gridCol w:w="109"/>
        <w:gridCol w:w="109"/>
        <w:gridCol w:w="109"/>
        <w:gridCol w:w="390"/>
        <w:gridCol w:w="390"/>
        <w:gridCol w:w="391"/>
        <w:gridCol w:w="109"/>
        <w:gridCol w:w="109"/>
        <w:gridCol w:w="109"/>
        <w:gridCol w:w="315"/>
        <w:gridCol w:w="315"/>
        <w:gridCol w:w="316"/>
        <w:gridCol w:w="109"/>
        <w:gridCol w:w="109"/>
        <w:gridCol w:w="109"/>
        <w:gridCol w:w="644"/>
        <w:gridCol w:w="347"/>
        <w:gridCol w:w="356"/>
      </w:tblGrid>
      <w:tr>
        <w:trPr/>
        <w:tc>
          <w:tcPr>
            <w:tcW w:w="41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Balance December 31, 2022</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82"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(Drawn Down)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Repaid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92"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Net cash</w:t>
              <w:br/>
              <w:t>inflow/</w:t>
              <w:br/>
              <w:t>(outflow)</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71"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Other non-</w:t>
              <w:br/>
              <w:t>cash</w:t>
              <w:br/>
              <w:t>adjustments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4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Effect of</w:t>
              <w:br/>
              <w:t>exchange</w:t>
              <w:br/>
              <w:t>rates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347"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Balance March 31, 2023</w:t>
            </w:r>
          </w:p>
        </w:tc>
      </w:tr>
      <w:tr>
        <w:trPr/>
        <w:tc>
          <w:tcPr>
            <w:tcW w:w="10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89" w:type="dxa"/>
            <w:gridSpan w:val="3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color w:val="000000"/>
                <w:sz w:val="18"/>
              </w:rPr>
              <w:t>$ (in thousands) </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Cash and cash equivalents</w:t>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288,768 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(9,606)</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279,880</w:t>
            </w:r>
            <w:r>
              <w:rPr>
                <w:color w:val="000000"/>
              </w:rPr>
              <w:t>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Available for sale investments</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1,653</w:t>
            </w: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7"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Facilities &amp; Senior Secured Notes</w:t>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(4,654,187)</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(180,000)</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350,000 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w:t>
            </w:r>
          </w:p>
        </w:tc>
        <w:tc>
          <w:tcPr>
            <w:tcW w:w="3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(4,488,684)</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(4,363,706)</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(180,000)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350,000 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(9,666)</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7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(4,207,151)</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Company’s cash and short term investment balances at March 31, 2023 amounted to $281.5 million compared with cash and short term investment balances of $290.5 million at December 31, 2022.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The senior secured term loan facility will mature in July 2028 and the revolving loan facility will mature in July 2026. At March 31, 2023, an amount of $80.0 million was outstanding under the revolving loan facility.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March 31, 2023, the Company repaid $250.0 million of the senior secured term loan facility and made a quarterly interest payment of $75.3 million. This repayment resulted in an additional charge associated with previously capitalized fees of $2.2 million.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addition to the Senior Secured Credit Facilities, on July 1, 2021, a subsidiary of the Company issued $500 million in aggregate principal amount of 2.875% senior secured notes due 2026 in a private offering. The senior secured notes will mature on July 15, 2026.</w:t>
      </w:r>
    </w:p>
    <w:p>
      <w:pPr>
        <w:pStyle w:val="TextBody"/>
        <w:spacing w:before="0" w:after="0"/>
        <w:ind w:left="0" w:right="0" w:firstLine="720"/>
        <w:jc w:val="both"/>
        <w:rPr/>
      </w:pPr>
      <w:r>
        <w:rPr/>
      </w:r>
    </w:p>
    <w:p>
      <w:pPr>
        <w:pStyle w:val="TextBody"/>
        <w:spacing w:lineRule="auto" w:line="288" w:before="0" w:after="0"/>
        <w:jc w:val="both"/>
        <w:rPr>
          <w:rFonts w:ascii="Arial;sans-serif" w:hAnsi="Arial;sans-serif"/>
          <w:b/>
          <w:color w:val="000000"/>
          <w:sz w:val="18"/>
        </w:rPr>
      </w:pPr>
      <w:r>
        <w:rPr>
          <w:rFonts w:ascii="Arial;sans-serif" w:hAnsi="Arial;sans-serif"/>
          <w:b/>
          <w:color w:val="000000"/>
          <w:sz w:val="18"/>
        </w:rPr>
        <w:t>Cash flows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18"/>
        </w:rPr>
      </w:pPr>
      <w:r>
        <w:rPr>
          <w:rFonts w:ascii="Arial;sans-serif" w:hAnsi="Arial;sans-serif"/>
          <w:b/>
          <w:i/>
          <w:color w:val="000000"/>
          <w:sz w:val="18"/>
        </w:rPr>
        <w:t>Net cash from operating activities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Net cash provided by operating activities decreased by $51.4 million to $175.5 million for the three months ended March 31, 2023 as compared to net cash provided by operating activities of $226.9 million for the three months ended March 31, 2022. The decrease in net cash provided by operating activities of $51.4 million is due to changes in other assets and liabilities of $152.2 million, offset by changes in working capital of $77.1 million.</w:t>
      </w:r>
    </w:p>
    <w:p>
      <w:pPr>
        <w:pStyle w:val="TextBody"/>
        <w:spacing w:before="0" w:after="0"/>
        <w:ind w:left="0" w:right="0" w:firstLine="720"/>
        <w:jc w:val="both"/>
        <w:rPr/>
      </w:pPr>
      <w:r>
        <w:rPr/>
      </w:r>
    </w:p>
    <w:p>
      <w:pPr>
        <w:pStyle w:val="TextBody"/>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change in working capital is primarily attributable to an increase in accounts receivable of $57.8 million,offset by a decrease in unbilled revenue of $37.1 million and an increase in unearned revenue of $97.8 million. These changes result from differences in timing of revenue recognition and billing on clinical trials. The number of days’ revenue outstanding at March 31, 2023 was 54 days compared to 54 days at December 31, 2022 and 35 days at March 31, 2022. 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A decrease in the number of days’ revenue outstanding during a period will result in cash inflows to the Company while an increase in days revenue outstanding will lead to cash outflows.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18"/>
        </w:rPr>
      </w:pPr>
      <w:r>
        <w:rPr>
          <w:rFonts w:ascii="Arial;sans-serif" w:hAnsi="Arial;sans-serif"/>
          <w:b/>
          <w:i/>
          <w:color w:val="000000"/>
          <w:sz w:val="18"/>
        </w:rPr>
        <w:t>Net cash used in investing activities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Net cash used in investing activities was $28.0 million for the three months ended March 31, 2023 compared to net cash used in investing activities of $19.5 million for the three months ended March 31, 2022. Net cash used in investing activities during the three months ended March 31, 2023 was primarily related to cash outflows of $26.7 million for capital expenditures made mainly relating to investment in facilities and IT infrastructure and $1.4 million in relation to investments in long-term equity.</w:t>
      </w:r>
    </w:p>
    <w:p>
      <w:pPr>
        <w:pStyle w:val="TextBody"/>
        <w:spacing w:before="0" w:after="0"/>
        <w:jc w:val="both"/>
        <w:rPr/>
      </w:pPr>
      <w:r>
        <w:rPr/>
      </w:r>
    </w:p>
    <w:p>
      <w:pPr>
        <w:pStyle w:val="TextBody"/>
        <w:spacing w:lineRule="auto" w:line="288" w:before="0" w:after="0"/>
        <w:jc w:val="both"/>
        <w:rPr>
          <w:rFonts w:ascii="Arial;sans-serif" w:hAnsi="Arial;sans-serif"/>
          <w:b/>
          <w:i/>
          <w:color w:val="000000"/>
          <w:sz w:val="18"/>
        </w:rPr>
      </w:pPr>
      <w:r>
        <w:rPr>
          <w:rFonts w:ascii="Arial;sans-serif" w:hAnsi="Arial;sans-serif"/>
          <w:b/>
          <w:i/>
          <w:color w:val="000000"/>
          <w:sz w:val="18"/>
        </w:rPr>
        <w:t>Net cash used in financing activities</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Net cash used in financing activities during the three months ended March 31, 2023 amounted to $157.1 million compared to net cash used in financing activities of $392.5 million for the three months ended March 31, 2022. During the three months ended March 31, 2023, the Company repaid external financing of $180.0 million. This was offset by $12.9 million that was received by the Company from the exercise of share options. </w:t>
      </w:r>
    </w:p>
    <w:p>
      <w:pPr>
        <w:pStyle w:val="TextBody"/>
        <w:spacing w:before="0" w:after="0"/>
        <w:jc w:val="both"/>
        <w:rPr/>
      </w:pPr>
      <w:r>
        <w:rPr/>
      </w:r>
    </w:p>
    <w:p>
      <w:pPr>
        <w:pStyle w:val="TextBody"/>
        <w:spacing w:lineRule="auto" w:line="288" w:before="0" w:after="0"/>
        <w:jc w:val="both"/>
        <w:rPr>
          <w:rFonts w:ascii="Arial;sans-serif" w:hAnsi="Arial;sans-serif"/>
          <w:b/>
          <w:i/>
          <w:color w:val="000000"/>
          <w:sz w:val="18"/>
        </w:rPr>
      </w:pPr>
      <w:r>
        <w:rPr>
          <w:rFonts w:ascii="Arial;sans-serif" w:hAnsi="Arial;sans-serif"/>
          <w:b/>
          <w:i/>
          <w:color w:val="000000"/>
          <w:sz w:val="18"/>
        </w:rPr>
        <w:t>Net cash outflow</w:t>
      </w:r>
    </w:p>
    <w:p>
      <w:pPr>
        <w:pStyle w:val="TextBody"/>
        <w:spacing w:before="0" w:after="0"/>
        <w:jc w:val="both"/>
        <w:rPr/>
      </w:pPr>
      <w:r>
        <w:rPr/>
      </w:r>
    </w:p>
    <w:p>
      <w:pPr>
        <w:pStyle w:val="TextBody"/>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a result of these cash flows, cash and cash equivalents decreased by $8.9 million for the three months ended March 31, 2023 compared to a decrease of $193.1 million for the three months ended March 31, 2022.</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rFonts w:ascii="Arial;sans-serif" w:hAnsi="Arial;sans-serif"/>
          <w:b/>
          <w:color w:val="000000"/>
          <w:sz w:val="18"/>
        </w:rPr>
        <w:t>Legal proceedings</w:t>
      </w:r>
      <w:r>
        <w:rPr>
          <w:color w:val="000000"/>
        </w:rPr>
        <w:t xml:space="preserve"> </w:t>
      </w:r>
    </w:p>
    <w:p>
      <w:pPr>
        <w:pStyle w:val="TextBody"/>
        <w:spacing w:before="0" w:after="0"/>
        <w:jc w:val="both"/>
        <w:rPr/>
      </w:pPr>
      <w:r>
        <w:rPr/>
      </w:r>
    </w:p>
    <w:p>
      <w:pPr>
        <w:pStyle w:val="TextBody"/>
        <w:spacing w:lineRule="auto" w:line="26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are not party to any material pending legal proceedings, and we do not expect any litigation which could have an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color w:val="000000"/>
          <w:sz w:val="18"/>
        </w:rPr>
      </w:pPr>
      <w:r>
        <w:rPr>
          <w:rFonts w:ascii="Arial;sans-serif" w:hAnsi="Arial;sans-serif"/>
          <w:b/>
          <w:color w:val="000000"/>
          <w:sz w:val="18"/>
        </w:rPr>
        <w:t>Forward-Looking Statements</w:t>
      </w:r>
    </w:p>
    <w:p>
      <w:pPr>
        <w:pStyle w:val="TextBody"/>
        <w:spacing w:before="0" w:after="0"/>
        <w:rPr/>
      </w:pPr>
      <w:r>
        <w:rPr/>
      </w:r>
    </w:p>
    <w:p>
      <w:pPr>
        <w:pStyle w:val="TextBody"/>
        <w:spacing w:lineRule="auto" w:line="268" w:before="0" w:after="0"/>
        <w:ind w:left="0" w:right="0" w:firstLine="720"/>
        <w:jc w:val="both"/>
        <w:rPr/>
      </w:pPr>
      <w:r>
        <w:rPr>
          <w:rFonts w:ascii="Arial;sans-serif" w:hAnsi="Arial;sans-serif"/>
          <w:b w:val="false"/>
          <w:color w:val="000000"/>
          <w:sz w:val="18"/>
        </w:rPr>
        <w:t xml:space="preserve">Certain statements contained herein are forward looking statements,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industry prospects, future business, future results of operations or financial condition, our ability to integrate the businesses we have acquired into our existing operations,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Such </w:t>
      </w:r>
      <w:r>
        <w:rPr>
          <w:rFonts w:ascii="Arial;sans-serif" w:hAnsi="Arial;sans-serif"/>
          <w:b w:val="false"/>
          <w:color w:val="000000"/>
          <w:sz w:val="18"/>
          <w:highlight w:val="white"/>
        </w:rPr>
        <w:t>risks and uncertainties include, but are not limited to, dependence on the pharmaceutical industry and certain clients, the need to regularly win projects and then to execute them efficiently and correctly, the challenges presented by rapid growth, our expectations concerning the ongoing impact of the novel coronavirus identified as 'COVID-19' on our operational results, the challenges associated with the integration of the PRA, competition and the continuing consolidation of the industry, the dependence on certain key executives, changes in the regulatory environment and other factors</w:t>
      </w:r>
      <w:r>
        <w:rPr>
          <w:rFonts w:ascii="Arial;sans-serif" w:hAnsi="Arial;sans-serif"/>
          <w:b w:val="false"/>
          <w:color w:val="000000"/>
          <w:sz w:val="18"/>
        </w:rPr>
        <w:t>. Forward-looking statements speak only as of the date they are made and we do not undertake any obligation to update publicly any forward-looking statement, either as a result of new information, future events or otherwise. Please also refer to the Form 20-F filed on March 1, 2022 for risks and uncertainties facing the Company.</w:t>
      </w:r>
    </w:p>
    <w:p>
      <w:pPr>
        <w:pStyle w:val="TextBody"/>
        <w:spacing w:before="0" w:after="0"/>
        <w:ind w:left="0" w:right="0" w:firstLine="72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v:rect>
            </w:pict>
          </mc:Fallback>
        </mc:AlternateConten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both"/>
        <w:rPr>
          <w:rFonts w:ascii="Arial;sans-serif" w:hAnsi="Arial;sans-serif"/>
          <w:b/>
          <w:color w:val="000000"/>
          <w:sz w:val="18"/>
        </w:rPr>
      </w:pPr>
      <w:r>
        <w:rPr>
          <w:rFonts w:ascii="Arial;sans-serif" w:hAnsi="Arial;sans-serif"/>
          <w:b/>
          <w:color w:val="000000"/>
          <w:sz w:val="18"/>
        </w:rPr>
        <w:t>SIGNATURES</w:t>
      </w:r>
    </w:p>
    <w:p>
      <w:pPr>
        <w:pStyle w:val="TextBody"/>
        <w:spacing w:before="0" w:after="0"/>
        <w:rPr/>
      </w:pPr>
      <w:r>
        <w:rPr/>
      </w:r>
    </w:p>
    <w:p>
      <w:pPr>
        <w:pStyle w:val="TextBody"/>
        <w:spacing w:lineRule="auto" w:line="288" w:before="0" w:after="0"/>
        <w:jc w:val="both"/>
        <w:rPr>
          <w:color w:val="000000"/>
        </w:rPr>
      </w:pPr>
      <w:r>
        <w:rPr>
          <w:color w:val="000000"/>
        </w:rPr>
        <w:t>    </w:t>
      </w: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r>
    </w:p>
    <w:tbl>
      <w:tblPr>
        <w:tblW w:w="4077" w:type="dxa"/>
        <w:jc w:val="left"/>
        <w:tblInd w:w="0" w:type="dxa"/>
        <w:tblCellMar>
          <w:top w:w="28" w:type="dxa"/>
          <w:left w:w="28" w:type="dxa"/>
          <w:bottom w:w="28" w:type="dxa"/>
          <w:right w:w="28" w:type="dxa"/>
        </w:tblCellMar>
      </w:tblPr>
      <w:tblGrid>
        <w:gridCol w:w="201"/>
        <w:gridCol w:w="176"/>
        <w:gridCol w:w="178"/>
        <w:gridCol w:w="414"/>
        <w:gridCol w:w="414"/>
        <w:gridCol w:w="417"/>
        <w:gridCol w:w="109"/>
        <w:gridCol w:w="109"/>
        <w:gridCol w:w="109"/>
        <w:gridCol w:w="571"/>
        <w:gridCol w:w="571"/>
        <w:gridCol w:w="808"/>
      </w:tblGrid>
      <w:tr>
        <w:trPr/>
        <w:tc>
          <w:tcPr>
            <w:tcW w:w="2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ICON plc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Arial;sans-serif" w:hAnsi="Arial;sans-serif"/>
                <w:b w:val="false"/>
                <w:color w:val="000000"/>
                <w:sz w:val="18"/>
                <w:u w:val="single"/>
              </w:rPr>
              <w:t>/s/Brendan Brennan</w:t>
            </w:r>
            <w:r>
              <w:rPr>
                <w:color w:val="000000"/>
              </w:rPr>
              <w:t> </w:t>
            </w:r>
          </w:p>
        </w:tc>
      </w:tr>
      <w:tr>
        <w:trPr/>
        <w:tc>
          <w:tcPr>
            <w:tcW w:w="55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4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Brendan Brennan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13576</Words>
  <CharactersWithSpaces>87135</CharactersWithSpaces>
  <Paragraphs>1771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