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8"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15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1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8"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ind w:left="4420"/>
        <w:spacing w:after="0" w:line="210" w:lineRule="auto"/>
        <w:rPr>
          <w:sz w:val="20"/>
          <w:szCs w:val="20"/>
          <w:color w:val="auto"/>
        </w:rPr>
      </w:pPr>
      <w:r>
        <w:rPr>
          <w:rFonts w:ascii="Times New Roman" w:cs="Times New Roman" w:eastAsia="Times New Roman" w:hAnsi="Times New Roman"/>
          <w:sz w:val="18"/>
          <w:szCs w:val="18"/>
          <w:b w:val="1"/>
          <w:bCs w:val="1"/>
          <w:color w:val="auto"/>
        </w:rPr>
        <w:t>Pursuant to Rule 13a-16 under</w:t>
      </w:r>
    </w:p>
    <w:p>
      <w:pPr>
        <w:ind w:left="424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b w:val="1"/>
          <w:bCs w:val="1"/>
          <w:color w:val="auto"/>
        </w:rPr>
        <w:t>he Securities Exchange Act of 1934</w:t>
      </w:r>
    </w:p>
    <w:p>
      <w:pPr>
        <w:spacing w:after="0" w:line="200" w:lineRule="exact"/>
        <w:rPr>
          <w:sz w:val="24"/>
          <w:szCs w:val="24"/>
          <w:color w:val="auto"/>
        </w:rPr>
      </w:pPr>
    </w:p>
    <w:p>
      <w:pPr>
        <w:spacing w:after="0" w:line="235"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color w:val="auto"/>
        </w:rPr>
        <w:t>For the month of April 2024</w:t>
      </w:r>
    </w:p>
    <w:p>
      <w:pPr>
        <w:spacing w:after="0" w:line="200" w:lineRule="exact"/>
        <w:rPr>
          <w:sz w:val="24"/>
          <w:szCs w:val="24"/>
          <w:color w:val="auto"/>
        </w:rPr>
      </w:pPr>
    </w:p>
    <w:p>
      <w:pPr>
        <w:spacing w:after="0" w:line="25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ICON plc</w:t>
      </w: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0" w:lineRule="exact"/>
        <w:rPr>
          <w:sz w:val="24"/>
          <w:szCs w:val="24"/>
          <w:color w:val="auto"/>
        </w:rPr>
      </w:pPr>
    </w:p>
    <w:p>
      <w:pPr>
        <w:spacing w:after="0" w:line="2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333-08704</w:t>
      </w:r>
    </w:p>
    <w:p>
      <w:pPr>
        <w:spacing w:after="0" w:line="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0" w:lineRule="exact"/>
        <w:rPr>
          <w:sz w:val="24"/>
          <w:szCs w:val="24"/>
          <w:color w:val="auto"/>
        </w:rPr>
      </w:pPr>
    </w:p>
    <w:p>
      <w:pPr>
        <w:spacing w:after="0" w:line="22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South County Business Park, Leopardstown, Dublin 18, Ireland</w:t>
      </w: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7" w:lineRule="exact"/>
        <w:rPr>
          <w:sz w:val="24"/>
          <w:szCs w:val="24"/>
          <w:color w:val="auto"/>
        </w:rPr>
      </w:pPr>
    </w:p>
    <w:p>
      <w:pPr>
        <w:ind w:left="3740"/>
        <w:spacing w:after="0"/>
        <w:tabs>
          <w:tab w:leader="none" w:pos="7540" w:val="left"/>
        </w:tabs>
        <w:rPr>
          <w:sz w:val="20"/>
          <w:szCs w:val="20"/>
          <w:color w:val="auto"/>
        </w:rPr>
      </w:pPr>
      <w:r>
        <w:rPr>
          <w:rFonts w:ascii="Times New Roman" w:cs="Times New Roman" w:eastAsia="Times New Roman" w:hAnsi="Times New Roman"/>
          <w:sz w:val="18"/>
          <w:szCs w:val="18"/>
          <w:color w:val="auto"/>
        </w:rPr>
        <w:t>Form 20-F 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r>
        <w:rPr>
          <w:sz w:val="20"/>
          <w:szCs w:val="20"/>
          <w:color w:val="auto"/>
        </w:rPr>
        <w:tab/>
      </w:r>
      <w:r>
        <w:rPr>
          <w:rFonts w:ascii="Times New Roman" w:cs="Times New Roman" w:eastAsia="Times New Roman" w:hAnsi="Times New Roman"/>
          <w:sz w:val="17"/>
          <w:szCs w:val="17"/>
          <w:color w:val="auto"/>
        </w:rPr>
        <w:t>Form 40-F ______</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101(b)(1):</w:t>
      </w:r>
    </w:p>
    <w:p>
      <w:pPr>
        <w:spacing w:after="0" w:line="27" w:lineRule="exact"/>
        <w:rPr>
          <w:sz w:val="24"/>
          <w:szCs w:val="24"/>
          <w:color w:val="auto"/>
        </w:rPr>
      </w:pPr>
    </w:p>
    <w:p>
      <w:pPr>
        <w:ind w:left="3740"/>
        <w:spacing w:after="0"/>
        <w:tabs>
          <w:tab w:leader="none" w:pos="754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101(b)(7):</w:t>
      </w:r>
    </w:p>
    <w:p>
      <w:pPr>
        <w:spacing w:after="0" w:line="27" w:lineRule="exact"/>
        <w:rPr>
          <w:sz w:val="24"/>
          <w:szCs w:val="24"/>
          <w:color w:val="auto"/>
        </w:rPr>
      </w:pPr>
    </w:p>
    <w:p>
      <w:pPr>
        <w:ind w:left="3740"/>
        <w:spacing w:after="0"/>
        <w:tabs>
          <w:tab w:leader="none" w:pos="754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ectPr>
          <w:pgSz w:w="11900" w:h="16838" w:orient="portrait"/>
          <w:cols w:equalWidth="0" w:num="1">
            <w:col w:w="10119"/>
          </w:cols>
          <w:pgMar w:left="340" w:top="1440" w:right="1440" w:bottom="1440" w:gutter="0" w:footer="0" w:header="0"/>
        </w:sectPr>
      </w:pPr>
    </w:p>
    <w:bookmarkStart w:id="1" w:name="page2"/>
    <w:bookmarkEnd w:id="1"/>
    <w:p>
      <w:pPr>
        <w:ind w:left="5000"/>
        <w:spacing w:after="0"/>
        <w:rPr>
          <w:sz w:val="20"/>
          <w:szCs w:val="20"/>
          <w:color w:val="auto"/>
        </w:rPr>
      </w:pPr>
      <w:r>
        <w:rPr>
          <w:rFonts w:ascii="Times New Roman" w:cs="Times New Roman" w:eastAsia="Times New Roman" w:hAnsi="Times New Roman"/>
          <w:sz w:val="18"/>
          <w:szCs w:val="18"/>
          <w:b w:val="1"/>
          <w:bCs w:val="1"/>
          <w:u w:val="single" w:color="auto"/>
          <w:color w:val="auto"/>
        </w:rPr>
        <w:t>EXHIBIT LIST</w:t>
      </w:r>
    </w:p>
    <w:p>
      <w:pPr>
        <w:spacing w:after="0" w:line="216"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252"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u w:val="single" w:color="auto"/>
          <w:color w:val="0000FF"/>
        </w:rPr>
        <w:t>ICON plc Press Release issued April 24, 2024 - ICON Reports First Quarter 2024 Results</w:t>
      </w:r>
    </w:p>
    <w:p>
      <w:pPr>
        <w:sectPr>
          <w:pgSz w:w="11900" w:h="16838" w:orient="portrait"/>
          <w:cols w:equalWidth="0" w:num="1">
            <w:col w:w="10119"/>
          </w:cols>
          <w:pgMar w:left="340" w:top="1400"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right="900"/>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4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ICON plc</w:t>
            </w:r>
          </w:p>
        </w:tc>
      </w:tr>
      <w:tr>
        <w:trPr>
          <w:trHeight w:val="925"/>
        </w:trPr>
        <w:tc>
          <w:tcPr>
            <w:tcW w:w="7460" w:type="dxa"/>
            <w:vAlign w:val="bottom"/>
          </w:tcPr>
          <w:p>
            <w:pPr>
              <w:spacing w:after="0"/>
              <w:rPr>
                <w:sz w:val="24"/>
                <w:szCs w:val="24"/>
                <w:color w:val="auto"/>
              </w:rPr>
            </w:pP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Brendan Brennan</w:t>
            </w:r>
          </w:p>
        </w:tc>
      </w:tr>
      <w:tr>
        <w:trPr>
          <w:trHeight w:val="176"/>
        </w:trPr>
        <w:tc>
          <w:tcPr>
            <w:tcW w:w="74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Date: April 24, 2024</w:t>
            </w:r>
          </w:p>
        </w:tc>
        <w:tc>
          <w:tcPr>
            <w:tcW w:w="37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Brendan Brennan</w:t>
            </w:r>
          </w:p>
        </w:tc>
      </w:tr>
      <w:tr>
        <w:trPr>
          <w:trHeight w:val="234"/>
        </w:trPr>
        <w:tc>
          <w:tcPr>
            <w:tcW w:w="746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4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457200</wp:posOffset>
            </wp:positionV>
            <wp:extent cx="1619885" cy="436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988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ICON Reports First Quarter 2024 Results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w:t>
      </w:r>
    </w:p>
    <w:p>
      <w:pPr>
        <w:spacing w:after="0" w:line="22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business wins in the quarter of $2,654 million; a net book to bill of 1.27, an increase of 9.9% on quarter one 2023.</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backlog of $23.4 billion, an increase of 2.5% on quarter four 2023 and 10.1% on quarter one 2023.</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 one revenue of $2,090.4 million representing an increase of 5.7% on prior year revenue and 5.4% on a constant currency basis.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 one adjusted EBITDA of $444.0 million or 21.2% of revenue, an increase of 11.3% on quarter one 2023.</w:t>
      </w:r>
    </w:p>
    <w:p>
      <w:pPr>
        <w:spacing w:after="0" w:line="225" w:lineRule="exact"/>
        <w:rPr>
          <w:rFonts w:ascii="Times New Roman" w:cs="Times New Roman" w:eastAsia="Times New Roman" w:hAnsi="Times New Roman"/>
          <w:sz w:val="18"/>
          <w:szCs w:val="18"/>
          <w:color w:val="auto"/>
        </w:rPr>
      </w:pPr>
    </w:p>
    <w:p>
      <w:pPr>
        <w:ind w:left="660" w:right="440" w:hanging="328"/>
        <w:spacing w:after="0" w:line="237"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income for the quarter of $187.4 million or $2.25 per diluted share, an increase of 59.6% on quarter one 2023 diluted earnings per share.</w:t>
      </w:r>
    </w:p>
    <w:p>
      <w:pPr>
        <w:spacing w:after="0" w:line="185" w:lineRule="exact"/>
        <w:rPr>
          <w:rFonts w:ascii="Times New Roman" w:cs="Times New Roman" w:eastAsia="Times New Roman" w:hAnsi="Times New Roman"/>
          <w:sz w:val="18"/>
          <w:szCs w:val="18"/>
          <w:color w:val="auto"/>
        </w:rPr>
      </w:pPr>
    </w:p>
    <w:p>
      <w:pPr>
        <w:ind w:left="660" w:right="660" w:hanging="328"/>
        <w:spacing w:after="0" w:line="26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 one adjusted net income was $288.5 million or $3.47 per diluted share, an increase of 19.7% on quarter one 2023 adjusted diluted earnings per share.</w:t>
      </w:r>
    </w:p>
    <w:p>
      <w:pPr>
        <w:spacing w:after="0" w:line="189" w:lineRule="exact"/>
        <w:rPr>
          <w:rFonts w:ascii="Times New Roman" w:cs="Times New Roman" w:eastAsia="Times New Roman" w:hAnsi="Times New Roman"/>
          <w:sz w:val="18"/>
          <w:szCs w:val="18"/>
          <w:color w:val="auto"/>
        </w:rPr>
      </w:pPr>
    </w:p>
    <w:p>
      <w:pPr>
        <w:ind w:left="660" w:right="160" w:hanging="328"/>
        <w:spacing w:after="0" w:line="237"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sales outstanding of 49 days at March 31, 2024, a decrease from 54 days at March 31, 2023, and an increase from 47 days at December 31, 2023.</w:t>
      </w:r>
    </w:p>
    <w:p>
      <w:pPr>
        <w:spacing w:after="0" w:line="198"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$275.0 million repayment made on Term Loan B debt in quarter one. Net debt balance of $3.1 billion at March 31, 2024 with net debt to adjusted EBITDA ratio of 1.8x.</w:t>
      </w:r>
    </w:p>
    <w:p>
      <w:pPr>
        <w:spacing w:after="0" w:line="189" w:lineRule="exact"/>
        <w:rPr>
          <w:rFonts w:ascii="Times New Roman" w:cs="Times New Roman" w:eastAsia="Times New Roman" w:hAnsi="Times New Roman"/>
          <w:sz w:val="18"/>
          <w:szCs w:val="18"/>
          <w:color w:val="auto"/>
        </w:rPr>
      </w:pPr>
    </w:p>
    <w:p>
      <w:pPr>
        <w:ind w:left="660" w:right="60" w:hanging="328"/>
        <w:spacing w:after="0"/>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Updating full-year 2024 financial guidance with revenue in the range of $8,480 - $8,720 million, representing a year over year increase of 4.4% to 7.4%, and adjusted earnings per share* in the range of $14.65 - $15.15, representing a year over year increase of 14.5% to 18.5%. Adjusted earnings per share to exclude amortization, stock compensation, restructuring, foreign exchange and transaction-related / integrated-related adjustments.</w:t>
      </w:r>
    </w:p>
    <w:p>
      <w:pPr>
        <w:spacing w:after="0" w:line="200" w:lineRule="exact"/>
        <w:rPr>
          <w:sz w:val="20"/>
          <w:szCs w:val="20"/>
          <w:color w:val="auto"/>
        </w:rPr>
      </w:pPr>
    </w:p>
    <w:p>
      <w:pPr>
        <w:spacing w:after="0" w:line="255"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Dublin, Ireland, April 24, 2024 – ICON plc (NASDAQ: ICLR), a world-leading healthcare intelligence and clinical research organization, today reported its financial results for the first quarter ended March 31, 2024.</w:t>
      </w:r>
    </w:p>
    <w:p>
      <w:pPr>
        <w:spacing w:after="0" w:line="188"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 xml:space="preserve">CEO, Dr. Steve Cutler commented, </w:t>
      </w:r>
      <w:r>
        <w:rPr>
          <w:rFonts w:ascii="Times New Roman" w:cs="Times New Roman" w:eastAsia="Times New Roman" w:hAnsi="Times New Roman"/>
          <w:sz w:val="18"/>
          <w:szCs w:val="18"/>
          <w:i w:val="1"/>
          <w:iCs w:val="1"/>
          <w:color w:val="auto"/>
        </w:rPr>
        <w:t>“ICON reported a strong start to the year in quarter one, with revenue growth of 6% year over year, and net bookings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up 10% over quarter one 2023, resulting in a net book to bill ratio of 1.27 times. Adjusted earnings per share grew a robust 20% on a year over year basis, reflecting our efficient service delivery and strong cost control. Our performance is reflective of the current favorable demand trends across our industry, as well as the further development of strategic customer partnerships.</w:t>
      </w:r>
    </w:p>
    <w:p>
      <w:pPr>
        <w:spacing w:after="0" w:line="201" w:lineRule="exact"/>
        <w:rPr>
          <w:sz w:val="20"/>
          <w:szCs w:val="20"/>
          <w:color w:val="auto"/>
        </w:rPr>
      </w:pPr>
    </w:p>
    <w:p>
      <w:pPr>
        <w:jc w:val="both"/>
        <w:ind w:right="160"/>
        <w:spacing w:after="0" w:line="259" w:lineRule="auto"/>
        <w:rPr>
          <w:sz w:val="20"/>
          <w:szCs w:val="20"/>
          <w:color w:val="auto"/>
        </w:rPr>
      </w:pPr>
      <w:r>
        <w:rPr>
          <w:rFonts w:ascii="Times New Roman" w:cs="Times New Roman" w:eastAsia="Times New Roman" w:hAnsi="Times New Roman"/>
          <w:sz w:val="18"/>
          <w:szCs w:val="18"/>
          <w:i w:val="1"/>
          <w:iCs w:val="1"/>
          <w:color w:val="auto"/>
        </w:rPr>
        <w:t>With the positive results in quarter one and consistent outlook for the year, we are updating our full-year financial guidance range for 2024, with revenue in the range of $8,480 - $8,720 million, representing growth of 6% year over year at the midpoint, and adjusted earnings per share of $14.65 - $15.15, an increase of 16% year over year at the midpoint of the range.”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2024 Results</w:t>
      </w:r>
    </w:p>
    <w:p>
      <w:pPr>
        <w:spacing w:after="0" w:line="229"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Gross business wins in the first quarter were $3,114 million and cancellations were $460 million. This resulted in net business wins of $2,654 million and a book to bill of 1.27.</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for the first quarter was $2,090.4 million. This represents an increase of 5.7% on prior year revenue or 5.4% on a constant currency basis.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net income was $187.4 million resulting in $2.25 diluted earnings per share in quarter one 2024 compared to $1.41 diluted earnings per share in</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quarter one 2023. Adjusted net income for the quarter was $288.5 million resulting in an adjusted diluted earnings per share of $3.47 compared to $2.90 per share for the first quarter 2023.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for the first quarter was $444.0 million or 21.2% of revenue, a year-on-year increase of 11.3%.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tax rate on adjusted net income in quarter one 2024 was 16.5%.</w:t>
      </w:r>
    </w:p>
    <w:p>
      <w:pPr>
        <w:sectPr>
          <w:pgSz w:w="11900" w:h="16838" w:orient="portrait"/>
          <w:cols w:equalWidth="0" w:num="1">
            <w:col w:w="11240"/>
          </w:cols>
          <w:pgMar w:left="320" w:top="1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Cash generated from operating activities for the quarter was $327.1 million. During the quarter $27.2 million was spent on capital expenditure. At</w:t>
      </w:r>
    </w:p>
    <w:p>
      <w:pPr>
        <w:spacing w:after="0" w:line="2" w:lineRule="exact"/>
        <w:rPr>
          <w:sz w:val="20"/>
          <w:szCs w:val="20"/>
          <w:color w:val="auto"/>
        </w:rPr>
      </w:pPr>
    </w:p>
    <w:p>
      <w:pPr>
        <w:ind w:right="320"/>
        <w:spacing w:after="0" w:line="218" w:lineRule="auto"/>
        <w:rPr>
          <w:sz w:val="20"/>
          <w:szCs w:val="20"/>
          <w:color w:val="auto"/>
        </w:rPr>
      </w:pPr>
      <w:r>
        <w:rPr>
          <w:rFonts w:ascii="Times New Roman" w:cs="Times New Roman" w:eastAsia="Times New Roman" w:hAnsi="Times New Roman"/>
          <w:sz w:val="18"/>
          <w:szCs w:val="18"/>
          <w:color w:val="auto"/>
        </w:rPr>
        <w:t>March 31, 2024, the Group had cash and cash equivalents of $396.1 million, compared to cash and cash equivalents of $378.1 million at December 31, 2023 and $279.9 million at March 31, 2023. $50 million of the revolving credit facility was drawn down in the quarter and $55 million was repaid. Additionally, a $275.0 million Term Loan B payment was made during the quarter resulting in a net indebtedness of $3.1 billion at March 31, 2024.</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1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In addition to the financial measures prepared in accordance with generally accepted accounting principles (GAAP), this press release contains certain non-GAAP financial measures, including adjusted EBITDA, adjusted net income and adjusted diluted earnings per share. Adjusted EBITDA, adjusted net income and adjusted diluted earnings per share exclude amortization, stock compensation, foreign exchange gains and losses, restructuring and transaction-related / integration-related adjustments. While non-GAAP financial measures are not superior to or a substitute for the comparable GAAP measures, ICON believes certain non-GAAP information is useful to investors for historical comparison purposes.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ICON will hold a conference call on April 25, 2024 at 08:00 EDT [13:00 Ireland &amp; UK]. This call and linked slide presentation can be accessed live from</w:t>
      </w:r>
    </w:p>
    <w:p>
      <w:pPr>
        <w:spacing w:after="0" w:line="2" w:lineRule="exact"/>
        <w:rPr>
          <w:sz w:val="20"/>
          <w:szCs w:val="20"/>
          <w:color w:val="auto"/>
        </w:rPr>
      </w:pPr>
    </w:p>
    <w:p>
      <w:pPr>
        <w:ind w:right="340"/>
        <w:spacing w:after="0" w:line="239" w:lineRule="auto"/>
        <w:rPr>
          <w:sz w:val="20"/>
          <w:szCs w:val="20"/>
          <w:color w:val="auto"/>
        </w:rPr>
      </w:pPr>
      <w:r>
        <w:rPr>
          <w:rFonts w:ascii="Times New Roman" w:cs="Times New Roman" w:eastAsia="Times New Roman" w:hAnsi="Times New Roman"/>
          <w:sz w:val="17"/>
          <w:szCs w:val="17"/>
          <w:color w:val="auto"/>
        </w:rPr>
        <w:t>our website at http://investor.iconplc.com.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press release contains forward-looking statements, including statements about our financial guidance. These statements are based on management's</w:t>
      </w:r>
    </w:p>
    <w:p>
      <w:pPr>
        <w:spacing w:after="0" w:line="2" w:lineRule="exact"/>
        <w:rPr>
          <w:sz w:val="20"/>
          <w:szCs w:val="20"/>
          <w:color w:val="auto"/>
        </w:rPr>
      </w:pPr>
    </w:p>
    <w:p>
      <w:pPr>
        <w:ind w:right="120"/>
        <w:spacing w:after="0" w:line="220" w:lineRule="auto"/>
        <w:rPr>
          <w:sz w:val="20"/>
          <w:szCs w:val="20"/>
          <w:color w:val="auto"/>
        </w:rPr>
      </w:pPr>
      <w:r>
        <w:rPr>
          <w:rFonts w:ascii="Times New Roman" w:cs="Times New Roman" w:eastAsia="Times New Roman" w:hAnsi="Times New Roman"/>
          <w:sz w:val="17"/>
          <w:szCs w:val="17"/>
          <w:color w:val="auto"/>
        </w:rPr>
        <w:t>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w:t>
      </w:r>
    </w:p>
    <w:p>
      <w:pPr>
        <w:spacing w:after="0" w:line="2"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7"/>
          <w:szCs w:val="17"/>
          <w:color w:val="auto"/>
        </w:rPr>
        <w:t>projected in the statements, including, but not limited to, the ability to enter into new contracts, maintain client relationships, manage the opening of new offices and offering of new services, the integration of new business mergers and acquisitions, as well as other economic and global market conditions and other risks and uncertainties detailed from time to time in SEC reports filed by ICON, all of which are difficult to predict and some of which are beyond</w:t>
      </w:r>
    </w:p>
    <w:p>
      <w:pPr>
        <w:spacing w:after="0" w:line="2"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color w:val="auto"/>
        </w:rPr>
        <w:t>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w:t>
      </w:r>
    </w:p>
    <w:p>
      <w:pPr>
        <w:spacing w:after="0" w:line="2" w:lineRule="exact"/>
        <w:rPr>
          <w:sz w:val="20"/>
          <w:szCs w:val="20"/>
          <w:color w:val="auto"/>
        </w:rPr>
      </w:pPr>
    </w:p>
    <w:p>
      <w:pPr>
        <w:ind w:right="200"/>
        <w:spacing w:after="0" w:line="218" w:lineRule="auto"/>
        <w:rPr>
          <w:sz w:val="20"/>
          <w:szCs w:val="20"/>
          <w:color w:val="auto"/>
        </w:rPr>
      </w:pPr>
      <w:r>
        <w:rPr>
          <w:rFonts w:ascii="Times New Roman" w:cs="Times New Roman" w:eastAsia="Times New Roman" w:hAnsi="Times New Roman"/>
          <w:sz w:val="18"/>
          <w:szCs w:val="18"/>
          <w:color w:val="auto"/>
        </w:rPr>
        <w:t>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pacing w:after="0" w:line="199" w:lineRule="exact"/>
        <w:rPr>
          <w:sz w:val="20"/>
          <w:szCs w:val="20"/>
          <w:color w:val="auto"/>
        </w:rPr>
      </w:pPr>
    </w:p>
    <w:p>
      <w:pPr>
        <w:ind w:right="20" w:firstLine="8"/>
        <w:spacing w:after="0" w:line="250" w:lineRule="auto"/>
        <w:tabs>
          <w:tab w:leader="none" w:pos="1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full-year 2024 guidance adjusted earnings per share measures are provided on a non-GAAP basis because the company is unable to predict with a reasonable degree of certainty certain items contained in the GAAP measures without unreasonable efforts. For the same reasons, the company is unable to address the probable significance of the unavailable information.</w:t>
      </w:r>
    </w:p>
    <w:p>
      <w:pPr>
        <w:spacing w:after="0" w:line="204"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ICON plc is a world-leading healthcare intelligence and clinical research organization. From molecule to medicine, we advance clinical research providing outsourced services to pharmaceutical, biotechnology, medical device and government and public health organizations. We develop new innovations, drive emerging therapies forward and improve patient lives. With headquarters in Dublin, Ireland, ICON employed approximately 41,150 employees in 102 locations in 54 countries as at March 31, 2024. For further information about ICON, visit: www.iconplc.com.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ICON plc</w:t>
      </w:r>
    </w:p>
    <w:p>
      <w:pPr>
        <w:spacing w:after="0" w:line="221" w:lineRule="auto"/>
        <w:rPr>
          <w:sz w:val="20"/>
          <w:szCs w:val="20"/>
          <w:color w:val="auto"/>
        </w:rPr>
      </w:pPr>
      <w:r>
        <w:rPr>
          <w:rFonts w:ascii="Times New Roman" w:cs="Times New Roman" w:eastAsia="Times New Roman" w:hAnsi="Times New Roman"/>
          <w:sz w:val="18"/>
          <w:szCs w:val="18"/>
          <w:color w:val="auto"/>
        </w:rPr>
        <w:t>Contact: Investor Relations +1 888 381 7923 or</w:t>
      </w:r>
    </w:p>
    <w:p>
      <w:pPr>
        <w:spacing w:after="0" w:line="235" w:lineRule="auto"/>
        <w:rPr>
          <w:sz w:val="20"/>
          <w:szCs w:val="20"/>
          <w:color w:val="auto"/>
        </w:rPr>
      </w:pPr>
      <w:r>
        <w:rPr>
          <w:rFonts w:ascii="Times New Roman" w:cs="Times New Roman" w:eastAsia="Times New Roman" w:hAnsi="Times New Roman"/>
          <w:sz w:val="18"/>
          <w:szCs w:val="18"/>
          <w:color w:val="auto"/>
        </w:rPr>
        <w:t>Brendan Brennan Chief Financial Officer +353 1 291 2000</w:t>
      </w:r>
    </w:p>
    <w:p>
      <w:pPr>
        <w:spacing w:after="0" w:line="235" w:lineRule="auto"/>
        <w:rPr>
          <w:sz w:val="20"/>
          <w:szCs w:val="20"/>
          <w:color w:val="auto"/>
        </w:rPr>
      </w:pPr>
      <w:r>
        <w:rPr>
          <w:rFonts w:ascii="Times New Roman" w:cs="Times New Roman" w:eastAsia="Times New Roman" w:hAnsi="Times New Roman"/>
          <w:sz w:val="18"/>
          <w:szCs w:val="18"/>
          <w:color w:val="auto"/>
        </w:rPr>
        <w:t>Kate Haven Vice President Investor Relations +1 888 381 7923</w:t>
      </w:r>
    </w:p>
    <w:p>
      <w:pPr>
        <w:spacing w:after="0" w:line="234" w:lineRule="auto"/>
        <w:rPr>
          <w:sz w:val="20"/>
          <w:szCs w:val="20"/>
          <w:color w:val="auto"/>
        </w:rPr>
      </w:pPr>
      <w:r>
        <w:rPr>
          <w:rFonts w:ascii="Times New Roman" w:cs="Times New Roman" w:eastAsia="Times New Roman" w:hAnsi="Times New Roman"/>
          <w:sz w:val="18"/>
          <w:szCs w:val="18"/>
          <w:color w:val="auto"/>
        </w:rPr>
        <w:t>All at ICON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ICON/ICLR-F</w:t>
      </w:r>
    </w:p>
    <w:p>
      <w:pPr>
        <w:sectPr>
          <w:pgSz w:w="11900" w:h="16838" w:orient="portrait"/>
          <w:cols w:equalWidth="0" w:num="1">
            <w:col w:w="11200"/>
          </w:cols>
          <w:pgMar w:left="320" w:top="999" w:right="379" w:bottom="1440" w:gutter="0" w:footer="0" w:header="0"/>
        </w:sectPr>
      </w:pPr>
    </w:p>
    <w:bookmarkStart w:id="5" w:name="page6"/>
    <w:bookmarkEnd w:id="5"/>
    <w:p>
      <w:pPr>
        <w:ind w:left="5180"/>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2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jc w:val="center"/>
        <w:ind w:right="-259"/>
        <w:spacing w:after="0" w:line="234" w:lineRule="auto"/>
        <w:rPr>
          <w:sz w:val="20"/>
          <w:szCs w:val="20"/>
          <w:color w:val="auto"/>
        </w:rPr>
      </w:pPr>
      <w:r>
        <w:rPr>
          <w:rFonts w:ascii="Times New Roman" w:cs="Times New Roman" w:eastAsia="Times New Roman" w:hAnsi="Times New Roman"/>
          <w:sz w:val="18"/>
          <w:szCs w:val="18"/>
          <w:b w:val="1"/>
          <w:bCs w:val="1"/>
          <w:color w:val="auto"/>
        </w:rPr>
        <w:t>FOR THE THREE MONTHS ENDED MARCH 31, 2024 AND MARCH 31, 2023</w:t>
      </w:r>
    </w:p>
    <w:p>
      <w:pPr>
        <w:spacing w:after="0" w:line="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120" w:type="dxa"/>
            <w:vAlign w:val="bottom"/>
          </w:tcPr>
          <w:p>
            <w:pPr>
              <w:spacing w:after="0"/>
              <w:rPr>
                <w:sz w:val="18"/>
                <w:szCs w:val="18"/>
                <w:color w:val="auto"/>
              </w:rPr>
            </w:pPr>
          </w:p>
        </w:tc>
      </w:tr>
      <w:tr>
        <w:trPr>
          <w:trHeight w:val="216"/>
        </w:trPr>
        <w:tc>
          <w:tcPr>
            <w:tcW w:w="5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7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2023</w:t>
            </w:r>
          </w:p>
        </w:tc>
      </w:tr>
      <w:tr>
        <w:trPr>
          <w:trHeight w:val="216"/>
        </w:trPr>
        <w:tc>
          <w:tcPr>
            <w:tcW w:w="5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580" w:type="dxa"/>
            <w:vAlign w:val="bottom"/>
            <w:gridSpan w:val="3"/>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tc>
      </w:tr>
      <w:tr>
        <w:trPr>
          <w:trHeight w:val="486"/>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2,090,386</w:t>
            </w:r>
          </w:p>
        </w:tc>
        <w:tc>
          <w:tcPr>
            <w:tcW w:w="76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1,978,578</w:t>
            </w:r>
          </w:p>
        </w:tc>
      </w:tr>
      <w:tr>
        <w:trPr>
          <w:trHeight w:val="486"/>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1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5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Direct costs (excluding depreciation and amortization)</w:t>
            </w:r>
          </w:p>
        </w:tc>
        <w:tc>
          <w:tcPr>
            <w:tcW w:w="1660" w:type="dxa"/>
            <w:vAlign w:val="bottom"/>
          </w:tcPr>
          <w:p>
            <w:pPr>
              <w:spacing w:after="0"/>
              <w:rPr>
                <w:sz w:val="18"/>
                <w:szCs w:val="18"/>
                <w:color w:val="auto"/>
              </w:rPr>
            </w:pPr>
          </w:p>
        </w:tc>
        <w:tc>
          <w:tcPr>
            <w:tcW w:w="1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1,471,367</w:t>
            </w:r>
          </w:p>
        </w:tc>
        <w:tc>
          <w:tcPr>
            <w:tcW w:w="7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1,395,546</w:t>
            </w:r>
          </w:p>
        </w:tc>
      </w:tr>
      <w:tr>
        <w:trPr>
          <w:trHeight w:val="216"/>
        </w:trPr>
        <w:tc>
          <w:tcPr>
            <w:tcW w:w="5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660" w:type="dxa"/>
            <w:vAlign w:val="bottom"/>
          </w:tcPr>
          <w:p>
            <w:pPr>
              <w:spacing w:after="0"/>
              <w:rPr>
                <w:sz w:val="18"/>
                <w:szCs w:val="18"/>
                <w:color w:val="auto"/>
              </w:rPr>
            </w:pPr>
          </w:p>
        </w:tc>
        <w:tc>
          <w:tcPr>
            <w:tcW w:w="1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177,350</w:t>
            </w:r>
          </w:p>
        </w:tc>
        <w:tc>
          <w:tcPr>
            <w:tcW w:w="7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200,006</w:t>
            </w:r>
          </w:p>
        </w:tc>
      </w:tr>
      <w:tr>
        <w:trPr>
          <w:trHeight w:val="216"/>
        </w:trPr>
        <w:tc>
          <w:tcPr>
            <w:tcW w:w="5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60" w:type="dxa"/>
            <w:vAlign w:val="bottom"/>
          </w:tcPr>
          <w:p>
            <w:pPr>
              <w:spacing w:after="0"/>
              <w:rPr>
                <w:sz w:val="18"/>
                <w:szCs w:val="18"/>
                <w:color w:val="auto"/>
              </w:rPr>
            </w:pPr>
          </w:p>
        </w:tc>
        <w:tc>
          <w:tcPr>
            <w:tcW w:w="1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149,181</w:t>
            </w:r>
          </w:p>
        </w:tc>
        <w:tc>
          <w:tcPr>
            <w:tcW w:w="7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145,126</w:t>
            </w:r>
          </w:p>
        </w:tc>
      </w:tr>
      <w:tr>
        <w:trPr>
          <w:trHeight w:val="216"/>
        </w:trPr>
        <w:tc>
          <w:tcPr>
            <w:tcW w:w="5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Transaction and integration related</w:t>
            </w:r>
          </w:p>
        </w:tc>
        <w:tc>
          <w:tcPr>
            <w:tcW w:w="1660" w:type="dxa"/>
            <w:vAlign w:val="bottom"/>
          </w:tcPr>
          <w:p>
            <w:pPr>
              <w:spacing w:after="0"/>
              <w:rPr>
                <w:sz w:val="18"/>
                <w:szCs w:val="18"/>
                <w:color w:val="auto"/>
              </w:rPr>
            </w:pPr>
          </w:p>
        </w:tc>
        <w:tc>
          <w:tcPr>
            <w:tcW w:w="1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6,991</w:t>
            </w:r>
          </w:p>
        </w:tc>
        <w:tc>
          <w:tcPr>
            <w:tcW w:w="7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11,382</w:t>
            </w:r>
          </w:p>
        </w:tc>
      </w:tr>
      <w:tr>
        <w:trPr>
          <w:trHeight w:val="219"/>
        </w:trPr>
        <w:tc>
          <w:tcPr>
            <w:tcW w:w="55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Restructuring</w:t>
            </w:r>
          </w:p>
        </w:tc>
        <w:tc>
          <w:tcPr>
            <w:tcW w:w="16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9,729</w:t>
            </w:r>
          </w:p>
        </w:tc>
      </w:tr>
      <w:tr>
        <w:trPr>
          <w:trHeight w:val="210"/>
        </w:trPr>
        <w:tc>
          <w:tcPr>
            <w:tcW w:w="55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Total costs and expenses</w:t>
            </w:r>
          </w:p>
        </w:tc>
        <w:tc>
          <w:tcPr>
            <w:tcW w:w="16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1,804,889</w:t>
            </w:r>
          </w:p>
        </w:tc>
        <w:tc>
          <w:tcPr>
            <w:tcW w:w="7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1,761,789</w:t>
            </w:r>
          </w:p>
        </w:tc>
      </w:tr>
      <w:tr>
        <w:trPr>
          <w:trHeight w:val="449"/>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660" w:type="dxa"/>
            <w:vAlign w:val="bottom"/>
          </w:tcPr>
          <w:p>
            <w:pPr>
              <w:spacing w:after="0"/>
              <w:rPr>
                <w:sz w:val="24"/>
                <w:szCs w:val="24"/>
                <w:color w:val="auto"/>
              </w:rPr>
            </w:pPr>
          </w:p>
        </w:tc>
        <w:tc>
          <w:tcPr>
            <w:tcW w:w="1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285,497</w:t>
            </w:r>
          </w:p>
        </w:tc>
        <w:tc>
          <w:tcPr>
            <w:tcW w:w="7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216,789</w:t>
            </w:r>
          </w:p>
        </w:tc>
      </w:tr>
      <w:tr>
        <w:trPr>
          <w:trHeight w:val="216"/>
        </w:trPr>
        <w:tc>
          <w:tcPr>
            <w:tcW w:w="5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income</w:t>
            </w:r>
          </w:p>
        </w:tc>
        <w:tc>
          <w:tcPr>
            <w:tcW w:w="1660" w:type="dxa"/>
            <w:vAlign w:val="bottom"/>
          </w:tcPr>
          <w:p>
            <w:pPr>
              <w:spacing w:after="0"/>
              <w:rPr>
                <w:sz w:val="18"/>
                <w:szCs w:val="18"/>
                <w:color w:val="auto"/>
              </w:rPr>
            </w:pPr>
          </w:p>
        </w:tc>
        <w:tc>
          <w:tcPr>
            <w:tcW w:w="1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1,930</w:t>
            </w:r>
          </w:p>
        </w:tc>
        <w:tc>
          <w:tcPr>
            <w:tcW w:w="7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w:t>
            </w:r>
          </w:p>
        </w:tc>
      </w:tr>
      <w:tr>
        <w:trPr>
          <w:trHeight w:val="219"/>
        </w:trPr>
        <w:tc>
          <w:tcPr>
            <w:tcW w:w="55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Interest expense</w:t>
            </w:r>
          </w:p>
        </w:tc>
        <w:tc>
          <w:tcPr>
            <w:tcW w:w="16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(71,665)</w:t>
            </w:r>
          </w:p>
        </w:tc>
        <w:tc>
          <w:tcPr>
            <w:tcW w:w="7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(86,551)</w:t>
            </w:r>
          </w:p>
        </w:tc>
      </w:tr>
      <w:tr>
        <w:trPr>
          <w:trHeight w:val="449"/>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 expense</w:t>
            </w:r>
          </w:p>
        </w:tc>
        <w:tc>
          <w:tcPr>
            <w:tcW w:w="1660" w:type="dxa"/>
            <w:vAlign w:val="bottom"/>
          </w:tcPr>
          <w:p>
            <w:pPr>
              <w:spacing w:after="0"/>
              <w:rPr>
                <w:sz w:val="24"/>
                <w:szCs w:val="24"/>
                <w:color w:val="auto"/>
              </w:rPr>
            </w:pPr>
          </w:p>
        </w:tc>
        <w:tc>
          <w:tcPr>
            <w:tcW w:w="1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215,762</w:t>
            </w:r>
          </w:p>
        </w:tc>
        <w:tc>
          <w:tcPr>
            <w:tcW w:w="7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131,310</w:t>
            </w:r>
          </w:p>
        </w:tc>
      </w:tr>
      <w:tr>
        <w:trPr>
          <w:trHeight w:val="219"/>
        </w:trPr>
        <w:tc>
          <w:tcPr>
            <w:tcW w:w="55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Income tax expense</w:t>
            </w:r>
          </w:p>
        </w:tc>
        <w:tc>
          <w:tcPr>
            <w:tcW w:w="16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(28,324)</w:t>
            </w:r>
          </w:p>
        </w:tc>
        <w:tc>
          <w:tcPr>
            <w:tcW w:w="7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(14,273)</w:t>
            </w:r>
          </w:p>
        </w:tc>
      </w:tr>
      <w:tr>
        <w:trPr>
          <w:trHeight w:val="449"/>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share of losses from equity method investments</w:t>
            </w:r>
          </w:p>
        </w:tc>
        <w:tc>
          <w:tcPr>
            <w:tcW w:w="1660" w:type="dxa"/>
            <w:vAlign w:val="bottom"/>
          </w:tcPr>
          <w:p>
            <w:pPr>
              <w:spacing w:after="0"/>
              <w:rPr>
                <w:sz w:val="24"/>
                <w:szCs w:val="24"/>
                <w:color w:val="auto"/>
              </w:rPr>
            </w:pPr>
          </w:p>
        </w:tc>
        <w:tc>
          <w:tcPr>
            <w:tcW w:w="1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187,438</w:t>
            </w:r>
          </w:p>
        </w:tc>
        <w:tc>
          <w:tcPr>
            <w:tcW w:w="7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117,037</w:t>
            </w:r>
          </w:p>
        </w:tc>
      </w:tr>
      <w:tr>
        <w:trPr>
          <w:trHeight w:val="219"/>
        </w:trPr>
        <w:tc>
          <w:tcPr>
            <w:tcW w:w="55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Share of losses from equity method investments</w:t>
            </w:r>
          </w:p>
        </w:tc>
        <w:tc>
          <w:tcPr>
            <w:tcW w:w="16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w:t>
            </w:r>
          </w:p>
        </w:tc>
      </w:tr>
      <w:tr>
        <w:trPr>
          <w:trHeight w:val="210"/>
        </w:trPr>
        <w:tc>
          <w:tcPr>
            <w:tcW w:w="5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187,438</w:t>
            </w:r>
          </w:p>
        </w:tc>
        <w:tc>
          <w:tcPr>
            <w:tcW w:w="7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116,654</w:t>
            </w:r>
          </w:p>
        </w:tc>
      </w:tr>
      <w:tr>
        <w:trPr>
          <w:trHeight w:val="23"/>
        </w:trPr>
        <w:tc>
          <w:tcPr>
            <w:tcW w:w="55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433"/>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Ordinary Share:</w:t>
            </w:r>
          </w:p>
        </w:tc>
        <w:tc>
          <w:tcPr>
            <w:tcW w:w="1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73"/>
        </w:trPr>
        <w:tc>
          <w:tcPr>
            <w:tcW w:w="5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2.27</w:t>
            </w:r>
          </w:p>
        </w:tc>
        <w:tc>
          <w:tcPr>
            <w:tcW w:w="76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19"/>
        </w:trPr>
        <w:tc>
          <w:tcPr>
            <w:tcW w:w="55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2.25</w:t>
            </w:r>
          </w:p>
        </w:tc>
        <w:tc>
          <w:tcPr>
            <w:tcW w:w="7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w:t>
            </w:r>
          </w:p>
        </w:tc>
      </w:tr>
      <w:tr>
        <w:trPr>
          <w:trHeight w:val="23"/>
        </w:trPr>
        <w:tc>
          <w:tcPr>
            <w:tcW w:w="55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433"/>
        </w:trPr>
        <w:tc>
          <w:tcPr>
            <w:tcW w:w="5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number of Ordinary Shares outstanding:</w:t>
            </w:r>
          </w:p>
        </w:tc>
        <w:tc>
          <w:tcPr>
            <w:tcW w:w="1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73"/>
        </w:trPr>
        <w:tc>
          <w:tcPr>
            <w:tcW w:w="5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1660" w:type="dxa"/>
            <w:vAlign w:val="bottom"/>
          </w:tcPr>
          <w:p>
            <w:pPr>
              <w:spacing w:after="0"/>
              <w:rPr>
                <w:sz w:val="24"/>
                <w:szCs w:val="24"/>
                <w:color w:val="auto"/>
              </w:rPr>
            </w:pPr>
          </w:p>
        </w:tc>
        <w:tc>
          <w:tcPr>
            <w:tcW w:w="1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82,579,203</w:t>
            </w:r>
          </w:p>
        </w:tc>
        <w:tc>
          <w:tcPr>
            <w:tcW w:w="7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81,784,389</w:t>
            </w:r>
          </w:p>
        </w:tc>
      </w:tr>
      <w:tr>
        <w:trPr>
          <w:trHeight w:val="219"/>
        </w:trPr>
        <w:tc>
          <w:tcPr>
            <w:tcW w:w="55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16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83,249,303</w:t>
            </w:r>
          </w:p>
        </w:tc>
        <w:tc>
          <w:tcPr>
            <w:tcW w:w="7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82,605,659</w:t>
            </w:r>
          </w:p>
        </w:tc>
      </w:tr>
      <w:tr>
        <w:trPr>
          <w:trHeight w:val="24"/>
        </w:trPr>
        <w:tc>
          <w:tcPr>
            <w:tcW w:w="55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ectPr>
          <w:pgSz w:w="11900" w:h="16838" w:orient="portrait"/>
          <w:cols w:equalWidth="0" w:num="1">
            <w:col w:w="10820"/>
          </w:cols>
          <w:pgMar w:left="400" w:top="1008" w:right="67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AT MARCH 31, 2024 AND DECEMBER 31, 2023</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6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60" w:type="dxa"/>
            <w:vAlign w:val="bottom"/>
          </w:tcPr>
          <w:p>
            <w:pPr>
              <w:spacing w:after="0"/>
              <w:rPr>
                <w:sz w:val="18"/>
                <w:szCs w:val="18"/>
                <w:color w:val="auto"/>
              </w:rPr>
            </w:pPr>
          </w:p>
        </w:tc>
        <w:tc>
          <w:tcPr>
            <w:tcW w:w="16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20" w:type="dxa"/>
            <w:vAlign w:val="bottom"/>
          </w:tcPr>
          <w:p>
            <w:pPr>
              <w:spacing w:after="0"/>
              <w:rPr>
                <w:sz w:val="18"/>
                <w:szCs w:val="18"/>
                <w:color w:val="auto"/>
              </w:rPr>
            </w:pPr>
          </w:p>
        </w:tc>
        <w:tc>
          <w:tcPr>
            <w:tcW w:w="3580" w:type="dxa"/>
            <w:vAlign w:val="bottom"/>
            <w:gridSpan w:val="3"/>
          </w:tcPr>
          <w:p>
            <w:pPr>
              <w:jc w:val="right"/>
              <w:ind w:right="1339"/>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0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6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396,082</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378,102</w:t>
            </w:r>
          </w:p>
        </w:tc>
      </w:tr>
      <w:tr>
        <w:trPr>
          <w:trHeight w:val="216"/>
        </w:trPr>
        <w:tc>
          <w:tcPr>
            <w:tcW w:w="6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Available for sale investments</w:t>
            </w:r>
          </w:p>
        </w:tc>
        <w:tc>
          <w:tcPr>
            <w:tcW w:w="1020" w:type="dxa"/>
            <w:vAlign w:val="bottom"/>
          </w:tcPr>
          <w:p>
            <w:pPr>
              <w:spacing w:after="0"/>
              <w:rPr>
                <w:sz w:val="18"/>
                <w:szCs w:val="18"/>
                <w:color w:val="auto"/>
              </w:rPr>
            </w:pPr>
          </w:p>
        </w:tc>
        <w:tc>
          <w:tcPr>
            <w:tcW w:w="1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1,955</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1,954</w:t>
            </w:r>
          </w:p>
        </w:tc>
      </w:tr>
      <w:tr>
        <w:trPr>
          <w:trHeight w:val="216"/>
        </w:trPr>
        <w:tc>
          <w:tcPr>
            <w:tcW w:w="6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receivable, net of allowance for credit losses</w:t>
            </w:r>
          </w:p>
        </w:tc>
        <w:tc>
          <w:tcPr>
            <w:tcW w:w="1020" w:type="dxa"/>
            <w:vAlign w:val="bottom"/>
          </w:tcPr>
          <w:p>
            <w:pPr>
              <w:spacing w:after="0"/>
              <w:rPr>
                <w:sz w:val="18"/>
                <w:szCs w:val="18"/>
                <w:color w:val="auto"/>
              </w:rPr>
            </w:pPr>
          </w:p>
        </w:tc>
        <w:tc>
          <w:tcPr>
            <w:tcW w:w="1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1,862,468</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1,790,322</w:t>
            </w:r>
          </w:p>
        </w:tc>
      </w:tr>
      <w:tr>
        <w:trPr>
          <w:trHeight w:val="216"/>
        </w:trPr>
        <w:tc>
          <w:tcPr>
            <w:tcW w:w="6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Unbilled revenue</w:t>
            </w:r>
          </w:p>
        </w:tc>
        <w:tc>
          <w:tcPr>
            <w:tcW w:w="1020" w:type="dxa"/>
            <w:vAlign w:val="bottom"/>
          </w:tcPr>
          <w:p>
            <w:pPr>
              <w:spacing w:after="0"/>
              <w:rPr>
                <w:sz w:val="18"/>
                <w:szCs w:val="18"/>
                <w:color w:val="auto"/>
              </w:rPr>
            </w:pPr>
          </w:p>
        </w:tc>
        <w:tc>
          <w:tcPr>
            <w:tcW w:w="1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993,141</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951,936</w:t>
            </w:r>
          </w:p>
        </w:tc>
      </w:tr>
      <w:tr>
        <w:trPr>
          <w:trHeight w:val="216"/>
        </w:trPr>
        <w:tc>
          <w:tcPr>
            <w:tcW w:w="6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receivables</w:t>
            </w:r>
          </w:p>
        </w:tc>
        <w:tc>
          <w:tcPr>
            <w:tcW w:w="1020" w:type="dxa"/>
            <w:vAlign w:val="bottom"/>
          </w:tcPr>
          <w:p>
            <w:pPr>
              <w:spacing w:after="0"/>
              <w:rPr>
                <w:sz w:val="18"/>
                <w:szCs w:val="18"/>
                <w:color w:val="auto"/>
              </w:rPr>
            </w:pPr>
          </w:p>
        </w:tc>
        <w:tc>
          <w:tcPr>
            <w:tcW w:w="1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76,638</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65,797</w:t>
            </w:r>
          </w:p>
        </w:tc>
      </w:tr>
      <w:tr>
        <w:trPr>
          <w:trHeight w:val="216"/>
        </w:trPr>
        <w:tc>
          <w:tcPr>
            <w:tcW w:w="6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1020" w:type="dxa"/>
            <w:vAlign w:val="bottom"/>
          </w:tcPr>
          <w:p>
            <w:pPr>
              <w:spacing w:after="0"/>
              <w:rPr>
                <w:sz w:val="18"/>
                <w:szCs w:val="18"/>
                <w:color w:val="auto"/>
              </w:rPr>
            </w:pPr>
          </w:p>
        </w:tc>
        <w:tc>
          <w:tcPr>
            <w:tcW w:w="1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149,127</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132,105</w:t>
            </w:r>
          </w:p>
        </w:tc>
      </w:tr>
      <w:tr>
        <w:trPr>
          <w:trHeight w:val="219"/>
        </w:trPr>
        <w:tc>
          <w:tcPr>
            <w:tcW w:w="60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Income taxes receivable</w:t>
            </w:r>
          </w:p>
        </w:tc>
        <w:tc>
          <w:tcPr>
            <w:tcW w:w="10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75,544</w:t>
            </w: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91,254</w:t>
            </w:r>
          </w:p>
        </w:tc>
      </w:tr>
      <w:tr>
        <w:trPr>
          <w:trHeight w:val="207"/>
        </w:trPr>
        <w:tc>
          <w:tcPr>
            <w:tcW w:w="6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current assets</w:t>
            </w: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3,554,955</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3,411,470</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Non-current assets:</w:t>
            </w:r>
          </w:p>
        </w:tc>
        <w:tc>
          <w:tcPr>
            <w:tcW w:w="10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6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1020" w:type="dxa"/>
            <w:vAlign w:val="bottom"/>
          </w:tcPr>
          <w:p>
            <w:pPr>
              <w:spacing w:after="0"/>
              <w:rPr>
                <w:sz w:val="18"/>
                <w:szCs w:val="18"/>
                <w:color w:val="auto"/>
              </w:rPr>
            </w:pPr>
          </w:p>
        </w:tc>
        <w:tc>
          <w:tcPr>
            <w:tcW w:w="1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353,302</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361,184</w:t>
            </w:r>
          </w:p>
        </w:tc>
      </w:tr>
      <w:tr>
        <w:trPr>
          <w:trHeight w:val="216"/>
        </w:trPr>
        <w:tc>
          <w:tcPr>
            <w:tcW w:w="6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Goodwill</w:t>
            </w:r>
          </w:p>
        </w:tc>
        <w:tc>
          <w:tcPr>
            <w:tcW w:w="1020" w:type="dxa"/>
            <w:vAlign w:val="bottom"/>
          </w:tcPr>
          <w:p>
            <w:pPr>
              <w:spacing w:after="0"/>
              <w:rPr>
                <w:sz w:val="18"/>
                <w:szCs w:val="18"/>
                <w:color w:val="auto"/>
              </w:rPr>
            </w:pPr>
          </w:p>
        </w:tc>
        <w:tc>
          <w:tcPr>
            <w:tcW w:w="1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9,018,301</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9,022,075</w:t>
            </w:r>
          </w:p>
        </w:tc>
      </w:tr>
      <w:tr>
        <w:trPr>
          <w:trHeight w:val="216"/>
        </w:trPr>
        <w:tc>
          <w:tcPr>
            <w:tcW w:w="6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Intangible assets</w:t>
            </w:r>
          </w:p>
        </w:tc>
        <w:tc>
          <w:tcPr>
            <w:tcW w:w="1020" w:type="dxa"/>
            <w:vAlign w:val="bottom"/>
          </w:tcPr>
          <w:p>
            <w:pPr>
              <w:spacing w:after="0"/>
              <w:rPr>
                <w:sz w:val="18"/>
                <w:szCs w:val="18"/>
                <w:color w:val="auto"/>
              </w:rPr>
            </w:pPr>
          </w:p>
        </w:tc>
        <w:tc>
          <w:tcPr>
            <w:tcW w:w="1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3,748,939</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3,855,865</w:t>
            </w:r>
          </w:p>
        </w:tc>
      </w:tr>
      <w:tr>
        <w:trPr>
          <w:trHeight w:val="216"/>
        </w:trPr>
        <w:tc>
          <w:tcPr>
            <w:tcW w:w="6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Operating right-of-use assets</w:t>
            </w:r>
          </w:p>
        </w:tc>
        <w:tc>
          <w:tcPr>
            <w:tcW w:w="1020" w:type="dxa"/>
            <w:vAlign w:val="bottom"/>
          </w:tcPr>
          <w:p>
            <w:pPr>
              <w:spacing w:after="0"/>
              <w:rPr>
                <w:sz w:val="18"/>
                <w:szCs w:val="18"/>
                <w:color w:val="auto"/>
              </w:rPr>
            </w:pPr>
          </w:p>
        </w:tc>
        <w:tc>
          <w:tcPr>
            <w:tcW w:w="1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159,620</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140,333</w:t>
            </w:r>
          </w:p>
        </w:tc>
      </w:tr>
      <w:tr>
        <w:trPr>
          <w:trHeight w:val="216"/>
        </w:trPr>
        <w:tc>
          <w:tcPr>
            <w:tcW w:w="6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receivables</w:t>
            </w:r>
          </w:p>
        </w:tc>
        <w:tc>
          <w:tcPr>
            <w:tcW w:w="1020" w:type="dxa"/>
            <w:vAlign w:val="bottom"/>
          </w:tcPr>
          <w:p>
            <w:pPr>
              <w:spacing w:after="0"/>
              <w:rPr>
                <w:sz w:val="18"/>
                <w:szCs w:val="18"/>
                <w:color w:val="auto"/>
              </w:rPr>
            </w:pPr>
          </w:p>
        </w:tc>
        <w:tc>
          <w:tcPr>
            <w:tcW w:w="1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87,193</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78,470</w:t>
            </w:r>
          </w:p>
        </w:tc>
      </w:tr>
      <w:tr>
        <w:trPr>
          <w:trHeight w:val="216"/>
        </w:trPr>
        <w:tc>
          <w:tcPr>
            <w:tcW w:w="6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tax asset</w:t>
            </w:r>
          </w:p>
        </w:tc>
        <w:tc>
          <w:tcPr>
            <w:tcW w:w="1020" w:type="dxa"/>
            <w:vAlign w:val="bottom"/>
          </w:tcPr>
          <w:p>
            <w:pPr>
              <w:spacing w:after="0"/>
              <w:rPr>
                <w:sz w:val="18"/>
                <w:szCs w:val="18"/>
                <w:color w:val="auto"/>
              </w:rPr>
            </w:pPr>
          </w:p>
        </w:tc>
        <w:tc>
          <w:tcPr>
            <w:tcW w:w="1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74,777</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73,662</w:t>
            </w:r>
          </w:p>
        </w:tc>
      </w:tr>
      <w:tr>
        <w:trPr>
          <w:trHeight w:val="219"/>
        </w:trPr>
        <w:tc>
          <w:tcPr>
            <w:tcW w:w="60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Investments in equity- long term</w:t>
            </w:r>
          </w:p>
        </w:tc>
        <w:tc>
          <w:tcPr>
            <w:tcW w:w="10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51,164</w:t>
            </w: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46,804</w:t>
            </w:r>
          </w:p>
        </w:tc>
      </w:tr>
      <w:tr>
        <w:trPr>
          <w:trHeight w:val="210"/>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17,048,251</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16,989,863</w:t>
            </w:r>
          </w:p>
        </w:tc>
      </w:tr>
      <w:tr>
        <w:trPr>
          <w:trHeight w:val="23"/>
        </w:trPr>
        <w:tc>
          <w:tcPr>
            <w:tcW w:w="6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406"/>
        </w:trPr>
        <w:tc>
          <w:tcPr>
            <w:tcW w:w="6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0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0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6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113,579</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131,584</w:t>
            </w:r>
          </w:p>
        </w:tc>
      </w:tr>
      <w:tr>
        <w:trPr>
          <w:trHeight w:val="216"/>
        </w:trPr>
        <w:tc>
          <w:tcPr>
            <w:tcW w:w="6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Unearned revenue</w:t>
            </w:r>
          </w:p>
        </w:tc>
        <w:tc>
          <w:tcPr>
            <w:tcW w:w="1020" w:type="dxa"/>
            <w:vAlign w:val="bottom"/>
          </w:tcPr>
          <w:p>
            <w:pPr>
              <w:spacing w:after="0"/>
              <w:rPr>
                <w:sz w:val="18"/>
                <w:szCs w:val="18"/>
                <w:color w:val="auto"/>
              </w:rPr>
            </w:pPr>
          </w:p>
        </w:tc>
        <w:tc>
          <w:tcPr>
            <w:tcW w:w="1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1,709,938</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1,654,507</w:t>
            </w:r>
          </w:p>
        </w:tc>
      </w:tr>
      <w:tr>
        <w:trPr>
          <w:trHeight w:val="216"/>
        </w:trPr>
        <w:tc>
          <w:tcPr>
            <w:tcW w:w="6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liabilities</w:t>
            </w:r>
          </w:p>
        </w:tc>
        <w:tc>
          <w:tcPr>
            <w:tcW w:w="1020" w:type="dxa"/>
            <w:vAlign w:val="bottom"/>
          </w:tcPr>
          <w:p>
            <w:pPr>
              <w:spacing w:after="0"/>
              <w:rPr>
                <w:sz w:val="18"/>
                <w:szCs w:val="18"/>
                <w:color w:val="auto"/>
              </w:rPr>
            </w:pPr>
          </w:p>
        </w:tc>
        <w:tc>
          <w:tcPr>
            <w:tcW w:w="1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1,000,760</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915,399</w:t>
            </w:r>
          </w:p>
        </w:tc>
      </w:tr>
      <w:tr>
        <w:trPr>
          <w:trHeight w:val="216"/>
        </w:trPr>
        <w:tc>
          <w:tcPr>
            <w:tcW w:w="6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Income taxes payable</w:t>
            </w:r>
          </w:p>
        </w:tc>
        <w:tc>
          <w:tcPr>
            <w:tcW w:w="1020" w:type="dxa"/>
            <w:vAlign w:val="bottom"/>
          </w:tcPr>
          <w:p>
            <w:pPr>
              <w:spacing w:after="0"/>
              <w:rPr>
                <w:sz w:val="18"/>
                <w:szCs w:val="18"/>
                <w:color w:val="auto"/>
              </w:rPr>
            </w:pPr>
          </w:p>
        </w:tc>
        <w:tc>
          <w:tcPr>
            <w:tcW w:w="1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41,905</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13,968</w:t>
            </w:r>
          </w:p>
        </w:tc>
      </w:tr>
      <w:tr>
        <w:trPr>
          <w:trHeight w:val="219"/>
        </w:trPr>
        <w:tc>
          <w:tcPr>
            <w:tcW w:w="60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Current bank credit lines and loan facilities</w:t>
            </w:r>
          </w:p>
        </w:tc>
        <w:tc>
          <w:tcPr>
            <w:tcW w:w="10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79,762</w:t>
            </w: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110,150</w:t>
            </w:r>
          </w:p>
        </w:tc>
      </w:tr>
      <w:tr>
        <w:trPr>
          <w:trHeight w:val="207"/>
        </w:trPr>
        <w:tc>
          <w:tcPr>
            <w:tcW w:w="6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2,945,944</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2,825,608</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Non-current liabilities:</w:t>
            </w:r>
          </w:p>
        </w:tc>
        <w:tc>
          <w:tcPr>
            <w:tcW w:w="10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6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Non-current bank credit lines and loan facilities</w:t>
            </w:r>
          </w:p>
        </w:tc>
        <w:tc>
          <w:tcPr>
            <w:tcW w:w="1020" w:type="dxa"/>
            <w:vAlign w:val="bottom"/>
          </w:tcPr>
          <w:p>
            <w:pPr>
              <w:spacing w:after="0"/>
              <w:rPr>
                <w:sz w:val="18"/>
                <w:szCs w:val="18"/>
                <w:color w:val="auto"/>
              </w:rPr>
            </w:pPr>
          </w:p>
        </w:tc>
        <w:tc>
          <w:tcPr>
            <w:tcW w:w="1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3,419,734</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3,665,439</w:t>
            </w:r>
          </w:p>
        </w:tc>
      </w:tr>
      <w:tr>
        <w:trPr>
          <w:trHeight w:val="216"/>
        </w:trPr>
        <w:tc>
          <w:tcPr>
            <w:tcW w:w="6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Lease liabilities</w:t>
            </w:r>
          </w:p>
        </w:tc>
        <w:tc>
          <w:tcPr>
            <w:tcW w:w="1020" w:type="dxa"/>
            <w:vAlign w:val="bottom"/>
          </w:tcPr>
          <w:p>
            <w:pPr>
              <w:spacing w:after="0"/>
              <w:rPr>
                <w:sz w:val="18"/>
                <w:szCs w:val="18"/>
                <w:color w:val="auto"/>
              </w:rPr>
            </w:pPr>
          </w:p>
        </w:tc>
        <w:tc>
          <w:tcPr>
            <w:tcW w:w="1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145,542</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126,321</w:t>
            </w:r>
          </w:p>
        </w:tc>
      </w:tr>
      <w:tr>
        <w:trPr>
          <w:trHeight w:val="216"/>
        </w:trPr>
        <w:tc>
          <w:tcPr>
            <w:tcW w:w="6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Non-current other liabilities</w:t>
            </w:r>
          </w:p>
        </w:tc>
        <w:tc>
          <w:tcPr>
            <w:tcW w:w="1020" w:type="dxa"/>
            <w:vAlign w:val="bottom"/>
          </w:tcPr>
          <w:p>
            <w:pPr>
              <w:spacing w:after="0"/>
              <w:rPr>
                <w:sz w:val="18"/>
                <w:szCs w:val="18"/>
                <w:color w:val="auto"/>
              </w:rPr>
            </w:pPr>
          </w:p>
        </w:tc>
        <w:tc>
          <w:tcPr>
            <w:tcW w:w="1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45,988</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45,998</w:t>
            </w:r>
          </w:p>
        </w:tc>
      </w:tr>
      <w:tr>
        <w:trPr>
          <w:trHeight w:val="216"/>
        </w:trPr>
        <w:tc>
          <w:tcPr>
            <w:tcW w:w="6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Non-current income taxes payable</w:t>
            </w:r>
          </w:p>
        </w:tc>
        <w:tc>
          <w:tcPr>
            <w:tcW w:w="1020" w:type="dxa"/>
            <w:vAlign w:val="bottom"/>
          </w:tcPr>
          <w:p>
            <w:pPr>
              <w:spacing w:after="0"/>
              <w:rPr>
                <w:sz w:val="18"/>
                <w:szCs w:val="18"/>
                <w:color w:val="auto"/>
              </w:rPr>
            </w:pPr>
          </w:p>
        </w:tc>
        <w:tc>
          <w:tcPr>
            <w:tcW w:w="1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188,876</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186,654</w:t>
            </w:r>
          </w:p>
        </w:tc>
      </w:tr>
      <w:tr>
        <w:trPr>
          <w:trHeight w:val="216"/>
        </w:trPr>
        <w:tc>
          <w:tcPr>
            <w:tcW w:w="6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tax liability</w:t>
            </w:r>
          </w:p>
        </w:tc>
        <w:tc>
          <w:tcPr>
            <w:tcW w:w="1020" w:type="dxa"/>
            <w:vAlign w:val="bottom"/>
          </w:tcPr>
          <w:p>
            <w:pPr>
              <w:spacing w:after="0"/>
              <w:rPr>
                <w:sz w:val="18"/>
                <w:szCs w:val="18"/>
                <w:color w:val="auto"/>
              </w:rPr>
            </w:pPr>
          </w:p>
        </w:tc>
        <w:tc>
          <w:tcPr>
            <w:tcW w:w="1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869,520</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899,100</w:t>
            </w:r>
          </w:p>
        </w:tc>
      </w:tr>
      <w:tr>
        <w:trPr>
          <w:trHeight w:val="219"/>
        </w:trPr>
        <w:tc>
          <w:tcPr>
            <w:tcW w:w="60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0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0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Total Liabilities</w:t>
            </w: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7,615,604</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7,749,120</w:t>
            </w:r>
          </w:p>
        </w:tc>
      </w:tr>
      <w:tr>
        <w:trPr>
          <w:trHeight w:val="409"/>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10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6"/>
                <w:szCs w:val="16"/>
                <w:color w:val="auto"/>
              </w:rPr>
              <w:t>Ordinary shares, par value 6 euro cents per share; 100,000,000 shares authorized,</w:t>
            </w:r>
          </w:p>
        </w:tc>
        <w:tc>
          <w:tcPr>
            <w:tcW w:w="10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6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82,683,805 shares issued and outstanding at March 31, 2024 and</w:t>
            </w:r>
          </w:p>
        </w:tc>
        <w:tc>
          <w:tcPr>
            <w:tcW w:w="10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6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82,495,086 shares issued and outstanding at December 31, 2023</w:t>
            </w:r>
          </w:p>
        </w:tc>
        <w:tc>
          <w:tcPr>
            <w:tcW w:w="1020" w:type="dxa"/>
            <w:vAlign w:val="bottom"/>
          </w:tcPr>
          <w:p>
            <w:pPr>
              <w:spacing w:after="0"/>
              <w:rPr>
                <w:sz w:val="18"/>
                <w:szCs w:val="18"/>
                <w:color w:val="auto"/>
              </w:rPr>
            </w:pPr>
          </w:p>
        </w:tc>
        <w:tc>
          <w:tcPr>
            <w:tcW w:w="1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6,711</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6,699</w:t>
            </w:r>
          </w:p>
        </w:tc>
      </w:tr>
      <w:tr>
        <w:trPr>
          <w:trHeight w:val="216"/>
        </w:trPr>
        <w:tc>
          <w:tcPr>
            <w:tcW w:w="6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020" w:type="dxa"/>
            <w:vAlign w:val="bottom"/>
          </w:tcPr>
          <w:p>
            <w:pPr>
              <w:spacing w:after="0"/>
              <w:rPr>
                <w:sz w:val="18"/>
                <w:szCs w:val="18"/>
                <w:color w:val="auto"/>
              </w:rPr>
            </w:pPr>
          </w:p>
        </w:tc>
        <w:tc>
          <w:tcPr>
            <w:tcW w:w="1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6,970,079</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6,942,669</w:t>
            </w:r>
          </w:p>
        </w:tc>
      </w:tr>
      <w:tr>
        <w:trPr>
          <w:trHeight w:val="216"/>
        </w:trPr>
        <w:tc>
          <w:tcPr>
            <w:tcW w:w="6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Other undenominated capital</w:t>
            </w:r>
          </w:p>
        </w:tc>
        <w:tc>
          <w:tcPr>
            <w:tcW w:w="1020" w:type="dxa"/>
            <w:vAlign w:val="bottom"/>
          </w:tcPr>
          <w:p>
            <w:pPr>
              <w:spacing w:after="0"/>
              <w:rPr>
                <w:sz w:val="18"/>
                <w:szCs w:val="18"/>
                <w:color w:val="auto"/>
              </w:rPr>
            </w:pPr>
          </w:p>
        </w:tc>
        <w:tc>
          <w:tcPr>
            <w:tcW w:w="1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1,162</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w:t>
            </w:r>
          </w:p>
        </w:tc>
      </w:tr>
      <w:tr>
        <w:trPr>
          <w:trHeight w:val="216"/>
        </w:trPr>
        <w:tc>
          <w:tcPr>
            <w:tcW w:w="6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0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(166,462)</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(143,506)</w:t>
            </w:r>
          </w:p>
        </w:tc>
      </w:tr>
      <w:tr>
        <w:trPr>
          <w:trHeight w:val="219"/>
        </w:trPr>
        <w:tc>
          <w:tcPr>
            <w:tcW w:w="60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Retained earnings</w:t>
            </w:r>
          </w:p>
        </w:tc>
        <w:tc>
          <w:tcPr>
            <w:tcW w:w="10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2,621,157</w:t>
            </w: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2,433,719</w:t>
            </w:r>
          </w:p>
        </w:tc>
      </w:tr>
      <w:tr>
        <w:trPr>
          <w:trHeight w:val="210"/>
        </w:trPr>
        <w:tc>
          <w:tcPr>
            <w:tcW w:w="60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9,432,647</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9,240,743</w:t>
            </w:r>
          </w:p>
        </w:tc>
      </w:tr>
      <w:tr>
        <w:trPr>
          <w:trHeight w:val="209"/>
        </w:trPr>
        <w:tc>
          <w:tcPr>
            <w:tcW w:w="6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10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17,048,251</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16,989,863</w:t>
            </w:r>
          </w:p>
        </w:tc>
      </w:tr>
      <w:tr>
        <w:trPr>
          <w:trHeight w:val="23"/>
        </w:trPr>
        <w:tc>
          <w:tcPr>
            <w:tcW w:w="6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ectPr>
          <w:pgSz w:w="11900" w:h="16838" w:orient="portrait"/>
          <w:cols w:equalWidth="0" w:num="1">
            <w:col w:w="10660"/>
          </w:cols>
          <w:pgMar w:left="620" w:top="1008" w:right="61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 AND MARCH 31,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160" w:type="dxa"/>
            <w:vAlign w:val="bottom"/>
          </w:tcPr>
          <w:p>
            <w:pPr>
              <w:spacing w:after="0"/>
              <w:rPr>
                <w:sz w:val="18"/>
                <w:szCs w:val="18"/>
                <w:color w:val="auto"/>
              </w:rPr>
            </w:pPr>
          </w:p>
        </w:tc>
      </w:tr>
      <w:tr>
        <w:trPr>
          <w:trHeight w:val="216"/>
        </w:trPr>
        <w:tc>
          <w:tcPr>
            <w:tcW w:w="6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8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2023</w:t>
            </w:r>
          </w:p>
        </w:tc>
      </w:tr>
      <w:tr>
        <w:trPr>
          <w:trHeight w:val="216"/>
        </w:trPr>
        <w:tc>
          <w:tcPr>
            <w:tcW w:w="6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3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160" w:type="dxa"/>
            <w:vAlign w:val="bottom"/>
          </w:tcPr>
          <w:p>
            <w:pPr>
              <w:spacing w:after="0"/>
              <w:rPr>
                <w:sz w:val="18"/>
                <w:szCs w:val="18"/>
                <w:color w:val="auto"/>
              </w:rPr>
            </w:pPr>
          </w:p>
        </w:tc>
      </w:tr>
      <w:tr>
        <w:trPr>
          <w:trHeight w:val="216"/>
        </w:trPr>
        <w:tc>
          <w:tcPr>
            <w:tcW w:w="63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6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187,438</w:t>
            </w:r>
          </w:p>
        </w:tc>
        <w:tc>
          <w:tcPr>
            <w:tcW w:w="80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116,654</w:t>
            </w:r>
          </w:p>
        </w:tc>
      </w:tr>
      <w:tr>
        <w:trPr>
          <w:trHeight w:val="216"/>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6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46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149,181</w:t>
            </w:r>
          </w:p>
        </w:tc>
        <w:tc>
          <w:tcPr>
            <w:tcW w:w="8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145,126</w:t>
            </w:r>
          </w:p>
        </w:tc>
      </w:tr>
      <w:tr>
        <w:trPr>
          <w:trHeight w:val="216"/>
        </w:trPr>
        <w:tc>
          <w:tcPr>
            <w:tcW w:w="6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Impairment of long lived assets</w:t>
            </w:r>
          </w:p>
        </w:tc>
        <w:tc>
          <w:tcPr>
            <w:tcW w:w="146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6,933</w:t>
            </w:r>
          </w:p>
        </w:tc>
      </w:tr>
      <w:tr>
        <w:trPr>
          <w:trHeight w:val="216"/>
        </w:trPr>
        <w:tc>
          <w:tcPr>
            <w:tcW w:w="6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Reduction in carrying value of operating right-of-use assets</w:t>
            </w:r>
          </w:p>
        </w:tc>
        <w:tc>
          <w:tcPr>
            <w:tcW w:w="146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11,472</w:t>
            </w:r>
          </w:p>
        </w:tc>
        <w:tc>
          <w:tcPr>
            <w:tcW w:w="8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11,304</w:t>
            </w:r>
          </w:p>
        </w:tc>
      </w:tr>
      <w:tr>
        <w:trPr>
          <w:trHeight w:val="216"/>
        </w:trPr>
        <w:tc>
          <w:tcPr>
            <w:tcW w:w="6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on equity method investments</w:t>
            </w:r>
          </w:p>
        </w:tc>
        <w:tc>
          <w:tcPr>
            <w:tcW w:w="146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r>
      <w:tr>
        <w:trPr>
          <w:trHeight w:val="216"/>
        </w:trPr>
        <w:tc>
          <w:tcPr>
            <w:tcW w:w="6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financing costs and debt discount</w:t>
            </w:r>
          </w:p>
        </w:tc>
        <w:tc>
          <w:tcPr>
            <w:tcW w:w="146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3,907</w:t>
            </w:r>
          </w:p>
        </w:tc>
        <w:tc>
          <w:tcPr>
            <w:tcW w:w="8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4,497</w:t>
            </w:r>
          </w:p>
        </w:tc>
      </w:tr>
      <w:tr>
        <w:trPr>
          <w:trHeight w:val="216"/>
        </w:trPr>
        <w:tc>
          <w:tcPr>
            <w:tcW w:w="6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46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13,181</w:t>
            </w:r>
          </w:p>
        </w:tc>
        <w:tc>
          <w:tcPr>
            <w:tcW w:w="8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14,759</w:t>
            </w:r>
          </w:p>
        </w:tc>
      </w:tr>
      <w:tr>
        <w:trPr>
          <w:trHeight w:val="216"/>
        </w:trPr>
        <w:tc>
          <w:tcPr>
            <w:tcW w:w="6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tax benefit</w:t>
            </w:r>
          </w:p>
        </w:tc>
        <w:tc>
          <w:tcPr>
            <w:tcW w:w="1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(35,145)</w:t>
            </w:r>
          </w:p>
        </w:tc>
        <w:tc>
          <w:tcPr>
            <w:tcW w:w="8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(43,823)</w:t>
            </w:r>
          </w:p>
        </w:tc>
      </w:tr>
      <w:tr>
        <w:trPr>
          <w:trHeight w:val="216"/>
        </w:trPr>
        <w:tc>
          <w:tcPr>
            <w:tcW w:w="6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Unrealized foreign exchange movements</w:t>
            </w:r>
          </w:p>
        </w:tc>
        <w:tc>
          <w:tcPr>
            <w:tcW w:w="1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w:t>
            </w:r>
          </w:p>
        </w:tc>
        <w:tc>
          <w:tcPr>
            <w:tcW w:w="8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w:t>
            </w:r>
          </w:p>
        </w:tc>
      </w:tr>
      <w:tr>
        <w:trPr>
          <w:trHeight w:val="216"/>
        </w:trPr>
        <w:tc>
          <w:tcPr>
            <w:tcW w:w="6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non-cash items</w:t>
            </w:r>
          </w:p>
        </w:tc>
        <w:tc>
          <w:tcPr>
            <w:tcW w:w="146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4,629</w:t>
            </w:r>
          </w:p>
        </w:tc>
        <w:tc>
          <w:tcPr>
            <w:tcW w:w="8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17,534</w:t>
            </w:r>
          </w:p>
        </w:tc>
      </w:tr>
      <w:tr>
        <w:trPr>
          <w:trHeight w:val="216"/>
        </w:trPr>
        <w:tc>
          <w:tcPr>
            <w:tcW w:w="63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Changes in operating assets and liabilities:</w:t>
            </w:r>
          </w:p>
        </w:tc>
        <w:tc>
          <w:tcPr>
            <w:tcW w:w="1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6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1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(80,431)</w:t>
            </w:r>
          </w:p>
        </w:tc>
        <w:tc>
          <w:tcPr>
            <w:tcW w:w="8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(93,259)</w:t>
            </w:r>
          </w:p>
        </w:tc>
      </w:tr>
      <w:tr>
        <w:trPr>
          <w:trHeight w:val="216"/>
        </w:trPr>
        <w:tc>
          <w:tcPr>
            <w:tcW w:w="6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Unbilled revenue</w:t>
            </w:r>
          </w:p>
        </w:tc>
        <w:tc>
          <w:tcPr>
            <w:tcW w:w="1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(42,546)</w:t>
            </w:r>
          </w:p>
        </w:tc>
        <w:tc>
          <w:tcPr>
            <w:tcW w:w="8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(18,346)</w:t>
            </w:r>
          </w:p>
        </w:tc>
      </w:tr>
      <w:tr>
        <w:trPr>
          <w:trHeight w:val="216"/>
        </w:trPr>
        <w:tc>
          <w:tcPr>
            <w:tcW w:w="6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Unearned revenue</w:t>
            </w:r>
          </w:p>
        </w:tc>
        <w:tc>
          <w:tcPr>
            <w:tcW w:w="146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56,485</w:t>
            </w:r>
          </w:p>
        </w:tc>
        <w:tc>
          <w:tcPr>
            <w:tcW w:w="8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80,990</w:t>
            </w:r>
          </w:p>
        </w:tc>
      </w:tr>
      <w:tr>
        <w:trPr>
          <w:trHeight w:val="219"/>
        </w:trPr>
        <w:tc>
          <w:tcPr>
            <w:tcW w:w="63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Other net assets</w:t>
            </w:r>
          </w:p>
        </w:tc>
        <w:tc>
          <w:tcPr>
            <w:tcW w:w="1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59,932</w:t>
            </w:r>
          </w:p>
        </w:tc>
        <w:tc>
          <w:tcPr>
            <w:tcW w:w="8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(65,933)</w:t>
            </w:r>
          </w:p>
        </w:tc>
      </w:tr>
      <w:tr>
        <w:trPr>
          <w:trHeight w:val="207"/>
        </w:trPr>
        <w:tc>
          <w:tcPr>
            <w:tcW w:w="6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46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327,076</w:t>
            </w:r>
          </w:p>
        </w:tc>
        <w:tc>
          <w:tcPr>
            <w:tcW w:w="8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175,500</w:t>
            </w:r>
          </w:p>
        </w:tc>
      </w:tr>
      <w:tr>
        <w:trPr>
          <w:trHeight w:val="216"/>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6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1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(27,152)</w:t>
            </w:r>
          </w:p>
        </w:tc>
        <w:tc>
          <w:tcPr>
            <w:tcW w:w="8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(26,744)</w:t>
            </w:r>
          </w:p>
        </w:tc>
      </w:tr>
      <w:tr>
        <w:trPr>
          <w:trHeight w:val="216"/>
        </w:trPr>
        <w:tc>
          <w:tcPr>
            <w:tcW w:w="6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subsidiary undertakings (net of cash acquired)</w:t>
            </w:r>
          </w:p>
        </w:tc>
        <w:tc>
          <w:tcPr>
            <w:tcW w:w="1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(7,831)</w:t>
            </w:r>
          </w:p>
        </w:tc>
        <w:tc>
          <w:tcPr>
            <w:tcW w:w="8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 of available for sale investments</w:t>
            </w:r>
          </w:p>
        </w:tc>
        <w:tc>
          <w:tcPr>
            <w:tcW w:w="146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1,005</w:t>
            </w:r>
          </w:p>
        </w:tc>
        <w:tc>
          <w:tcPr>
            <w:tcW w:w="8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w:t>
            </w:r>
          </w:p>
        </w:tc>
      </w:tr>
      <w:tr>
        <w:trPr>
          <w:trHeight w:val="216"/>
        </w:trPr>
        <w:tc>
          <w:tcPr>
            <w:tcW w:w="6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available for sale investments</w:t>
            </w:r>
          </w:p>
        </w:tc>
        <w:tc>
          <w:tcPr>
            <w:tcW w:w="1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8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w:t>
            </w:r>
          </w:p>
        </w:tc>
      </w:tr>
      <w:tr>
        <w:trPr>
          <w:trHeight w:val="219"/>
        </w:trPr>
        <w:tc>
          <w:tcPr>
            <w:tcW w:w="63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Purchase of investments in equity - long term</w:t>
            </w:r>
          </w:p>
        </w:tc>
        <w:tc>
          <w:tcPr>
            <w:tcW w:w="1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(4,381)</w:t>
            </w:r>
          </w:p>
        </w:tc>
        <w:tc>
          <w:tcPr>
            <w:tcW w:w="8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(1,358)</w:t>
            </w:r>
          </w:p>
        </w:tc>
      </w:tr>
      <w:tr>
        <w:trPr>
          <w:trHeight w:val="207"/>
        </w:trPr>
        <w:tc>
          <w:tcPr>
            <w:tcW w:w="6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4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(39,365)</w:t>
            </w:r>
          </w:p>
        </w:tc>
        <w:tc>
          <w:tcPr>
            <w:tcW w:w="8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(28,042)</w:t>
            </w:r>
          </w:p>
        </w:tc>
      </w:tr>
      <w:tr>
        <w:trPr>
          <w:trHeight w:val="216"/>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6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Drawdown of credit lines and loan facilities</w:t>
            </w:r>
          </w:p>
        </w:tc>
        <w:tc>
          <w:tcPr>
            <w:tcW w:w="146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50,000</w:t>
            </w:r>
          </w:p>
        </w:tc>
        <w:tc>
          <w:tcPr>
            <w:tcW w:w="8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180,000</w:t>
            </w:r>
          </w:p>
        </w:tc>
      </w:tr>
      <w:tr>
        <w:trPr>
          <w:trHeight w:val="216"/>
        </w:trPr>
        <w:tc>
          <w:tcPr>
            <w:tcW w:w="6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 of credit lines and loan facilities</w:t>
            </w:r>
          </w:p>
        </w:tc>
        <w:tc>
          <w:tcPr>
            <w:tcW w:w="1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(330,000)</w:t>
            </w:r>
          </w:p>
        </w:tc>
        <w:tc>
          <w:tcPr>
            <w:tcW w:w="8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(350,000)</w:t>
            </w:r>
          </w:p>
        </w:tc>
      </w:tr>
      <w:tr>
        <w:trPr>
          <w:trHeight w:val="216"/>
        </w:trPr>
        <w:tc>
          <w:tcPr>
            <w:tcW w:w="6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exercise of equity compensation</w:t>
            </w:r>
          </w:p>
        </w:tc>
        <w:tc>
          <w:tcPr>
            <w:tcW w:w="146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16,305</w:t>
            </w:r>
          </w:p>
        </w:tc>
        <w:tc>
          <w:tcPr>
            <w:tcW w:w="8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12,940</w:t>
            </w:r>
          </w:p>
        </w:tc>
      </w:tr>
      <w:tr>
        <w:trPr>
          <w:trHeight w:val="219"/>
        </w:trPr>
        <w:tc>
          <w:tcPr>
            <w:tcW w:w="63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Share issue costs</w:t>
            </w:r>
          </w:p>
        </w:tc>
        <w:tc>
          <w:tcPr>
            <w:tcW w:w="1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7"/>
        </w:trPr>
        <w:tc>
          <w:tcPr>
            <w:tcW w:w="6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cash used in by financing activities</w:t>
            </w:r>
          </w:p>
        </w:tc>
        <w:tc>
          <w:tcPr>
            <w:tcW w:w="14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(263,699)</w:t>
            </w:r>
          </w:p>
        </w:tc>
        <w:tc>
          <w:tcPr>
            <w:tcW w:w="8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(157,064)</w:t>
            </w:r>
          </w:p>
        </w:tc>
      </w:tr>
      <w:tr>
        <w:trPr>
          <w:trHeight w:val="219"/>
        </w:trPr>
        <w:tc>
          <w:tcPr>
            <w:tcW w:w="63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Effect of exchange rate movements on cash</w:t>
            </w:r>
          </w:p>
        </w:tc>
        <w:tc>
          <w:tcPr>
            <w:tcW w:w="1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(6,032)</w:t>
            </w:r>
          </w:p>
        </w:tc>
        <w:tc>
          <w:tcPr>
            <w:tcW w:w="8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w:t>
            </w:r>
          </w:p>
        </w:tc>
      </w:tr>
      <w:tr>
        <w:trPr>
          <w:trHeight w:val="209"/>
        </w:trPr>
        <w:tc>
          <w:tcPr>
            <w:tcW w:w="6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 / (decrease) in cash and cash equivalents</w:t>
            </w:r>
          </w:p>
        </w:tc>
        <w:tc>
          <w:tcPr>
            <w:tcW w:w="146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17,980</w:t>
            </w:r>
          </w:p>
        </w:tc>
        <w:tc>
          <w:tcPr>
            <w:tcW w:w="8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(8,888)</w:t>
            </w:r>
          </w:p>
        </w:tc>
      </w:tr>
      <w:tr>
        <w:trPr>
          <w:trHeight w:val="217"/>
        </w:trPr>
        <w:tc>
          <w:tcPr>
            <w:tcW w:w="6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14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378,102</w:t>
            </w:r>
          </w:p>
        </w:tc>
        <w:tc>
          <w:tcPr>
            <w:tcW w:w="8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288,768</w:t>
            </w:r>
          </w:p>
        </w:tc>
      </w:tr>
      <w:tr>
        <w:trPr>
          <w:trHeight w:val="211"/>
        </w:trPr>
        <w:tc>
          <w:tcPr>
            <w:tcW w:w="6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1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w:t>
            </w:r>
          </w:p>
        </w:tc>
        <w:tc>
          <w:tcPr>
            <w:tcW w:w="15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396,082</w:t>
            </w:r>
          </w:p>
        </w:tc>
        <w:tc>
          <w:tcPr>
            <w:tcW w:w="8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279,880</w:t>
            </w:r>
          </w:p>
        </w:tc>
      </w:tr>
      <w:tr>
        <w:trPr>
          <w:trHeight w:val="22"/>
        </w:trPr>
        <w:tc>
          <w:tcPr>
            <w:tcW w:w="6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20" w:top="1008" w:right="359" w:bottom="1440" w:gutter="0" w:footer="0" w:header="0"/>
        </w:sectPr>
      </w:pPr>
    </w:p>
    <w:bookmarkStart w:id="8" w:name="page9"/>
    <w:bookmarkEnd w:id="8"/>
    <w:p>
      <w:pPr>
        <w:ind w:left="5260"/>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50"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RECONCILIATION OF NON-GAAP MEASURES</w:t>
      </w:r>
    </w:p>
    <w:p>
      <w:pPr>
        <w:spacing w:after="0" w:line="3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 AND MARCH 31, 2023</w:t>
      </w:r>
    </w:p>
    <w:p>
      <w:pPr>
        <w:spacing w:after="0" w:line="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100" w:type="dxa"/>
            <w:vAlign w:val="bottom"/>
            <w:gridSpan w:val="3"/>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168"/>
        </w:trPr>
        <w:tc>
          <w:tcPr>
            <w:tcW w:w="68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60" w:type="dxa"/>
            <w:vAlign w:val="bottom"/>
          </w:tcPr>
          <w:p>
            <w:pPr>
              <w:jc w:val="right"/>
              <w:ind w:right="19"/>
              <w:spacing w:after="0" w:line="16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March 31,</w:t>
            </w:r>
          </w:p>
        </w:tc>
      </w:tr>
      <w:tr>
        <w:trPr>
          <w:trHeight w:val="212"/>
        </w:trPr>
        <w:tc>
          <w:tcPr>
            <w:tcW w:w="6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66"/>
        </w:trPr>
        <w:tc>
          <w:tcPr>
            <w:tcW w:w="6860" w:type="dxa"/>
            <w:vAlign w:val="bottom"/>
          </w:tcPr>
          <w:p>
            <w:pPr>
              <w:spacing w:after="0"/>
              <w:rPr>
                <w:sz w:val="14"/>
                <w:szCs w:val="14"/>
                <w:color w:val="auto"/>
              </w:rPr>
            </w:pPr>
          </w:p>
        </w:tc>
        <w:tc>
          <w:tcPr>
            <w:tcW w:w="4020" w:type="dxa"/>
            <w:vAlign w:val="bottom"/>
            <w:gridSpan w:val="4"/>
          </w:tcPr>
          <w:p>
            <w:pPr>
              <w:jc w:val="center"/>
              <w:ind w:left="1639"/>
              <w:spacing w:after="0" w:line="166" w:lineRule="exact"/>
              <w:rPr>
                <w:sz w:val="20"/>
                <w:szCs w:val="20"/>
                <w:color w:val="auto"/>
              </w:rPr>
            </w:pPr>
            <w:r>
              <w:rPr>
                <w:rFonts w:ascii="Times New Roman" w:cs="Times New Roman" w:eastAsia="Times New Roman" w:hAnsi="Times New Roman"/>
                <w:sz w:val="16"/>
                <w:szCs w:val="16"/>
                <w:b w:val="1"/>
                <w:bCs w:val="1"/>
                <w:color w:val="auto"/>
              </w:rPr>
              <w:t>(in thousands except share and</w:t>
            </w:r>
          </w:p>
        </w:tc>
      </w:tr>
      <w:tr>
        <w:trPr>
          <w:trHeight w:val="212"/>
        </w:trPr>
        <w:tc>
          <w:tcPr>
            <w:tcW w:w="6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100" w:type="dxa"/>
            <w:vAlign w:val="bottom"/>
            <w:gridSpan w:val="3"/>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per share data)</w:t>
            </w:r>
          </w:p>
        </w:tc>
      </w:tr>
      <w:tr>
        <w:trPr>
          <w:trHeight w:val="484"/>
        </w:trPr>
        <w:tc>
          <w:tcPr>
            <w:tcW w:w="68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6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187,438</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116,654</w:t>
            </w:r>
          </w:p>
        </w:tc>
      </w:tr>
      <w:tr>
        <w:trPr>
          <w:trHeight w:val="216"/>
        </w:trPr>
        <w:tc>
          <w:tcPr>
            <w:tcW w:w="6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 of losses from equity method investments</w:t>
            </w:r>
          </w:p>
        </w:tc>
        <w:tc>
          <w:tcPr>
            <w:tcW w:w="192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r>
      <w:tr>
        <w:trPr>
          <w:trHeight w:val="216"/>
        </w:trPr>
        <w:tc>
          <w:tcPr>
            <w:tcW w:w="6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tax expense</w:t>
            </w:r>
          </w:p>
        </w:tc>
        <w:tc>
          <w:tcPr>
            <w:tcW w:w="192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28,324</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14,273</w:t>
            </w:r>
          </w:p>
        </w:tc>
      </w:tr>
      <w:tr>
        <w:trPr>
          <w:trHeight w:val="283"/>
        </w:trPr>
        <w:tc>
          <w:tcPr>
            <w:tcW w:w="6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interest expense</w:t>
            </w:r>
          </w:p>
        </w:tc>
        <w:tc>
          <w:tcPr>
            <w:tcW w:w="1920" w:type="dxa"/>
            <w:vAlign w:val="bottom"/>
          </w:tcPr>
          <w:p>
            <w:pPr>
              <w:spacing w:after="0"/>
              <w:rPr>
                <w:sz w:val="24"/>
                <w:szCs w:val="24"/>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69,735</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85,479</w:t>
            </w:r>
          </w:p>
        </w:tc>
      </w:tr>
      <w:tr>
        <w:trPr>
          <w:trHeight w:val="243"/>
        </w:trPr>
        <w:tc>
          <w:tcPr>
            <w:tcW w:w="6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920" w:type="dxa"/>
            <w:vAlign w:val="bottom"/>
          </w:tcPr>
          <w:p>
            <w:pPr>
              <w:spacing w:after="0"/>
              <w:rPr>
                <w:sz w:val="21"/>
                <w:szCs w:val="21"/>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149,181</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145,126</w:t>
            </w:r>
          </w:p>
        </w:tc>
      </w:tr>
      <w:tr>
        <w:trPr>
          <w:trHeight w:val="354"/>
        </w:trPr>
        <w:tc>
          <w:tcPr>
            <w:tcW w:w="6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Stock-based compensation expense </w:t>
            </w:r>
            <w:r>
              <w:rPr>
                <w:rFonts w:ascii="Times New Roman" w:cs="Times New Roman" w:eastAsia="Times New Roman" w:hAnsi="Times New Roman"/>
                <w:sz w:val="21"/>
                <w:szCs w:val="21"/>
                <w:color w:val="auto"/>
                <w:vertAlign w:val="superscript"/>
              </w:rPr>
              <w:t>(a)</w:t>
            </w:r>
          </w:p>
        </w:tc>
        <w:tc>
          <w:tcPr>
            <w:tcW w:w="1920" w:type="dxa"/>
            <w:vAlign w:val="bottom"/>
          </w:tcPr>
          <w:p>
            <w:pPr>
              <w:spacing w:after="0"/>
              <w:rPr>
                <w:sz w:val="24"/>
                <w:szCs w:val="24"/>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13,181</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14,759</w:t>
            </w:r>
          </w:p>
        </w:tc>
      </w:tr>
      <w:tr>
        <w:trPr>
          <w:trHeight w:val="311"/>
        </w:trPr>
        <w:tc>
          <w:tcPr>
            <w:tcW w:w="6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Foreign currency (gains)/losses, net </w:t>
            </w:r>
            <w:r>
              <w:rPr>
                <w:rFonts w:ascii="Times New Roman" w:cs="Times New Roman" w:eastAsia="Times New Roman" w:hAnsi="Times New Roman"/>
                <w:sz w:val="21"/>
                <w:szCs w:val="21"/>
                <w:color w:val="auto"/>
                <w:vertAlign w:val="superscript"/>
              </w:rPr>
              <w:t>(b)</w:t>
            </w:r>
          </w:p>
        </w:tc>
        <w:tc>
          <w:tcPr>
            <w:tcW w:w="192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(10,814)</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w:t>
            </w:r>
          </w:p>
        </w:tc>
      </w:tr>
      <w:tr>
        <w:trPr>
          <w:trHeight w:val="310"/>
        </w:trPr>
        <w:tc>
          <w:tcPr>
            <w:tcW w:w="6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Restructuring </w:t>
            </w:r>
            <w:r>
              <w:rPr>
                <w:rFonts w:ascii="Times New Roman" w:cs="Times New Roman" w:eastAsia="Times New Roman" w:hAnsi="Times New Roman"/>
                <w:sz w:val="21"/>
                <w:szCs w:val="21"/>
                <w:color w:val="auto"/>
                <w:vertAlign w:val="superscript"/>
              </w:rPr>
              <w:t>(c)</w:t>
            </w:r>
          </w:p>
        </w:tc>
        <w:tc>
          <w:tcPr>
            <w:tcW w:w="1920" w:type="dxa"/>
            <w:vAlign w:val="bottom"/>
          </w:tcPr>
          <w:p>
            <w:pPr>
              <w:spacing w:after="0"/>
              <w:rPr>
                <w:sz w:val="24"/>
                <w:szCs w:val="24"/>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9,729</w:t>
            </w:r>
          </w:p>
        </w:tc>
      </w:tr>
      <w:tr>
        <w:trPr>
          <w:trHeight w:val="273"/>
        </w:trPr>
        <w:tc>
          <w:tcPr>
            <w:tcW w:w="6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 xml:space="preserve">Transaction and integration related costs </w:t>
            </w:r>
            <w:r>
              <w:rPr>
                <w:rFonts w:ascii="Times New Roman" w:cs="Times New Roman" w:eastAsia="Times New Roman" w:hAnsi="Times New Roman"/>
                <w:sz w:val="21"/>
                <w:szCs w:val="21"/>
                <w:color w:val="auto"/>
                <w:vertAlign w:val="superscript"/>
              </w:rPr>
              <w:t>(d)</w:t>
            </w:r>
          </w:p>
        </w:tc>
        <w:tc>
          <w:tcPr>
            <w:tcW w:w="19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6,991</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11,382</w:t>
            </w:r>
          </w:p>
        </w:tc>
      </w:tr>
      <w:tr>
        <w:trPr>
          <w:trHeight w:val="208"/>
        </w:trPr>
        <w:tc>
          <w:tcPr>
            <w:tcW w:w="6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444,036</w:t>
            </w:r>
          </w:p>
        </w:tc>
        <w:tc>
          <w:tcPr>
            <w:tcW w:w="2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399,123</w:t>
            </w:r>
          </w:p>
        </w:tc>
      </w:tr>
      <w:tr>
        <w:trPr>
          <w:trHeight w:val="22"/>
        </w:trPr>
        <w:tc>
          <w:tcPr>
            <w:tcW w:w="68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93"/>
        </w:trPr>
        <w:tc>
          <w:tcPr>
            <w:tcW w:w="68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net income and adjusted diluted net income per Ordinary Share</w:t>
            </w:r>
          </w:p>
        </w:tc>
        <w:tc>
          <w:tcPr>
            <w:tcW w:w="1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6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187,438</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116,654</w:t>
            </w:r>
          </w:p>
        </w:tc>
      </w:tr>
      <w:tr>
        <w:trPr>
          <w:trHeight w:val="216"/>
        </w:trPr>
        <w:tc>
          <w:tcPr>
            <w:tcW w:w="6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tax expense</w:t>
            </w:r>
          </w:p>
        </w:tc>
        <w:tc>
          <w:tcPr>
            <w:tcW w:w="192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28,324</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14,273</w:t>
            </w:r>
          </w:p>
        </w:tc>
      </w:tr>
      <w:tr>
        <w:trPr>
          <w:trHeight w:val="216"/>
        </w:trPr>
        <w:tc>
          <w:tcPr>
            <w:tcW w:w="6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Amortization</w:t>
            </w:r>
          </w:p>
        </w:tc>
        <w:tc>
          <w:tcPr>
            <w:tcW w:w="192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116,498</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114,678</w:t>
            </w:r>
          </w:p>
        </w:tc>
      </w:tr>
      <w:tr>
        <w:trPr>
          <w:trHeight w:val="354"/>
        </w:trPr>
        <w:tc>
          <w:tcPr>
            <w:tcW w:w="6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Stock-based compensation expense </w:t>
            </w:r>
            <w:r>
              <w:rPr>
                <w:rFonts w:ascii="Times New Roman" w:cs="Times New Roman" w:eastAsia="Times New Roman" w:hAnsi="Times New Roman"/>
                <w:sz w:val="21"/>
                <w:szCs w:val="21"/>
                <w:color w:val="auto"/>
                <w:vertAlign w:val="superscript"/>
              </w:rPr>
              <w:t>(a)</w:t>
            </w:r>
          </w:p>
        </w:tc>
        <w:tc>
          <w:tcPr>
            <w:tcW w:w="1920" w:type="dxa"/>
            <w:vAlign w:val="bottom"/>
          </w:tcPr>
          <w:p>
            <w:pPr>
              <w:spacing w:after="0"/>
              <w:rPr>
                <w:sz w:val="24"/>
                <w:szCs w:val="24"/>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13,181</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14,759</w:t>
            </w:r>
          </w:p>
        </w:tc>
      </w:tr>
      <w:tr>
        <w:trPr>
          <w:trHeight w:val="310"/>
        </w:trPr>
        <w:tc>
          <w:tcPr>
            <w:tcW w:w="6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Foreign currency (gains)/losses, net </w:t>
            </w:r>
            <w:r>
              <w:rPr>
                <w:rFonts w:ascii="Times New Roman" w:cs="Times New Roman" w:eastAsia="Times New Roman" w:hAnsi="Times New Roman"/>
                <w:sz w:val="21"/>
                <w:szCs w:val="21"/>
                <w:color w:val="auto"/>
                <w:vertAlign w:val="superscript"/>
              </w:rPr>
              <w:t>(b)</w:t>
            </w:r>
          </w:p>
        </w:tc>
        <w:tc>
          <w:tcPr>
            <w:tcW w:w="1920" w:type="dxa"/>
            <w:vAlign w:val="bottom"/>
          </w:tcPr>
          <w:p>
            <w:pPr>
              <w:spacing w:after="0"/>
              <w:rPr>
                <w:sz w:val="24"/>
                <w:szCs w:val="24"/>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(10,814)</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w:t>
            </w:r>
          </w:p>
        </w:tc>
      </w:tr>
      <w:tr>
        <w:trPr>
          <w:trHeight w:val="310"/>
        </w:trPr>
        <w:tc>
          <w:tcPr>
            <w:tcW w:w="6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Restructuring </w:t>
            </w:r>
            <w:r>
              <w:rPr>
                <w:rFonts w:ascii="Times New Roman" w:cs="Times New Roman" w:eastAsia="Times New Roman" w:hAnsi="Times New Roman"/>
                <w:sz w:val="21"/>
                <w:szCs w:val="21"/>
                <w:color w:val="auto"/>
                <w:vertAlign w:val="superscript"/>
              </w:rPr>
              <w:t>(c)</w:t>
            </w:r>
          </w:p>
        </w:tc>
        <w:tc>
          <w:tcPr>
            <w:tcW w:w="1920" w:type="dxa"/>
            <w:vAlign w:val="bottom"/>
          </w:tcPr>
          <w:p>
            <w:pPr>
              <w:spacing w:after="0"/>
              <w:rPr>
                <w:sz w:val="24"/>
                <w:szCs w:val="24"/>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9,729</w:t>
            </w:r>
          </w:p>
        </w:tc>
      </w:tr>
      <w:tr>
        <w:trPr>
          <w:trHeight w:val="311"/>
        </w:trPr>
        <w:tc>
          <w:tcPr>
            <w:tcW w:w="6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Transaction and integration related costs </w:t>
            </w:r>
            <w:r>
              <w:rPr>
                <w:rFonts w:ascii="Times New Roman" w:cs="Times New Roman" w:eastAsia="Times New Roman" w:hAnsi="Times New Roman"/>
                <w:sz w:val="21"/>
                <w:szCs w:val="21"/>
                <w:color w:val="auto"/>
                <w:vertAlign w:val="superscript"/>
              </w:rPr>
              <w:t>(d)</w:t>
            </w:r>
          </w:p>
        </w:tc>
        <w:tc>
          <w:tcPr>
            <w:tcW w:w="1920" w:type="dxa"/>
            <w:vAlign w:val="bottom"/>
          </w:tcPr>
          <w:p>
            <w:pPr>
              <w:spacing w:after="0"/>
              <w:rPr>
                <w:sz w:val="24"/>
                <w:szCs w:val="24"/>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6,991</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11,382</w:t>
            </w:r>
          </w:p>
        </w:tc>
      </w:tr>
      <w:tr>
        <w:trPr>
          <w:trHeight w:val="311"/>
        </w:trPr>
        <w:tc>
          <w:tcPr>
            <w:tcW w:w="6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 xml:space="preserve">Transaction-related financing costs </w:t>
            </w:r>
            <w:r>
              <w:rPr>
                <w:rFonts w:ascii="Times New Roman" w:cs="Times New Roman" w:eastAsia="Times New Roman" w:hAnsi="Times New Roman"/>
                <w:sz w:val="21"/>
                <w:szCs w:val="21"/>
                <w:color w:val="auto"/>
                <w:vertAlign w:val="superscript"/>
              </w:rPr>
              <w:t>(e)</w:t>
            </w:r>
          </w:p>
        </w:tc>
        <w:tc>
          <w:tcPr>
            <w:tcW w:w="1920" w:type="dxa"/>
            <w:vAlign w:val="bottom"/>
          </w:tcPr>
          <w:p>
            <w:pPr>
              <w:spacing w:after="0"/>
              <w:rPr>
                <w:sz w:val="24"/>
                <w:szCs w:val="24"/>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3,907</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4,498</w:t>
            </w:r>
          </w:p>
        </w:tc>
      </w:tr>
      <w:tr>
        <w:trPr>
          <w:trHeight w:val="273"/>
        </w:trPr>
        <w:tc>
          <w:tcPr>
            <w:tcW w:w="6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 xml:space="preserve">Adjusted tax expense </w:t>
            </w:r>
            <w:r>
              <w:rPr>
                <w:rFonts w:ascii="Times New Roman" w:cs="Times New Roman" w:eastAsia="Times New Roman" w:hAnsi="Times New Roman"/>
                <w:sz w:val="21"/>
                <w:szCs w:val="21"/>
                <w:color w:val="auto"/>
                <w:vertAlign w:val="superscript"/>
              </w:rPr>
              <w:t>(f)</w:t>
            </w:r>
          </w:p>
        </w:tc>
        <w:tc>
          <w:tcPr>
            <w:tcW w:w="19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(57,012)</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(47,469)</w:t>
            </w:r>
          </w:p>
        </w:tc>
      </w:tr>
      <w:tr>
        <w:trPr>
          <w:trHeight w:val="208"/>
        </w:trPr>
        <w:tc>
          <w:tcPr>
            <w:tcW w:w="6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net income</w:t>
            </w:r>
          </w:p>
        </w:tc>
        <w:tc>
          <w:tcPr>
            <w:tcW w:w="1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288,513</w:t>
            </w:r>
          </w:p>
        </w:tc>
        <w:tc>
          <w:tcPr>
            <w:tcW w:w="2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239,842</w:t>
            </w:r>
          </w:p>
        </w:tc>
      </w:tr>
      <w:tr>
        <w:trPr>
          <w:trHeight w:val="22"/>
        </w:trPr>
        <w:tc>
          <w:tcPr>
            <w:tcW w:w="68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93"/>
        </w:trPr>
        <w:tc>
          <w:tcPr>
            <w:tcW w:w="6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Diluted weighted average number of Ordinary Shares outstanding</w:t>
            </w:r>
          </w:p>
        </w:tc>
        <w:tc>
          <w:tcPr>
            <w:tcW w:w="1920" w:type="dxa"/>
            <w:vAlign w:val="bottom"/>
          </w:tcPr>
          <w:p>
            <w:pPr>
              <w:spacing w:after="0"/>
              <w:rPr>
                <w:sz w:val="24"/>
                <w:szCs w:val="24"/>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83,249,303</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82,605,659</w:t>
            </w:r>
          </w:p>
        </w:tc>
      </w:tr>
      <w:tr>
        <w:trPr>
          <w:trHeight w:val="222"/>
        </w:trPr>
        <w:tc>
          <w:tcPr>
            <w:tcW w:w="68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r>
        <w:trPr>
          <w:trHeight w:val="257"/>
        </w:trPr>
        <w:tc>
          <w:tcPr>
            <w:tcW w:w="68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Adjusted diluted net income per Ordinary Share</w:t>
            </w:r>
          </w:p>
        </w:tc>
        <w:tc>
          <w:tcPr>
            <w:tcW w:w="19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3.47</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r>
      <w:tr>
        <w:trPr>
          <w:trHeight w:val="33"/>
        </w:trPr>
        <w:tc>
          <w:tcPr>
            <w:tcW w:w="68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68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880"/>
          </w:cols>
          <w:pgMar w:left="320" w:top="1022" w:right="699" w:bottom="1440" w:gutter="0" w:footer="0" w:header="0"/>
        </w:sectPr>
      </w:pPr>
    </w:p>
    <w:bookmarkStart w:id="9" w:name="page10"/>
    <w:bookmarkEnd w:id="9"/>
    <w:p>
      <w:pPr>
        <w:ind w:left="660" w:right="260" w:hanging="328"/>
        <w:spacing w:after="0" w:line="299" w:lineRule="auto"/>
        <w:tabs>
          <w:tab w:leader="none" w:pos="65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Stock-based compensation expense represents the amount of recurring expense related to the company’s equity compensation programs (inclusive of employer related taxes).</w:t>
      </w:r>
    </w:p>
    <w:p>
      <w:pPr>
        <w:ind w:left="660" w:right="80" w:hanging="328"/>
        <w:spacing w:after="0" w:line="293" w:lineRule="auto"/>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currency (gains)/losses, net relates to gains or losses that arise in connection with the revaluation of non-US dollar denominated assets and liabilities. We exclude these gains and losses from adjusted EBITDA and adjusted net income because fluctuations from period- to- period do not necessarily correspond to changes in our operating results.</w:t>
      </w:r>
    </w:p>
    <w:p>
      <w:pPr>
        <w:spacing w:after="0" w:line="1" w:lineRule="exact"/>
        <w:rPr>
          <w:rFonts w:ascii="Times New Roman" w:cs="Times New Roman" w:eastAsia="Times New Roman" w:hAnsi="Times New Roman"/>
          <w:sz w:val="16"/>
          <w:szCs w:val="16"/>
          <w:color w:val="auto"/>
        </w:rPr>
      </w:pPr>
    </w:p>
    <w:p>
      <w:pPr>
        <w:ind w:left="660" w:right="220" w:hanging="328"/>
        <w:spacing w:after="0" w:line="290" w:lineRule="auto"/>
        <w:tabs>
          <w:tab w:leader="none" w:pos="65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Restructuring relates to charges incurred in connection with the company's realignments of its workforce, with the elimination of redundant positions as well as reviewing its global office footprint and optimizing its locations to best fit the requirements of the company.</w:t>
      </w:r>
    </w:p>
    <w:p>
      <w:pPr>
        <w:ind w:left="660" w:hanging="328"/>
        <w:spacing w:after="0" w:line="290" w:lineRule="auto"/>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 and integration related costs include expenses/credits associated with our acquisitions and any other costs incurred directly related to the integration of these acquisitions.</w:t>
      </w:r>
    </w:p>
    <w:p>
      <w:pPr>
        <w:ind w:left="660" w:right="60" w:hanging="328"/>
        <w:spacing w:after="0" w:line="293" w:lineRule="auto"/>
        <w:tabs>
          <w:tab w:leader="none" w:pos="65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Transaction-related financing costs includes costs incurred in connection with changes to our long-term debt and amortization of financing fees. We exclude these costs from adjusted EBITDA and adjusted net income because they result from financing decisions rather than from decisions made related to our ongoing operations.</w:t>
      </w:r>
    </w:p>
    <w:p>
      <w:pPr>
        <w:spacing w:after="0" w:line="1"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tax effect of adjusted pre-tax income at our estimated effective tax rate.</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ICON plc</w:t>
      </w:r>
    </w:p>
    <w:p>
      <w:pPr>
        <w:sectPr>
          <w:pgSz w:w="11900" w:h="16838" w:orient="portrait"/>
          <w:cols w:equalWidth="0" w:num="1">
            <w:col w:w="11200"/>
          </w:cols>
          <w:pgMar w:left="320" w:top="1273" w:right="379" w:bottom="1440" w:gutter="0" w:footer="0" w:header="0"/>
        </w:sectPr>
      </w:pP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Contact:</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+1 888 381 7923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Brendan Brennan Chief Financial Officer +353 1 291 2000</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Kate Haven Vice President Investor Relations +1888 381 7923</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http://www.iconplc.com</w:t>
      </w:r>
    </w:p>
    <w:sectPr>
      <w:pgSz w:w="11900" w:h="16838" w:orient="portrait"/>
      <w:cols w:equalWidth="0" w:num="2">
        <w:col w:w="640" w:space="580"/>
        <w:col w:w="9980"/>
      </w:cols>
      <w:pgMar w:left="320" w:top="1273"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2024-04-24T15:32:47Z</dcterms:created>
  <dcterms:modified xsi:type="dcterms:W3CDTF">2024-04-24T15:32:47Z</dcterms:modified>
</cp:coreProperties>
</file>