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ind w:left="40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ind w:left="42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3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0" w:lineRule="exact"/>
        <w:rPr>
          <w:sz w:val="24"/>
          <w:szCs w:val="24"/>
          <w:color w:val="auto"/>
        </w:rPr>
      </w:pPr>
    </w:p>
    <w:p>
      <w:pPr>
        <w:spacing w:after="0" w:line="25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333-08704</w:t>
      </w:r>
    </w:p>
    <w:p>
      <w:pPr>
        <w:jc w:val="center"/>
        <w:ind w:right="-10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2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South County Business Park, Leopardstown, Dublin 18, D18 X5R3, Ireland</w:t>
      </w:r>
    </w:p>
    <w:p>
      <w:pPr>
        <w:jc w:val="center"/>
        <w:ind w:right="-10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ectPr>
          <w:pgSz w:w="11900" w:h="16838" w:orient="portrait"/>
          <w:cols w:equalWidth="0" w:num="1">
            <w:col w:w="10119"/>
          </w:cols>
          <w:pgMar w:left="34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14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LIST</w:t>
            </w:r>
          </w:p>
        </w:tc>
      </w:tr>
      <w:tr>
        <w:trPr>
          <w:trHeight w:val="398"/>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9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2680" w:type="dxa"/>
            <w:vAlign w:val="bottom"/>
            <w:gridSpan w:val="2"/>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20" w:type="dxa"/>
            <w:vAlign w:val="bottom"/>
            <w:gridSpan w:val="2"/>
          </w:tcPr>
          <w:p>
            <w:pPr>
              <w:spacing w:after="0"/>
              <w:rPr>
                <w:sz w:val="24"/>
                <w:szCs w:val="24"/>
                <w:color w:val="auto"/>
              </w:rPr>
            </w:pPr>
          </w:p>
        </w:tc>
      </w:tr>
      <w:tr>
        <w:trPr>
          <w:trHeight w:val="43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40" w:type="dxa"/>
            <w:vAlign w:val="bottom"/>
          </w:tcPr>
          <w:p>
            <w:pPr>
              <w:spacing w:after="0"/>
              <w:rPr>
                <w:sz w:val="24"/>
                <w:szCs w:val="24"/>
                <w:color w:val="auto"/>
              </w:rPr>
            </w:pPr>
          </w:p>
        </w:tc>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ICON plc Press Release issued May 27, 2026 - ICON reports Fourth Quarter and Full Year 2025 results, and provides outcome of</w:t>
            </w:r>
          </w:p>
        </w:tc>
      </w:tr>
      <w:tr>
        <w:trPr>
          <w:trHeight w:val="156"/>
        </w:trPr>
        <w:tc>
          <w:tcPr>
            <w:tcW w:w="3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Audit Committee investigation</w:t>
            </w:r>
          </w:p>
        </w:tc>
        <w:tc>
          <w:tcPr>
            <w:tcW w:w="2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820"/>
          </w:cols>
          <w:pgMar w:left="340" w:top="1391" w:right="7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418"/>
        </w:trPr>
        <w:tc>
          <w:tcPr>
            <w:tcW w:w="748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196"/>
        </w:trPr>
        <w:tc>
          <w:tcPr>
            <w:tcW w:w="7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 May 27, 2026</w:t>
            </w:r>
          </w:p>
        </w:tc>
        <w:tc>
          <w:tcPr>
            <w:tcW w:w="120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Nigel Clerkin</w:t>
            </w:r>
          </w:p>
        </w:tc>
        <w:tc>
          <w:tcPr>
            <w:tcW w:w="480" w:type="dxa"/>
            <w:vAlign w:val="bottom"/>
          </w:tcPr>
          <w:p>
            <w:pPr>
              <w:spacing w:after="0"/>
              <w:rPr>
                <w:sz w:val="17"/>
                <w:szCs w:val="17"/>
                <w:color w:val="auto"/>
              </w:rPr>
            </w:pPr>
          </w:p>
        </w:tc>
      </w:tr>
      <w:tr>
        <w:trPr>
          <w:trHeight w:val="234"/>
        </w:trPr>
        <w:tc>
          <w:tcPr>
            <w:tcW w:w="748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0340"/>
          </w:cols>
          <w:pgMar w:left="320" w:top="1400" w:right="12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464820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ICON Reports Fourth Quarter and Full Year 2025 Results</w:t>
      </w:r>
    </w:p>
    <w:p>
      <w:pPr>
        <w:spacing w:after="0" w:line="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and Provides Outcome of Audit Committee Investigation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00" w:lineRule="exact"/>
        <w:rPr>
          <w:sz w:val="20"/>
          <w:szCs w:val="20"/>
          <w:color w:val="auto"/>
        </w:rPr>
      </w:pPr>
    </w:p>
    <w:p>
      <w:pPr>
        <w:spacing w:after="0" w:line="29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four revenue was $2,112.5 million. Full year revenue was $8,251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four adjusted EBITDA of $327.1 million or 15.5% of revenue; full year adjusted EBITDA of $1,530.7 million or 18.6% of revenue.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of $149.2 million or $1.93 per diluted share. Full year GAAP net income of $229.3 million or $2.90 diluted earnings per share. Quarter four adjusted net income of $195.1 million or $2.52 diluted earnings per share; full year adjusted net income of $989.8 million or $12.53 diluted earnings per share.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business wins in the quarter of $2,868 million; a net book to bill ratio of 1.36. Full year net business wins of $9,033 million; a net book to bill of 1.09. Strong bookings momentum with quarter four gross business wins of $3,233 million and cancellations of $365 million.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balance of $2.8 billion at December 31, 2025 with net debt to adjusted EBITDA ratio of 1.8x.</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$862.0 million for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Committee's investigation into certain accounting practices is complete.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restating its consolidated financials to reflect that revenue was overstated by 0.8% of total revenue in full year 2023, and by 1.1% of total revenue in full year 2024. There was no impact on customers, operations, or cash flow.</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from the investigation, management has amended policies and methodologies on cancellations and backlog recognition to provide enhanced visibility into metrics that are relevant to assess current and future financial performance.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full-year financial guidance issued with revenue expected in the range of $7,850 - $8,150 million and adjusted diluted earnings per share expected in the range of $10.00 - $11.00. Adjusted diluted earnings per share to exclude amortization, stock-based compensation, foreign currency gains and losses, restructuring, transaction, integration-related and other adjustments, transaction-related financing costs, fair value movement on investments in equity, goodwill impairment, impairment of non-financial assets and their related taxation effect.</w:t>
      </w:r>
    </w:p>
    <w:p>
      <w:pPr>
        <w:spacing w:after="0" w:line="200" w:lineRule="exact"/>
        <w:rPr>
          <w:sz w:val="20"/>
          <w:szCs w:val="20"/>
          <w:color w:val="auto"/>
        </w:rPr>
      </w:pPr>
    </w:p>
    <w:p>
      <w:pPr>
        <w:spacing w:after="0" w:line="2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Dublin, Ireland, May 27, 2026 </w:t>
      </w:r>
      <w:r>
        <w:rPr>
          <w:rFonts w:ascii="Times New Roman" w:cs="Times New Roman" w:eastAsia="Times New Roman" w:hAnsi="Times New Roman"/>
          <w:sz w:val="18"/>
          <w:szCs w:val="18"/>
          <w:color w:val="auto"/>
        </w:rPr>
        <w:t>– ICON plc (NASDAQ: ICLR), a world-leading clinical research organization, today reported its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fourth quarter and full year 2025, and announced the outcome of its investigation by the Audit Committee of the Board of Directors into certain accounting practices.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CEO, Mr. Barry Balfe commented, </w:t>
      </w:r>
      <w:r>
        <w:rPr>
          <w:rFonts w:ascii="Times New Roman" w:cs="Times New Roman" w:eastAsia="Times New Roman" w:hAnsi="Times New Roman"/>
          <w:sz w:val="18"/>
          <w:szCs w:val="18"/>
          <w:i w:val="1"/>
          <w:iCs w:val="1"/>
          <w:color w:val="auto"/>
        </w:rPr>
        <w:t>“ICON demonstrated continued commercial momentum through the fourth quarter, underpinned by disciplined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execution against our strategic priorities. We achieved notably strong net bookings, with gross awards strengthening, cancellations normalizing and forward-looking indicators encouraging. Our competitive position remains very strong, with established partnerships continuing to deliver, while newer relationships are maturing and increasingly contributing to results. Importantly, the demand environment is also improving, supported by strengthening biotech funding and sustained large pharma investment.</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 am also pleased that we have concluded the investigation into certain accounting practices. We identified the issues, rigorously investigated them and are actively building a stronger control environment. This will remain a priority for me, for our Board and for the broader leadership team.</w:t>
      </w:r>
    </w:p>
    <w:p>
      <w:pPr>
        <w:sectPr>
          <w:pgSz w:w="11900" w:h="16838" w:orient="portrait"/>
          <w:cols w:equalWidth="0" w:num="1">
            <w:col w:w="11240"/>
          </w:cols>
          <w:pgMar w:left="320" w:top="104"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Looking ahead, ICON retains a positional advantage in the drug development industry. Our leading scale, capabilities and customer base are augmented by our strategic investments in differentiated agentic technologies. While near-term financial performance will reflect the headwinds identified in 2025, increasing commercial momentum and a maturing portfolio of strategic partnerships point to sustainable growth into 2027 and beyond."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Results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quarter four 2025, gross bookings were $3,233 million with cancellations of $365 million. This resulted in net business wins of $2,868 million and a book to bill of 1.36.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fourth quarter was $2,112.5 million. This represents an increase of 2.5% on prior year revenue or 1.1% on a constant currency basis.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net income was $149.2 million, resulting in diluted earnings per share of $1.93 in quarter four 2025, compared to diluted earnings per share of $3.58 in quarter four 2024, a decrease of 46.1% year over year. Adjusted net income for the quarter was $195.1 million, resulting in adjusted diluted earnings per share of $2.52 compared to $3.86 per share for the fourth quarter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fourth quarter was $327.1 million or 15.5% of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on adjusted net income in quarter four 2025 was 19.0%.</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generated from operating activities for the quarter was $234.2 million. During the quarter, $59.3 million was spent on capital expenditure. Additionally, $7.4 million of Term Loan B payments were made during the quarter. At December 31, 2025, the Group had cash and cash equivalents of $647.3 million, compared to cash and cash equivalents of $468.9 million at September 30, 2025 and $538.8 million at December 31, 2024. Net indebtedness as at December 31, 2025 was $2.8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Reporting Enhancements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decided to adjust how it calculates and presents cancellations and its backlog. The changes implemented are intended to provide enhanced visibility into reported metrics that are relevant to assess current and future performance of the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 2025, ICON modified its cancellations policy, such that reported quarterly cancellation amounts now reflect in-period cancellation notifications from customers, in addition to studies that have been inactive, or identified by management as at-risk for cancellation. There is no change to ICON's treatment of awards and their recognition into backlog.</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policy changes resulted in an adjustment to reported backlog of $3.9 billion, resulting in an updated backlog value of $21.1 billion, as of October 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Results and 2026 Guidance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business wins were $11,867 million and cancellations were $2,834 million, as determined under the new policy. This resulted in net business wins of $9,033 million and a book to bill of 1.09. As of December 31, 2025, under the new methodology, total backlog was $21.8 billion.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revenue was $8,251.3 million. This represents a year on year increase of 0.8% or 0.1% on a constant currency basis.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net income was $229.3 million, resulting in $2.90 diluted earnings per share compared to $8.90 per share for the equivalent prior year period, representing a decrease of 67.4%. Adjusted net income was $989.8 million, resulting in an adjusted diluted earnings per share of $12.53 compared to $13.37 per share for the equivalent prior year period. This represents a decrease of 6.3%.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$1,530.7 million or 18.6% of revenue, a year on year decrease of 8.4%.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on adjusted net income in 2025 was 16.9%.</w:t>
      </w:r>
    </w:p>
    <w:p>
      <w:pPr>
        <w:sectPr>
          <w:pgSz w:w="11900" w:h="16838" w:orient="portrait"/>
          <w:cols w:equalWidth="0" w:num="1">
            <w:col w:w="11240"/>
          </w:cols>
          <w:pgMar w:left="320" w:top="10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010" w:right="339" w:bottom="1440" w:gutter="0" w:footer="0" w:header="0"/>
          <w:type w:val="continuous"/>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Cash generated from operating activities in 2025 was $1,036.2 million. $174.2 million was spent on capital expenditure. $750.0 million worth of stock was repurchased at an average price of $167 per share. Additionally, $29.8 million of Term Loan B payments were made.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issuing full-year financial guidance for 2026 with revenue expected in the range of $7,850 - $8,150 million, and adjusted diluted earnings per share expected in the range of $10.00 - $11.00.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of Investigation and Restatement of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has completed its previously announced investigation into certain accounting practices and controls, initiated following concerns reported through Company management.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investigation primarily focused on revenue recognition practices and concluded that improper adjustments were made to the clinical trial services revenue of the Company from the third quarter of 2023 to the fourth quarter of 2024, which impacted the timing of revenue recognition. The Company also identified errors in determining the estimated cost to complete, the assessment of realizable value, and certain manual adjustments in respect of clinical trial services revenue contracts during 2023, 2024 and 2025. The Company also identified issues with the presentation of unbilled and unearned revenue, where contract assets and liabilities eligible for offset were not fully identified.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the Form 20-F, the Company has concluded that revenue was overstated by $65.3 million for the year ended December 31, 2023 (0.8% total revenue) and by $92.7 million for the year ended December 31, 2024 (1.1% of total revenue). As part of the investigation, ICON identified material weaknesses in its internal control over financial reporting. The Company’s entity level controls, including the tone from management, were insufficient to enforce the monitoring and maintenance of a proper environment for effective internal control over financial reporting. Management did not design and operate effective internal controls to prevent material errors to revenue and related accounts.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current management, under the oversight of the Audit Committee, is committed to remediating the material weaknesses identified above, fostering continuous improvement in internal controls and enhancing its overall internal control environment. The Company’s remediation plan includes enhancements in relation to four key areas: oversight of control environment, policies and procedures, training and internal controls over manual adjustments.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Annual Report on Form 20-F contains additional details regarding the material weaknesses and actions the Company have taken and continue to take to remediate the identified material weaknesses.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Update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Mr. Kevin Egan and Mr. Jeff Elliott will join ICON's Board of Directors, effective June 1, 2026 and that Dr. Steve Cutler resigned from the Board effective May 21, 2026.</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Kevin Egan brings a wealth of experience, notably in auditing, after completing a 37-year career in public auditing, including leading PwC Ireland's audit and assurance practice from 2007 - 2015. He also currently serves as non-executive director and Chair of the Audit Committee at Perrigo plc.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Jeff Elliott also brings a significant amount of expertise and financial depth, from previous leadership and operational roles. He was Chief Financial Officer of Exact Sciences Corp. from 2016 to 2024, and also served as Chief Operating Officer from 2021 to 2023. Prior to his roles at Exact Sciences, Jeff was a senior equity research analyst covering healthcare companies at Robert W. Baird &amp; Co. Additionally, Jeff currently serves as non-executive director on the Boards of Quanterix, Inc. and Sera Prognostics.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Mr. Ciaran Murray, Chairman of the Board, commented, </w:t>
      </w:r>
      <w:r>
        <w:rPr>
          <w:rFonts w:ascii="Times New Roman" w:cs="Times New Roman" w:eastAsia="Times New Roman" w:hAnsi="Times New Roman"/>
          <w:sz w:val="18"/>
          <w:szCs w:val="18"/>
          <w:i w:val="1"/>
          <w:iCs w:val="1"/>
          <w:color w:val="auto"/>
        </w:rPr>
        <w:t>"The Board of ICON is committed to the highest standards of corporate governance and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satisfied that the investigation into certain accounting practices conducted by the Audit Committee on the Board's behalf is complete. A remediation plan to address control weaknesses has been developed by Management and its implementation will be subject to oversight by the Audit Committee. I am also pleased to announce the appointment of Mr. Kevin Egan and Mr. Jeff Elliott to the Board effective June 1, 2026. Their extensive knowledge and expertise across financial-related matters, as well as experience in the healthcare industry, will serve to further strengthen the Board's support of ICON's long-term strategy and growth ambition."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ICON will hold a conference call on May 28, 2026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01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contained herein are forward-looking statements. All statements other than statements of historical fact are forward-looking. Examples of forward-looking statements include, but are not limited to, statements regarding the following: anticipated financial results for 2026; the remediation of material weaknesses in the Company's internal control over financial reporting and the implementation of the Company's corrective action plan; the Company's expectations regarding business momentum, demand trends, commercial performance and competitive position; and the Company's expectations with respect to its long-term value creation and growth. You can identify many forward-looking statements by words such as “aims,” “anticipates,” “believes,” “continues,” “could,” “estimates,” “expects,” “focused,” “guidance,” “intends,” “look,” “may,” “opportunities,” “plans,” “position,”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forward-looking statements due to risks and uncertainties associated with the Company's business, and forward-looking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risks relating to the Company's strategic partnerships; the dependence on certain key executives; changes in the regulatory environment; exchange rate fluctuations; inflation and rising labor costs; the risk that material weaknesses in the Company's internal control over financial reporting are not remediated on the timeline expected or at all; the risk that the remediation measures and the corrective action plan do not adequately address the identified material weaknesses; and other factors, including those factors described in the section entitled “Risk Factors” of our Annual Report on Form 20-F most recently filed with the Securities and Exchange Commission. Forward-looking statements speak only as of the date they are made and we do not undertake any obligation to update publicly any forward-looking statement, either as a result of new information, future events or otherwise, except to the extent required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adjusted net income and adjusted diluted earnings per share and free cash flow. Adjusted EBITDA excludes stock-based compensation, foreign currency gains and losses, restructuring, transaction, integration-related and other adjustments, fair value movement on investments in equity, and goodwill impairment, impairment of non-financial assets. Adjusted net income and adjusted diluted earnings per share exclude amortization, stock-based compensation, foreign currency gains and losses, restructuring, transaction, integration-related and other adjustments, transaction-related financing costs, fair value movement on investments in equity, goodwill impairment, impairment of non-financial assets and their related taxation effect. Free cash flow reflects cash generated from operating activities less capital expenditure. While non-GAAP financial measures are not superior to or a substitute for the comparable GAAP measures, ICON believes certain non-GAAP information is useful to investors for historical comparison purposes.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full-year 2026 guidance adjusted diluted earnings per share measures are provided on a non-GAAP basis without a reconciliation to the most directly comparable GAAP measure because the Company is unable to predict with a reasonable degree of certainty certain items contained in the measures without unreasonable efforts. For the same reasons, the Company is unable to address the probable significance of the unavailable information.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40,100 employees in 97 locations in 55 countries as at December 31, 2025. For further information about ICON, visit: www.iconplc.com.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All at ICON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1012" w:right="1440"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DECEMBER 31, 2024 AND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6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4"/>
                <w:szCs w:val="24"/>
                <w:color w:val="auto"/>
              </w:rPr>
            </w:pPr>
          </w:p>
        </w:tc>
        <w:tc>
          <w:tcPr>
            <w:tcW w:w="356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189"/>
        </w:trPr>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29"/>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38"/>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7"/>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0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2,112,517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2,061,867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2,040,603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8,251,340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8,188,990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8,054,926</w:t>
            </w:r>
          </w:p>
        </w:tc>
      </w:tr>
      <w:tr>
        <w:trPr>
          <w:trHeight w:val="49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 costs</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1,631,779</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1,429,127</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1,442,117</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6,075,746</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5,818,061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5,706,187</w:t>
            </w:r>
          </w:p>
        </w:tc>
      </w:tr>
      <w:tr>
        <w:trPr>
          <w:trHeight w:val="22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179,700</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151,445</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195,560</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780,139</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728,348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768,559</w:t>
            </w:r>
          </w:p>
        </w:tc>
      </w:tr>
      <w:tr>
        <w:trPr>
          <w:trHeight w:val="22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90,290</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96,655</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149,733</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382,996</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488,500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585,950</w:t>
            </w:r>
          </w:p>
        </w:tc>
      </w:tr>
      <w:tr>
        <w:trPr>
          <w:trHeight w:val="230"/>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6,128</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7,907</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9,660</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25,269</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29,574</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w:t>
            </w:r>
          </w:p>
        </w:tc>
      </w:tr>
      <w:tr>
        <w:trPr>
          <w:trHeight w:val="22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46,334</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79,069</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92,123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r>
      <w:tr>
        <w:trPr>
          <w:trHeight w:val="22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364,248</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101,027</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1,904,670</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1,731,468</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1,797,070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7,808,494</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7,156,606</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7,150,262</w:t>
            </w:r>
          </w:p>
        </w:tc>
      </w:tr>
      <w:tr>
        <w:trPr>
          <w:trHeight w:val="47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207,847</w:t>
            </w: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330,399</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243,533</w:t>
            </w: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442,846</w:t>
            </w: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1,032,384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904,664</w:t>
            </w:r>
          </w:p>
        </w:tc>
      </w:tr>
      <w:tr>
        <w:trPr>
          <w:trHeight w:val="229"/>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7,109</w:t>
            </w:r>
          </w:p>
        </w:tc>
        <w:tc>
          <w:tcPr>
            <w:tcW w:w="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8,609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r>
      <w:tr>
        <w:trPr>
          <w:trHeight w:val="234"/>
        </w:trPr>
        <w:tc>
          <w:tcPr>
            <w:tcW w:w="3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(81,034)</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(197,490)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(237,237)</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(336,699)</w:t>
            </w:r>
          </w:p>
        </w:tc>
      </w:tr>
      <w:tr>
        <w:trPr>
          <w:trHeight w:val="475"/>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 / benefit</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159,852</w:t>
            </w: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281,978</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164,219</w:t>
            </w: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252,465</w:t>
            </w: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803,756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572,979</w:t>
            </w:r>
          </w:p>
        </w:tc>
      </w:tr>
      <w:tr>
        <w:trPr>
          <w:trHeight w:val="234"/>
        </w:trPr>
        <w:tc>
          <w:tcPr>
            <w:tcW w:w="3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12,767</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19,166</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(18,388)</w:t>
            </w:r>
          </w:p>
        </w:tc>
      </w:tr>
      <w:tr>
        <w:trPr>
          <w:trHeight w:val="421"/>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share of earnings from equity</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149,194</w:t>
            </w: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294,745</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183,385</w:t>
            </w: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229,339</w:t>
            </w: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739,126</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554,591</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investments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3"/>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149,194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294,745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183,385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229,339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739,126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554,208</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95"/>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34"/>
        </w:trPr>
        <w:tc>
          <w:tcPr>
            <w:tcW w:w="3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1"/>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95"/>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76,522,983</w:t>
            </w:r>
          </w:p>
        </w:tc>
        <w:tc>
          <w:tcPr>
            <w:tcW w:w="16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81,785,620</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82,399,478</w:t>
            </w: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78,423,675</w:t>
            </w: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82,482,764</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82,101,813</w:t>
            </w:r>
          </w:p>
        </w:tc>
      </w:tr>
      <w:tr>
        <w:trPr>
          <w:trHeight w:val="234"/>
        </w:trPr>
        <w:tc>
          <w:tcPr>
            <w:tcW w:w="3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77,307,279</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82,236,018</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83,112,757</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78,965,385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83,032,424</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82,717,640</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00" w:top="1008" w:right="5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DECEMBER 31, 2025 AND DECEMBER 31,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6"/>
          <w:szCs w:val="16"/>
          <w:b w:val="1"/>
          <w:bCs w:val="1"/>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9"/>
        </w:trPr>
        <w:tc>
          <w:tcPr>
            <w:tcW w:w="5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647,295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538,785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378,102</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1,474,898</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1,392,764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1,764,404</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revenue</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1,096,592</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1,040,174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853,581</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116,750</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79,487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65,797</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105,316</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140,435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60,824</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83,523</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91,254</w:t>
            </w:r>
          </w:p>
        </w:tc>
      </w:tr>
      <w:tr>
        <w:trPr>
          <w:trHeight w:val="228"/>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3,501,675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3,275,168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3,287,197</w:t>
            </w:r>
          </w:p>
        </w:tc>
      </w:tr>
      <w:tr>
        <w:trPr>
          <w:trHeight w:val="36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395,724</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382,879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361,184</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8,731,689</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9,051,410</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9,022,075</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3,247,118</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3,559,792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3,855,865</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128,948</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147,602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140,333</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75,707</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72,796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78,470</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11,395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106,871</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75,832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72,855</w:t>
            </w:r>
          </w:p>
        </w:tc>
      </w:t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Investments in equity</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82,050</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57,948</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46,804</w:t>
            </w: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16,269,782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16,634,822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16,864,783</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4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192,117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131,584</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revenue</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1,550,471</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1,467,671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1,566,464</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904,826</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909,776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908,151</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18,999</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55,258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bank credit lines, loan facilities and notes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529,762</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29,762</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110,150</w:t>
            </w:r>
          </w:p>
        </w:tc>
      </w:tr>
      <w:tr>
        <w:trPr>
          <w:trHeight w:val="228"/>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3,196,175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2,635,492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2,730,317</w:t>
            </w:r>
          </w:p>
        </w:tc>
      </w:tr>
      <w:tr>
        <w:trPr>
          <w:trHeight w:val="36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bank credit lines, loan facilities and notes, net</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2,872,616</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3,396,398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3,665,439</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liabilities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117,122</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140,085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126,321</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72,807</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82,718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45,246</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103,251</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127,544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187,706</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714,427</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811,231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898,308</w:t>
            </w:r>
          </w:p>
        </w:tc>
      </w:t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7,076,398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7,193,468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7,653,337</w:t>
            </w:r>
          </w:p>
        </w:tc>
      </w:tr>
      <w:tr>
        <w:trPr>
          <w:trHeight w:val="31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51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Ordinary shares, par value 6 euro cents per share; 100,000,000</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authorized,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89"/>
        </w:trPr>
        <w:tc>
          <w:tcPr>
            <w:tcW w:w="51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76,567,325 shares issued and outstanding at December 31, 2025,</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80,756,860 and 2023: 82,495,086)</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6,305</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6,586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7,131,956</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7,020,231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6,942,669</w:t>
            </w:r>
          </w:p>
        </w:tc>
      </w:tr>
      <w:tr>
        <w:trPr>
          <w:trHeight w:val="229"/>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4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30"/>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(68,534)</w:t>
            </w:r>
          </w:p>
        </w:tc>
        <w:tc>
          <w:tcPr>
            <w:tcW w:w="1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(229,929)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(143,506)</w:t>
            </w:r>
          </w:p>
        </w:tc>
      </w:tr>
      <w:tr>
        <w:trPr>
          <w:trHeight w:val="234"/>
        </w:trPr>
        <w:tc>
          <w:tcPr>
            <w:tcW w:w="5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2,122,051</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2,643,162</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2,404,422</w:t>
            </w:r>
          </w:p>
        </w:tc>
      </w:tr>
      <w:tr>
        <w:trPr>
          <w:trHeight w:val="223"/>
        </w:trPr>
        <w:tc>
          <w:tcPr>
            <w:tcW w:w="5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9,193,384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9,441,354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9,211,446</w:t>
            </w:r>
          </w:p>
        </w:tc>
      </w:tr>
      <w:tr>
        <w:trPr>
          <w:trHeight w:val="22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16,269,782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16,634,822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16,864,783</w:t>
            </w:r>
          </w:p>
        </w:tc>
      </w:tr>
      <w:tr>
        <w:trPr>
          <w:trHeight w:val="21"/>
        </w:trPr>
        <w:tc>
          <w:tcPr>
            <w:tcW w:w="5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760" w:top="1008"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60"/>
          </w:cols>
          <w:pgMar w:left="760" w:top="1008" w:right="779" w:bottom="1440" w:gutter="0" w:footer="0" w:header="0"/>
          <w:type w:val="continuous"/>
        </w:sectPr>
      </w:pPr>
    </w:p>
    <w:bookmarkStart w:id="10" w:name="page11"/>
    <w:bookmarkEnd w:id="10"/>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 2025 AND DECEMBER 31, 2024 AND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6"/>
                <w:szCs w:val="16"/>
                <w:color w:val="auto"/>
              </w:rPr>
            </w:pPr>
          </w:p>
        </w:tc>
        <w:tc>
          <w:tcPr>
            <w:tcW w:w="15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229,339</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739,126</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554,208</w:t>
            </w:r>
          </w:p>
        </w:tc>
        <w:tc>
          <w:tcPr>
            <w:tcW w:w="0" w:type="dxa"/>
            <w:vAlign w:val="bottom"/>
          </w:tcPr>
          <w:p>
            <w:pPr>
              <w:spacing w:after="0"/>
              <w:rPr>
                <w:sz w:val="1"/>
                <w:szCs w:val="1"/>
                <w:color w:val="auto"/>
              </w:rPr>
            </w:pPr>
          </w:p>
        </w:tc>
      </w:tr>
      <w:tr>
        <w:trPr>
          <w:trHeight w:val="346"/>
        </w:trPr>
        <w:tc>
          <w:tcPr>
            <w:tcW w:w="6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382,996</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488,500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585,950</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364,248</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101,027</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96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Impairment of operating right-of-use assets and related property,</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and equipment</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15,731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in carrying value of operating right-of-use assets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36,116</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39,787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Acquisition-related gain</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financing costs and debt discount</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23,533</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102,041</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45,870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55,667</w:t>
            </w: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benefit</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(128,919)</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(102,886)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foreign exchange movements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6,911</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25"/>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items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31,900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24,332</w:t>
            </w:r>
          </w:p>
        </w:tc>
        <w:tc>
          <w:tcPr>
            <w:tcW w:w="0" w:type="dxa"/>
            <w:vAlign w:val="bottom"/>
          </w:tcPr>
          <w:p>
            <w:pPr>
              <w:spacing w:after="0"/>
              <w:rPr>
                <w:sz w:val="1"/>
                <w:szCs w:val="1"/>
                <w:color w:val="auto"/>
              </w:rPr>
            </w:pPr>
          </w:p>
        </w:tc>
      </w:tr>
      <w:tr>
        <w:trPr>
          <w:trHeight w:val="233"/>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(108,213)</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332,616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(57,378)</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Unbilled revenue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(61,109)</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(192,176)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118,328</w:t>
            </w: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revenue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68,516</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(96,787)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46,523</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net assets</w:t>
            </w: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(45,473)</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(161,778)</w:t>
            </w:r>
          </w:p>
        </w:tc>
        <w:tc>
          <w:tcPr>
            <w:tcW w:w="0" w:type="dxa"/>
            <w:vAlign w:val="bottom"/>
          </w:tcPr>
          <w:p>
            <w:pPr>
              <w:spacing w:after="0"/>
              <w:rPr>
                <w:sz w:val="1"/>
                <w:szCs w:val="1"/>
                <w:color w:val="auto"/>
              </w:rPr>
            </w:pPr>
          </w:p>
        </w:tc>
      </w:tr>
      <w:tr>
        <w:trPr>
          <w:trHeight w:val="22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1,036,205</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1,286,652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1,161,027</w:t>
            </w:r>
          </w:p>
        </w:tc>
        <w:tc>
          <w:tcPr>
            <w:tcW w:w="0" w:type="dxa"/>
            <w:vAlign w:val="bottom"/>
          </w:tcPr>
          <w:p>
            <w:pPr>
              <w:spacing w:after="0"/>
              <w:rPr>
                <w:sz w:val="1"/>
                <w:szCs w:val="1"/>
                <w:color w:val="auto"/>
              </w:rPr>
            </w:pPr>
          </w:p>
        </w:tc>
      </w:tr>
      <w:tr>
        <w:trPr>
          <w:trHeight w:val="43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(174,214)</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(168,060)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subsidiary undertakings (net of cash acquired)</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(84,159)</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(71,766)</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Movement of available for sale investments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investments in equity</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 of investments in equity</w:t>
            </w: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(19,871)</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(17,261)</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0" w:type="dxa"/>
            <w:vAlign w:val="bottom"/>
          </w:tcPr>
          <w:p>
            <w:pPr>
              <w:spacing w:after="0"/>
              <w:rPr>
                <w:sz w:val="1"/>
                <w:szCs w:val="1"/>
                <w:color w:val="auto"/>
              </w:rPr>
            </w:pPr>
          </w:p>
        </w:tc>
      </w:tr>
      <w:tr>
        <w:trPr>
          <w:trHeight w:val="22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(187,533)</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(266,790)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(226,653)</w:t>
            </w:r>
          </w:p>
        </w:tc>
        <w:tc>
          <w:tcPr>
            <w:tcW w:w="0" w:type="dxa"/>
            <w:vAlign w:val="bottom"/>
          </w:tcPr>
          <w:p>
            <w:pPr>
              <w:spacing w:after="0"/>
              <w:rPr>
                <w:sz w:val="1"/>
                <w:szCs w:val="1"/>
                <w:color w:val="auto"/>
              </w:rPr>
            </w:pPr>
          </w:p>
        </w:tc>
      </w:tr>
      <w:tr>
        <w:trPr>
          <w:trHeight w:val="43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issue costs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(12,679)</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Drawdown of credit lines and loan facilities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2,317,480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credit lines and loan facilities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(79,762)</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(2,677,763)</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(1,265,000)</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44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36,187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50,973</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issue costs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(499,998)</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 repurchase costs</w:t>
            </w: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(771,257)</w:t>
            </w:r>
          </w:p>
        </w:tc>
        <w:tc>
          <w:tcPr>
            <w:tcW w:w="44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(837,183)</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(844,043)</w:t>
            </w:r>
          </w:p>
        </w:tc>
        <w:tc>
          <w:tcPr>
            <w:tcW w:w="0" w:type="dxa"/>
            <w:vAlign w:val="bottom"/>
          </w:tcPr>
          <w:p>
            <w:pPr>
              <w:spacing w:after="0"/>
              <w:rPr>
                <w:sz w:val="1"/>
                <w:szCs w:val="1"/>
                <w:color w:val="auto"/>
              </w:rPr>
            </w:pPr>
          </w:p>
        </w:tc>
      </w:tr>
      <w:tr>
        <w:trPr>
          <w:trHeight w:val="387"/>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(21,996)</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108,510</w:t>
            </w:r>
          </w:p>
        </w:tc>
        <w:tc>
          <w:tcPr>
            <w:tcW w:w="440" w:type="dxa"/>
            <w:vAlign w:val="bottom"/>
          </w:tcPr>
          <w:p>
            <w:pPr>
              <w:spacing w:after="0"/>
              <w:rPr>
                <w:sz w:val="18"/>
                <w:szCs w:val="18"/>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160,683</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538,785</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378,102</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288,768</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647,295</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538,785</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378,102</w:t>
            </w:r>
          </w:p>
        </w:tc>
        <w:tc>
          <w:tcPr>
            <w:tcW w:w="0" w:type="dxa"/>
            <w:vAlign w:val="bottom"/>
          </w:tcPr>
          <w:p>
            <w:pPr>
              <w:spacing w:after="0"/>
              <w:rPr>
                <w:sz w:val="1"/>
                <w:szCs w:val="1"/>
                <w:color w:val="auto"/>
              </w:rPr>
            </w:pP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320" w:top="100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760"/>
          </w:cols>
          <w:pgMar w:left="320" w:top="1008" w:right="819" w:bottom="1440" w:gutter="0" w:footer="0" w:header="0"/>
          <w:type w:val="continuous"/>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EACH QUARTER AND TWELVE MONTHS ENDED DECEMBER 31, 2025</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6"/>
                <w:szCs w:val="16"/>
                <w:color w:val="auto"/>
              </w:rPr>
            </w:pPr>
          </w:p>
        </w:tc>
        <w:tc>
          <w:tcPr>
            <w:tcW w:w="12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1"/>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40" w:type="dxa"/>
            <w:vAlign w:val="bottom"/>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160,812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(284,183)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229,339</w:t>
            </w: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3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20,351</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12,791</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10,658</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9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3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45,807</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48,097</w:t>
            </w:r>
          </w:p>
        </w:tc>
        <w:tc>
          <w:tcPr>
            <w:tcW w:w="2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48,482</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47,995</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190,381</w:t>
            </w:r>
          </w:p>
        </w:tc>
        <w:tc>
          <w:tcPr>
            <w:tcW w:w="0" w:type="dxa"/>
            <w:vAlign w:val="bottom"/>
          </w:tcPr>
          <w:p>
            <w:pPr>
              <w:spacing w:after="0"/>
              <w:rPr>
                <w:sz w:val="1"/>
                <w:szCs w:val="1"/>
                <w:color w:val="auto"/>
              </w:rPr>
            </w:pPr>
          </w:p>
        </w:tc>
      </w:tr>
      <w:tr>
        <w:trPr>
          <w:trHeight w:val="256"/>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95,958</w:t>
            </w:r>
          </w:p>
        </w:tc>
        <w:tc>
          <w:tcPr>
            <w:tcW w:w="2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97,718</w:t>
            </w:r>
          </w:p>
        </w:tc>
        <w:tc>
          <w:tcPr>
            <w:tcW w:w="24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99,030</w:t>
            </w:r>
          </w:p>
        </w:tc>
        <w:tc>
          <w:tcPr>
            <w:tcW w:w="26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90,290</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382,996</w:t>
            </w:r>
          </w:p>
        </w:tc>
        <w:tc>
          <w:tcPr>
            <w:tcW w:w="0" w:type="dxa"/>
            <w:vAlign w:val="bottom"/>
          </w:tcPr>
          <w:p>
            <w:pPr>
              <w:spacing w:after="0"/>
              <w:rPr>
                <w:sz w:val="1"/>
                <w:szCs w:val="1"/>
                <w:color w:val="auto"/>
              </w:rPr>
            </w:pPr>
          </w:p>
        </w:tc>
      </w:tr>
      <w:tr>
        <w:trPr>
          <w:trHeight w:val="319"/>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12,294</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46,191</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30,612</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losses / (gains), net </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18,095</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24,015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39,346</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42,950</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79,069</w:t>
            </w: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Transaction, integration related and other </w:t>
            </w:r>
            <w:r>
              <w:rPr>
                <w:rFonts w:ascii="Times New Roman" w:cs="Times New Roman" w:eastAsia="Times New Roman" w:hAnsi="Times New Roman"/>
                <w:sz w:val="23"/>
                <w:szCs w:val="23"/>
                <w:color w:val="auto"/>
                <w:vertAlign w:val="superscript"/>
              </w:rPr>
              <w:t>(d)</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5,404</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6,717</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7,020</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Fair value movement on investments in equity </w:t>
            </w:r>
            <w:r>
              <w:rPr>
                <w:rFonts w:ascii="Times New Roman" w:cs="Times New Roman" w:eastAsia="Times New Roman" w:hAnsi="Times New Roman"/>
                <w:sz w:val="23"/>
                <w:szCs w:val="23"/>
                <w:color w:val="auto"/>
                <w:vertAlign w:val="superscript"/>
              </w:rPr>
              <w:t>(f)</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0" w:type="dxa"/>
            <w:vAlign w:val="bottom"/>
          </w:tcPr>
          <w:p>
            <w:pPr>
              <w:spacing w:after="0"/>
              <w:rPr>
                <w:sz w:val="1"/>
                <w:szCs w:val="1"/>
                <w:color w:val="auto"/>
              </w:rPr>
            </w:pPr>
          </w:p>
        </w:tc>
      </w:tr>
      <w:tr>
        <w:trPr>
          <w:trHeight w:val="229"/>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(g)</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364,248</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364,248</w:t>
            </w: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ind w:left="40"/>
              <w:spacing w:after="0" w:line="234" w:lineRule="exact"/>
              <w:rPr>
                <w:sz w:val="20"/>
                <w:szCs w:val="20"/>
                <w:color w:val="auto"/>
              </w:rPr>
            </w:pPr>
            <w:r>
              <w:rPr>
                <w:rFonts w:ascii="Times New Roman" w:cs="Times New Roman" w:eastAsia="Times New Roman" w:hAnsi="Times New Roman"/>
                <w:sz w:val="18"/>
                <w:szCs w:val="18"/>
                <w:color w:val="auto"/>
              </w:rPr>
              <w:t xml:space="preserve">Impairment of non-financial assets </w:t>
            </w:r>
            <w:r>
              <w:rPr>
                <w:rFonts w:ascii="Times New Roman" w:cs="Times New Roman" w:eastAsia="Times New Roman" w:hAnsi="Times New Roman"/>
                <w:sz w:val="23"/>
                <w:szCs w:val="23"/>
                <w:color w:val="auto"/>
                <w:vertAlign w:val="superscript"/>
              </w:rPr>
              <w:t>(h)</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101,027</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101,027</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398,067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417,772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387,746</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327,101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1,530,686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 net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per Ordinary Share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160,812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(284,183)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229,339</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20,351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(20,674)</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12,791</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23,126</w:t>
            </w: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58,946</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59,057</w:t>
            </w: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58,688</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50,529</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227,220</w:t>
            </w:r>
          </w:p>
        </w:tc>
        <w:tc>
          <w:tcPr>
            <w:tcW w:w="0" w:type="dxa"/>
            <w:vAlign w:val="bottom"/>
          </w:tcPr>
          <w:p>
            <w:pPr>
              <w:spacing w:after="0"/>
              <w:rPr>
                <w:sz w:val="1"/>
                <w:szCs w:val="1"/>
                <w:color w:val="auto"/>
              </w:rPr>
            </w:pPr>
          </w:p>
        </w:tc>
      </w:tr>
      <w:tr>
        <w:trPr>
          <w:trHeight w:val="319"/>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12,294</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15,433</w:t>
            </w:r>
          </w:p>
        </w:tc>
        <w:tc>
          <w:tcPr>
            <w:tcW w:w="2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46,191</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30,612</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104,530</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losses / (gains), net </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18,095</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24,015</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4,061</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39,311</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39,346</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42,950</w:t>
            </w:r>
          </w:p>
        </w:tc>
        <w:tc>
          <w:tcPr>
            <w:tcW w:w="2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79,069</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integration related and other </w:t>
            </w:r>
            <w:r>
              <w:rPr>
                <w:rFonts w:ascii="Times New Roman" w:cs="Times New Roman" w:eastAsia="Times New Roman" w:hAnsi="Times New Roman"/>
                <w:sz w:val="23"/>
                <w:szCs w:val="23"/>
                <w:color w:val="auto"/>
                <w:vertAlign w:val="superscript"/>
              </w:rPr>
              <w:t>(d)</w:t>
            </w:r>
          </w:p>
        </w:tc>
        <w:tc>
          <w:tcPr>
            <w:tcW w:w="3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5,404</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6,717</w:t>
            </w: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7,020</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12,626</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0" w:type="dxa"/>
            <w:vAlign w:val="bottom"/>
          </w:tcPr>
          <w:p>
            <w:pPr>
              <w:spacing w:after="0"/>
              <w:rPr>
                <w:sz w:val="1"/>
                <w:szCs w:val="1"/>
                <w:color w:val="auto"/>
              </w:rPr>
            </w:pPr>
          </w:p>
        </w:tc>
      </w:tr>
      <w:tr>
        <w:trPr>
          <w:trHeight w:val="28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Transaction-related financing costs </w:t>
            </w:r>
            <w:r>
              <w:rPr>
                <w:rFonts w:ascii="Times New Roman" w:cs="Times New Roman" w:eastAsia="Times New Roman" w:hAnsi="Times New Roman"/>
                <w:sz w:val="23"/>
                <w:szCs w:val="23"/>
                <w:color w:val="auto"/>
                <w:vertAlign w:val="superscript"/>
              </w:rPr>
              <w:t>(e)</w:t>
            </w:r>
          </w:p>
        </w:tc>
        <w:tc>
          <w:tcPr>
            <w:tcW w:w="34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2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Fair value movement on investments in equity </w:t>
            </w:r>
            <w:r>
              <w:rPr>
                <w:rFonts w:ascii="Times New Roman" w:cs="Times New Roman" w:eastAsia="Times New Roman" w:hAnsi="Times New Roman"/>
                <w:sz w:val="23"/>
                <w:szCs w:val="23"/>
                <w:color w:val="auto"/>
                <w:vertAlign w:val="superscript"/>
              </w:rPr>
              <w:t>(f)</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(g)</w:t>
            </w:r>
          </w:p>
        </w:tc>
        <w:tc>
          <w:tcPr>
            <w:tcW w:w="3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364,248</w:t>
            </w:r>
          </w:p>
        </w:tc>
        <w:tc>
          <w:tcPr>
            <w:tcW w:w="26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364,248</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Impairment of non-financial assets </w:t>
            </w:r>
            <w:r>
              <w:rPr>
                <w:rFonts w:ascii="Times New Roman" w:cs="Times New Roman" w:eastAsia="Times New Roman" w:hAnsi="Times New Roman"/>
                <w:sz w:val="23"/>
                <w:szCs w:val="23"/>
                <w:color w:val="auto"/>
                <w:vertAlign w:val="superscript"/>
              </w:rPr>
              <w:t>(h)</w:t>
            </w:r>
          </w:p>
        </w:tc>
        <w:tc>
          <w:tcPr>
            <w:tcW w:w="3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101,027</w:t>
            </w: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101,027</w:t>
            </w:r>
          </w:p>
        </w:tc>
        <w:tc>
          <w:tcPr>
            <w:tcW w:w="0" w:type="dxa"/>
            <w:vAlign w:val="bottom"/>
          </w:tcPr>
          <w:p>
            <w:pPr>
              <w:spacing w:after="0"/>
              <w:rPr>
                <w:sz w:val="1"/>
                <w:szCs w:val="1"/>
                <w:color w:val="auto"/>
              </w:rPr>
            </w:pPr>
          </w:p>
        </w:tc>
      </w:tr>
      <w:tr>
        <w:trPr>
          <w:trHeight w:val="288"/>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3"/>
                <w:szCs w:val="23"/>
                <w:color w:val="auto"/>
                <w:vertAlign w:val="superscript"/>
              </w:rPr>
              <w:t>(i)</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(51,941)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(50,771)</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(200,680)</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264,772</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280,314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249,650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195,093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989,829</w:t>
            </w:r>
          </w:p>
        </w:tc>
        <w:tc>
          <w:tcPr>
            <w:tcW w:w="0" w:type="dxa"/>
            <w:vAlign w:val="bottom"/>
          </w:tcPr>
          <w:p>
            <w:pPr>
              <w:spacing w:after="0"/>
              <w:rPr>
                <w:sz w:val="1"/>
                <w:szCs w:val="1"/>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number of Ordinary</w:t>
            </w:r>
          </w:p>
        </w:tc>
        <w:tc>
          <w:tcPr>
            <w:tcW w:w="340" w:type="dxa"/>
            <w:vAlign w:val="bottom"/>
          </w:tcPr>
          <w:p>
            <w:pPr>
              <w:spacing w:after="0"/>
              <w:rPr>
                <w:sz w:val="24"/>
                <w:szCs w:val="24"/>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80,924,355</w:t>
            </w:r>
          </w:p>
        </w:tc>
        <w:tc>
          <w:tcPr>
            <w:tcW w:w="260" w:type="dxa"/>
            <w:vAlign w:val="bottom"/>
          </w:tcPr>
          <w:p>
            <w:pPr>
              <w:spacing w:after="0"/>
              <w:rPr>
                <w:sz w:val="24"/>
                <w:szCs w:val="24"/>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79,547,444</w:t>
            </w:r>
          </w:p>
        </w:tc>
        <w:tc>
          <w:tcPr>
            <w:tcW w:w="240" w:type="dxa"/>
            <w:vAlign w:val="bottom"/>
          </w:tcPr>
          <w:p>
            <w:pPr>
              <w:spacing w:after="0"/>
              <w:rPr>
                <w:sz w:val="24"/>
                <w:szCs w:val="24"/>
                <w:color w:val="auto"/>
              </w:rPr>
            </w:pP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78,082,459</w:t>
            </w:r>
          </w:p>
        </w:tc>
        <w:tc>
          <w:tcPr>
            <w:tcW w:w="260" w:type="dxa"/>
            <w:vAlign w:val="bottom"/>
          </w:tcPr>
          <w:p>
            <w:pPr>
              <w:spacing w:after="0"/>
              <w:rPr>
                <w:sz w:val="24"/>
                <w:szCs w:val="24"/>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77,307,279</w:t>
            </w:r>
          </w:p>
        </w:tc>
        <w:tc>
          <w:tcPr>
            <w:tcW w:w="22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78,965,385</w:t>
            </w:r>
          </w:p>
        </w:tc>
        <w:tc>
          <w:tcPr>
            <w:tcW w:w="0" w:type="dxa"/>
            <w:vAlign w:val="bottom"/>
          </w:tcPr>
          <w:p>
            <w:pPr>
              <w:spacing w:after="0"/>
              <w:rPr>
                <w:sz w:val="1"/>
                <w:szCs w:val="1"/>
                <w:color w:val="auto"/>
              </w:rPr>
            </w:pPr>
          </w:p>
        </w:tc>
      </w:tr>
      <w:tr>
        <w:trPr>
          <w:trHeight w:val="140"/>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 outstanding</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121"/>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66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1008" w:right="51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EACH QUARTER AND TWELVE MONTHS ENDED DECEMBER 31, 2024</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1"/>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148,337</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294,745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739,126</w:t>
            </w:r>
          </w:p>
        </w:tc>
        <w:tc>
          <w:tcPr>
            <w:tcW w:w="0" w:type="dxa"/>
            <w:vAlign w:val="bottom"/>
          </w:tcPr>
          <w:p>
            <w:pPr>
              <w:spacing w:after="0"/>
              <w:rPr>
                <w:sz w:val="1"/>
                <w:szCs w:val="1"/>
                <w:color w:val="auto"/>
              </w:rPr>
            </w:pPr>
          </w:p>
        </w:tc>
      </w:tr>
      <w:tr>
        <w:trPr>
          <w:trHeight w:val="23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38,432</w:t>
            </w: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69,735</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59,603</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48,421</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228,628</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149,635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96,655</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488,500</w:t>
            </w:r>
          </w:p>
        </w:tc>
        <w:tc>
          <w:tcPr>
            <w:tcW w:w="0" w:type="dxa"/>
            <w:vAlign w:val="bottom"/>
          </w:tcPr>
          <w:p>
            <w:pPr>
              <w:spacing w:after="0"/>
              <w:rPr>
                <w:sz w:val="1"/>
                <w:szCs w:val="1"/>
                <w:color w:val="auto"/>
              </w:rPr>
            </w:pPr>
          </w:p>
        </w:tc>
      </w:tr>
      <w:tr>
        <w:trPr>
          <w:trHeight w:val="36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4,687</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0" w:type="dxa"/>
            <w:vAlign w:val="bottom"/>
          </w:tcPr>
          <w:p>
            <w:pPr>
              <w:spacing w:after="0"/>
              <w:rPr>
                <w:sz w:val="1"/>
                <w:szCs w:val="1"/>
                <w:color w:val="auto"/>
              </w:rPr>
            </w:pPr>
          </w:p>
        </w:tc>
      </w:tr>
      <w:tr>
        <w:trPr>
          <w:trHeight w:val="32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(gains) / losses, net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0" w:type="dxa"/>
            <w:vAlign w:val="bottom"/>
          </w:tcPr>
          <w:p>
            <w:pPr>
              <w:spacing w:after="0"/>
              <w:rPr>
                <w:sz w:val="1"/>
                <w:szCs w:val="1"/>
                <w:color w:val="auto"/>
              </w:rPr>
            </w:pPr>
          </w:p>
        </w:tc>
      </w:tr>
      <w:tr>
        <w:trPr>
          <w:trHeight w:val="28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46,334</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92,123</w:t>
            </w: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40"/>
              <w:spacing w:after="0" w:line="234" w:lineRule="exact"/>
              <w:rPr>
                <w:sz w:val="20"/>
                <w:szCs w:val="20"/>
                <w:color w:val="auto"/>
              </w:rPr>
            </w:pPr>
            <w:r>
              <w:rPr>
                <w:rFonts w:ascii="Times New Roman" w:cs="Times New Roman" w:eastAsia="Times New Roman" w:hAnsi="Times New Roman"/>
                <w:sz w:val="18"/>
                <w:szCs w:val="18"/>
                <w:color w:val="auto"/>
              </w:rPr>
              <w:t xml:space="preserve">Transaction and integration related </w:t>
            </w:r>
            <w:r>
              <w:rPr>
                <w:rFonts w:ascii="Times New Roman" w:cs="Times New Roman" w:eastAsia="Times New Roman" w:hAnsi="Times New Roman"/>
                <w:sz w:val="23"/>
                <w:szCs w:val="23"/>
                <w:color w:val="auto"/>
                <w:vertAlign w:val="superscript"/>
              </w:rPr>
              <w:t>(d)</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7,907</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400,987</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377,516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435,926</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455,937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1,670,366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148,337</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82,776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213,268</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294,745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739,126</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38,432</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w:t>
            </w:r>
          </w:p>
        </w:tc>
        <w:tc>
          <w:tcPr>
            <w:tcW w:w="0" w:type="dxa"/>
            <w:vAlign w:val="bottom"/>
          </w:tcPr>
          <w:p>
            <w:pPr>
              <w:spacing w:after="0"/>
              <w:rPr>
                <w:sz w:val="1"/>
                <w:szCs w:val="1"/>
                <w:color w:val="auto"/>
              </w:rPr>
            </w:pPr>
          </w:p>
        </w:tc>
      </w:tr>
      <w:tr>
        <w:trPr>
          <w:trHeight w:val="23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116,498</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116,489</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w:t>
            </w:r>
          </w:p>
        </w:tc>
        <w:tc>
          <w:tcPr>
            <w:tcW w:w="4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59,278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350,291</w:t>
            </w:r>
          </w:p>
        </w:tc>
        <w:tc>
          <w:tcPr>
            <w:tcW w:w="0" w:type="dxa"/>
            <w:vAlign w:val="bottom"/>
          </w:tcPr>
          <w:p>
            <w:pPr>
              <w:spacing w:after="0"/>
              <w:rPr>
                <w:sz w:val="1"/>
                <w:szCs w:val="1"/>
                <w:color w:val="auto"/>
              </w:rPr>
            </w:pPr>
          </w:p>
        </w:tc>
      </w:tr>
      <w:tr>
        <w:trPr>
          <w:trHeight w:val="36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4,687</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0" w:type="dxa"/>
            <w:vAlign w:val="bottom"/>
          </w:tcPr>
          <w:p>
            <w:pPr>
              <w:spacing w:after="0"/>
              <w:rPr>
                <w:sz w:val="1"/>
                <w:szCs w:val="1"/>
                <w:color w:val="auto"/>
              </w:rPr>
            </w:pPr>
          </w:p>
        </w:tc>
      </w:tr>
      <w:tr>
        <w:trPr>
          <w:trHeight w:val="32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(gains) / losses, net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0" w:type="dxa"/>
            <w:vAlign w:val="bottom"/>
          </w:tcPr>
          <w:p>
            <w:pPr>
              <w:spacing w:after="0"/>
              <w:rPr>
                <w:sz w:val="1"/>
                <w:szCs w:val="1"/>
                <w:color w:val="auto"/>
              </w:rPr>
            </w:pPr>
          </w:p>
        </w:tc>
      </w:tr>
      <w:tr>
        <w:trPr>
          <w:trHeight w:val="28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46,334</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92,123</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4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7,907</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324"/>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Transaction-related financing costs </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4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1,467</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23,533</w:t>
            </w:r>
          </w:p>
        </w:tc>
        <w:tc>
          <w:tcPr>
            <w:tcW w:w="0" w:type="dxa"/>
            <w:vAlign w:val="bottom"/>
          </w:tcPr>
          <w:p>
            <w:pPr>
              <w:spacing w:after="0"/>
              <w:rPr>
                <w:sz w:val="1"/>
                <w:szCs w:val="1"/>
                <w:color w:val="auto"/>
              </w:rPr>
            </w:pPr>
          </w:p>
        </w:tc>
      </w:tr>
      <w:tr>
        <w:trPr>
          <w:trHeight w:val="288"/>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(52,933)</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(52,756)</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(56,946)</w:t>
            </w: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(216,889)</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249,543</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294,570</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317,352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1,110,173</w:t>
            </w:r>
          </w:p>
        </w:tc>
        <w:tc>
          <w:tcPr>
            <w:tcW w:w="0" w:type="dxa"/>
            <w:vAlign w:val="bottom"/>
          </w:tcPr>
          <w:p>
            <w:pPr>
              <w:spacing w:after="0"/>
              <w:rPr>
                <w:sz w:val="1"/>
                <w:szCs w:val="1"/>
                <w:color w:val="auto"/>
              </w:rPr>
            </w:pP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number of Ordinary</w:t>
            </w:r>
          </w:p>
        </w:tc>
        <w:tc>
          <w:tcPr>
            <w:tcW w:w="26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83,249,303</w:t>
            </w:r>
          </w:p>
        </w:tc>
        <w:tc>
          <w:tcPr>
            <w:tcW w:w="4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83,360,841</w:t>
            </w:r>
          </w:p>
        </w:tc>
        <w:tc>
          <w:tcPr>
            <w:tcW w:w="42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83,445,827</w:t>
            </w:r>
          </w:p>
        </w:tc>
        <w:tc>
          <w:tcPr>
            <w:tcW w:w="460" w:type="dxa"/>
            <w:vAlign w:val="bottom"/>
          </w:tcPr>
          <w:p>
            <w:pPr>
              <w:spacing w:after="0"/>
              <w:rPr>
                <w:sz w:val="24"/>
                <w:szCs w:val="24"/>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82,236,018</w:t>
            </w:r>
          </w:p>
        </w:tc>
        <w:tc>
          <w:tcPr>
            <w:tcW w:w="22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83,032,424</w:t>
            </w:r>
          </w:p>
        </w:tc>
        <w:tc>
          <w:tcPr>
            <w:tcW w:w="0" w:type="dxa"/>
            <w:vAlign w:val="bottom"/>
          </w:tcPr>
          <w:p>
            <w:pPr>
              <w:spacing w:after="0"/>
              <w:rPr>
                <w:sz w:val="1"/>
                <w:szCs w:val="1"/>
                <w:color w:val="auto"/>
              </w:rPr>
            </w:pPr>
          </w:p>
        </w:tc>
      </w:tr>
      <w:tr>
        <w:trPr>
          <w:trHeight w:val="140"/>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 outstanding</w:t>
            </w: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122"/>
        </w:trPr>
        <w:tc>
          <w:tcPr>
            <w:tcW w:w="3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46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008" w:right="359" w:bottom="1440" w:gutter="0" w:footer="0" w:header="0"/>
        </w:sectPr>
      </w:pPr>
    </w:p>
    <w:bookmarkStart w:id="13" w:name="page14"/>
    <w:bookmarkEnd w:id="13"/>
    <w:p>
      <w:pPr>
        <w:ind w:left="55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FOR EACH QUARTER AND TWELVE MONTHS ENDED DECEMBER 31, 2023</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6"/>
                <w:szCs w:val="16"/>
                <w:color w:val="auto"/>
              </w:rPr>
            </w:pPr>
          </w:p>
        </w:tc>
        <w:tc>
          <w:tcPr>
            <w:tcW w:w="11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6"/>
                <w:szCs w:val="16"/>
                <w:color w:val="auto"/>
              </w:rPr>
            </w:pPr>
          </w:p>
        </w:tc>
        <w:tc>
          <w:tcPr>
            <w:tcW w:w="11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6"/>
                <w:szCs w:val="16"/>
                <w:color w:val="auto"/>
              </w:rPr>
            </w:pP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6"/>
                <w:szCs w:val="16"/>
                <w:color w:val="auto"/>
              </w:rPr>
            </w:pPr>
          </w:p>
        </w:tc>
        <w:tc>
          <w:tcPr>
            <w:tcW w:w="13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108,877</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183,385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554,208</w:t>
            </w:r>
          </w:p>
        </w:tc>
        <w:tc>
          <w:tcPr>
            <w:tcW w:w="0" w:type="dxa"/>
            <w:vAlign w:val="bottom"/>
          </w:tcPr>
          <w:p>
            <w:pPr>
              <w:spacing w:after="0"/>
              <w:rPr>
                <w:sz w:val="1"/>
                <w:szCs w:val="1"/>
                <w:color w:val="auto"/>
              </w:rPr>
            </w:pPr>
          </w:p>
        </w:tc>
      </w:tr>
      <w:tr>
        <w:trPr>
          <w:trHeight w:val="189"/>
        </w:trPr>
        <w:tc>
          <w:tcPr>
            <w:tcW w:w="34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Share of losses from equity method</w:t>
            </w:r>
          </w:p>
        </w:tc>
        <w:tc>
          <w:tcPr>
            <w:tcW w:w="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6"/>
                <w:szCs w:val="16"/>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140"/>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interest expense</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85,479</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84,257</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82,635</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79,314</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331,685</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145,126</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146,032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149,733</w:t>
            </w: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585,950</w:t>
            </w:r>
          </w:p>
        </w:tc>
        <w:tc>
          <w:tcPr>
            <w:tcW w:w="0" w:type="dxa"/>
            <w:vAlign w:val="bottom"/>
          </w:tcPr>
          <w:p>
            <w:pPr>
              <w:spacing w:after="0"/>
              <w:rPr>
                <w:sz w:val="1"/>
                <w:szCs w:val="1"/>
                <w:color w:val="auto"/>
              </w:rPr>
            </w:pPr>
          </w:p>
        </w:tc>
      </w:tr>
      <w:tr>
        <w:trPr>
          <w:trHeight w:val="36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7,845</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55,667</w:t>
            </w:r>
          </w:p>
        </w:tc>
        <w:tc>
          <w:tcPr>
            <w:tcW w:w="0" w:type="dxa"/>
            <w:vAlign w:val="bottom"/>
          </w:tcPr>
          <w:p>
            <w:pPr>
              <w:spacing w:after="0"/>
              <w:rPr>
                <w:sz w:val="1"/>
                <w:szCs w:val="1"/>
                <w:color w:val="auto"/>
              </w:rPr>
            </w:pPr>
          </w:p>
        </w:tc>
      </w:tr>
      <w:tr>
        <w:trPr>
          <w:trHeight w:val="32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losses / (gains), net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15,381</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0" w:type="dxa"/>
            <w:vAlign w:val="bottom"/>
          </w:tcPr>
          <w:p>
            <w:pPr>
              <w:spacing w:after="0"/>
              <w:rPr>
                <w:sz w:val="1"/>
                <w:szCs w:val="1"/>
                <w:color w:val="auto"/>
              </w:rPr>
            </w:pPr>
          </w:p>
        </w:tc>
      </w:tr>
      <w:tr>
        <w:trPr>
          <w:trHeight w:val="32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(j)</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8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0" w:type="dxa"/>
            <w:vAlign w:val="bottom"/>
          </w:tcPr>
          <w:p>
            <w:pPr>
              <w:spacing w:after="0"/>
              <w:rPr>
                <w:sz w:val="1"/>
                <w:szCs w:val="1"/>
                <w:color w:val="auto"/>
              </w:rPr>
            </w:pPr>
          </w:p>
        </w:tc>
      </w:tr>
      <w:tr>
        <w:trPr>
          <w:trHeight w:val="234"/>
        </w:trPr>
        <w:tc>
          <w:tcPr>
            <w:tcW w:w="3420" w:type="dxa"/>
            <w:vAlign w:val="bottom"/>
            <w:tcBorders>
              <w:bottom w:val="single" w:sz="8" w:color="auto"/>
            </w:tcBorders>
          </w:tcPr>
          <w:p>
            <w:pPr>
              <w:ind w:left="40"/>
              <w:spacing w:after="0" w:line="234" w:lineRule="exact"/>
              <w:rPr>
                <w:sz w:val="20"/>
                <w:szCs w:val="20"/>
                <w:color w:val="auto"/>
              </w:rPr>
            </w:pPr>
            <w:r>
              <w:rPr>
                <w:rFonts w:ascii="Times New Roman" w:cs="Times New Roman" w:eastAsia="Times New Roman" w:hAnsi="Times New Roman"/>
                <w:sz w:val="18"/>
                <w:szCs w:val="18"/>
                <w:color w:val="auto"/>
              </w:rPr>
              <w:t xml:space="preserve">Transaction and integration related </w:t>
            </w:r>
            <w:r>
              <w:rPr>
                <w:rFonts w:ascii="Times New Roman" w:cs="Times New Roman" w:eastAsia="Times New Roman" w:hAnsi="Times New Roman"/>
                <w:sz w:val="23"/>
                <w:szCs w:val="23"/>
                <w:color w:val="auto"/>
                <w:vertAlign w:val="superscript"/>
              </w:rPr>
              <w:t>(d)</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389,977</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405,330</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426,152</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1,642,603</w:t>
            </w:r>
          </w:p>
        </w:tc>
        <w:tc>
          <w:tcPr>
            <w:tcW w:w="0" w:type="dxa"/>
            <w:vAlign w:val="bottom"/>
          </w:tcPr>
          <w:p>
            <w:pPr>
              <w:spacing w:after="0"/>
              <w:rPr>
                <w:sz w:val="1"/>
                <w:szCs w:val="1"/>
                <w:color w:val="auto"/>
              </w:rPr>
            </w:pP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and adjusted diluted</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Ordinary Share</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108,877</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183,385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554,208</w:t>
            </w:r>
          </w:p>
        </w:tc>
        <w:tc>
          <w:tcPr>
            <w:tcW w:w="0" w:type="dxa"/>
            <w:vAlign w:val="bottom"/>
          </w:tcPr>
          <w:p>
            <w:pPr>
              <w:spacing w:after="0"/>
              <w:rPr>
                <w:sz w:val="1"/>
                <w:szCs w:val="1"/>
                <w:color w:val="auto"/>
              </w:rPr>
            </w:pPr>
          </w:p>
        </w:tc>
      </w:tr>
      <w:tr>
        <w:trPr>
          <w:trHeight w:val="23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 (benefit)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16,384</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0" w:type="dxa"/>
            <w:vAlign w:val="bottom"/>
          </w:tcPr>
          <w:p>
            <w:pPr>
              <w:spacing w:after="0"/>
              <w:rPr>
                <w:sz w:val="1"/>
                <w:szCs w:val="1"/>
                <w:color w:val="auto"/>
              </w:rPr>
            </w:pPr>
          </w:p>
        </w:tc>
      </w:tr>
      <w:tr>
        <w:trPr>
          <w:trHeight w:val="23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114,678</w:t>
            </w:r>
          </w:p>
        </w:tc>
        <w:tc>
          <w:tcPr>
            <w:tcW w:w="4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114,617</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114,573</w:t>
            </w:r>
          </w:p>
        </w:tc>
        <w:tc>
          <w:tcPr>
            <w:tcW w:w="44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115,986</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459,854</w:t>
            </w:r>
          </w:p>
        </w:tc>
        <w:tc>
          <w:tcPr>
            <w:tcW w:w="0" w:type="dxa"/>
            <w:vAlign w:val="bottom"/>
          </w:tcPr>
          <w:p>
            <w:pPr>
              <w:spacing w:after="0"/>
              <w:rPr>
                <w:sz w:val="1"/>
                <w:szCs w:val="1"/>
                <w:color w:val="auto"/>
              </w:rPr>
            </w:pPr>
          </w:p>
        </w:tc>
      </w:tr>
      <w:tr>
        <w:trPr>
          <w:trHeight w:val="36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7,845</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55,667</w:t>
            </w:r>
          </w:p>
        </w:tc>
        <w:tc>
          <w:tcPr>
            <w:tcW w:w="0" w:type="dxa"/>
            <w:vAlign w:val="bottom"/>
          </w:tcPr>
          <w:p>
            <w:pPr>
              <w:spacing w:after="0"/>
              <w:rPr>
                <w:sz w:val="1"/>
                <w:szCs w:val="1"/>
                <w:color w:val="auto"/>
              </w:rPr>
            </w:pPr>
          </w:p>
        </w:tc>
      </w:tr>
      <w:tr>
        <w:trPr>
          <w:trHeight w:val="32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Foreign currency losses / (gains), net </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15,381</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0" w:type="dxa"/>
            <w:vAlign w:val="bottom"/>
          </w:tcPr>
          <w:p>
            <w:pPr>
              <w:spacing w:after="0"/>
              <w:rPr>
                <w:sz w:val="1"/>
                <w:szCs w:val="1"/>
                <w:color w:val="auto"/>
              </w:rPr>
            </w:pPr>
          </w:p>
        </w:tc>
      </w:tr>
      <w:tr>
        <w:trPr>
          <w:trHeight w:val="32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0" w:type="dxa"/>
            <w:vAlign w:val="bottom"/>
          </w:tcPr>
          <w:p>
            <w:pPr>
              <w:spacing w:after="0"/>
              <w:rPr>
                <w:sz w:val="1"/>
                <w:szCs w:val="1"/>
                <w:color w:val="auto"/>
              </w:rPr>
            </w:pPr>
          </w:p>
        </w:tc>
      </w:tr>
      <w:tr>
        <w:trPr>
          <w:trHeight w:val="28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Oncacare (gain) </w:t>
            </w:r>
            <w:r>
              <w:rPr>
                <w:rFonts w:ascii="Times New Roman" w:cs="Times New Roman" w:eastAsia="Times New Roman" w:hAnsi="Times New Roman"/>
                <w:sz w:val="23"/>
                <w:szCs w:val="23"/>
                <w:color w:val="auto"/>
                <w:vertAlign w:val="superscript"/>
              </w:rPr>
              <w:t>(j)</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 and integration related </w:t>
            </w:r>
            <w:r>
              <w:rPr>
                <w:rFonts w:ascii="Times New Roman" w:cs="Times New Roman" w:eastAsia="Times New Roman" w:hAnsi="Times New Roman"/>
                <w:sz w:val="23"/>
                <w:szCs w:val="23"/>
                <w:color w:val="auto"/>
                <w:vertAlign w:val="superscript"/>
              </w:rPr>
              <w:t>(d)</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4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44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9,660</w:t>
            </w:r>
          </w:p>
        </w:tc>
        <w:tc>
          <w:tcPr>
            <w:tcW w:w="2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44,176</w:t>
            </w:r>
          </w:p>
        </w:tc>
        <w:tc>
          <w:tcPr>
            <w:tcW w:w="0" w:type="dxa"/>
            <w:vAlign w:val="bottom"/>
          </w:tcPr>
          <w:p>
            <w:pPr>
              <w:spacing w:after="0"/>
              <w:rPr>
                <w:sz w:val="1"/>
                <w:szCs w:val="1"/>
                <w:color w:val="auto"/>
              </w:rPr>
            </w:pPr>
          </w:p>
        </w:tc>
      </w:tr>
      <w:tr>
        <w:trPr>
          <w:trHeight w:val="324"/>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Transaction-related financing costs </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4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3,916</w:t>
            </w: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288"/>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3"/>
                <w:szCs w:val="23"/>
                <w:color w:val="auto"/>
                <w:vertAlign w:val="superscript"/>
              </w:rPr>
              <w:t>(i)</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4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(47,369)</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(62,450)</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(200,409)</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249,339</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264,268</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254,557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1,000,432</w:t>
            </w: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number of Ordinary</w:t>
            </w:r>
          </w:p>
        </w:tc>
        <w:tc>
          <w:tcPr>
            <w:tcW w:w="2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82,605,659</w:t>
            </w:r>
          </w:p>
        </w:tc>
        <w:tc>
          <w:tcPr>
            <w:tcW w:w="46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82,627,933</w:t>
            </w:r>
          </w:p>
        </w:tc>
        <w:tc>
          <w:tcPr>
            <w:tcW w:w="44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82,972,888</w:t>
            </w:r>
          </w:p>
        </w:tc>
        <w:tc>
          <w:tcPr>
            <w:tcW w:w="440" w:type="dxa"/>
            <w:vAlign w:val="bottom"/>
          </w:tcPr>
          <w:p>
            <w:pPr>
              <w:spacing w:after="0"/>
              <w:rPr>
                <w:sz w:val="24"/>
                <w:szCs w:val="24"/>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83,112,757</w:t>
            </w:r>
          </w:p>
        </w:tc>
        <w:tc>
          <w:tcPr>
            <w:tcW w:w="240" w:type="dxa"/>
            <w:vAlign w:val="bottom"/>
          </w:tcPr>
          <w:p>
            <w:pPr>
              <w:spacing w:after="0"/>
              <w:rPr>
                <w:sz w:val="24"/>
                <w:szCs w:val="2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82,717,640</w:t>
            </w:r>
          </w:p>
        </w:tc>
        <w:tc>
          <w:tcPr>
            <w:tcW w:w="0" w:type="dxa"/>
            <w:vAlign w:val="bottom"/>
          </w:tcPr>
          <w:p>
            <w:pPr>
              <w:spacing w:after="0"/>
              <w:rPr>
                <w:sz w:val="1"/>
                <w:szCs w:val="1"/>
                <w:color w:val="auto"/>
              </w:rPr>
            </w:pPr>
          </w:p>
        </w:tc>
      </w:tr>
      <w:tr>
        <w:trPr>
          <w:trHeight w:val="140"/>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 outstanding</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w:t>
            </w: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122"/>
        </w:trPr>
        <w:tc>
          <w:tcPr>
            <w:tcW w:w="3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008" w:right="359" w:bottom="1440" w:gutter="0" w:footer="0" w:header="0"/>
        </w:sectPr>
      </w:pPr>
    </w:p>
    <w:bookmarkStart w:id="14" w:name="page15"/>
    <w:bookmarkEnd w:id="14"/>
    <w:p>
      <w:pPr>
        <w:ind w:left="660" w:hanging="328"/>
        <w:spacing w:after="0" w:line="261"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the amount of expense related to the Company’s equity compensation programs (inclusive of employer related taxes).</w:t>
      </w:r>
    </w:p>
    <w:p>
      <w:pPr>
        <w:jc w:val="both"/>
        <w:ind w:left="660" w:hanging="328"/>
        <w:spacing w:after="0" w:line="250"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(gains) / losses, net relates to losses or gains that arise in connection with the revaluation, or settlement, of non-US dollar denominated assets and liabilities. We exclude these losses and gains from adjusted EBITDA and adjusted net income because fluctuations from period-to-period do not necessarily correspond to changes in our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jc w:val="both"/>
        <w:ind w:left="660" w:hanging="328"/>
        <w:spacing w:after="0" w:line="250"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integration related and other costs include expenses associated with our acquisitions and any other costs incurred directly related to the integration of these acquisitions. Further, costs incurred in quarter four 2025 relating to the Investigation, including out of scope audit fees resulting from the impact of the investigation, and in defense of the Putative Class Action are classified within this category.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movement on investments in equity. We exclude these movements from adjusted EBITDA and adjusted net income because fluctuations from period-to-period do not necessarily correspond to changes in our operating results.</w:t>
      </w: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relates to an impairment of goodwill allocated to the Company's Data Solutions reporting unit.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non-financial assets relates to an impairment of the carrying amount of the property, plant and equipment and intangible assets of the Company's Data Solutions reporting unit.</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 of adjusted pre-tax income at our estimated effective tax rate.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2023, the Company completed the purchase of the majority investor’s 51% majority voting share capital of Oncacare Limited (“Oncacare”). This gave rise to an acquisition-related gain of $6.2 million. This gain was excluded from adjusted EBITDA and adjusted net income.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ectPr>
          <w:pgSz w:w="11900" w:h="16838" w:orient="portrait"/>
          <w:cols w:equalWidth="0" w:num="1">
            <w:col w:w="11240"/>
          </w:cols>
          <w:pgMar w:left="320" w:top="1012"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Kate Haven Vice President Investor Relations +1 888 381 7923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http://www.iconplc.com</w:t>
      </w:r>
    </w:p>
    <w:p>
      <w:pPr>
        <w:spacing w:after="0" w:line="200" w:lineRule="exact"/>
        <w:rPr>
          <w:sz w:val="20"/>
          <w:szCs w:val="20"/>
          <w:color w:val="auto"/>
        </w:rPr>
      </w:pPr>
    </w:p>
    <w:p>
      <w:pPr>
        <w:sectPr>
          <w:pgSz w:w="11900" w:h="16838" w:orient="portrait"/>
          <w:cols w:equalWidth="0" w:num="2">
            <w:col w:w="640" w:space="560"/>
            <w:col w:w="10040"/>
          </w:cols>
          <w:pgMar w:left="320" w:top="10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10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2026-05-27T16:06:47Z</dcterms:created>
  <dcterms:modified xsi:type="dcterms:W3CDTF">2026-05-27T16:06:47Z</dcterms:modified>
</cp:coreProperties>
</file>