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6"/>
          <w:szCs w:val="16"/>
          <w:color w:val="auto"/>
        </w:rPr>
        <w:t>FORM 6-K</w:t>
      </w:r>
    </w:p>
    <w:p>
      <w:pPr>
        <w:spacing w:after="0" w:line="200" w:lineRule="exact"/>
        <w:rPr>
          <w:sz w:val="24"/>
          <w:szCs w:val="24"/>
          <w:color w:val="auto"/>
        </w:rPr>
      </w:pPr>
    </w:p>
    <w:p>
      <w:pPr>
        <w:spacing w:after="0" w:line="340"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00" w:lineRule="exact"/>
        <w:rPr>
          <w:sz w:val="24"/>
          <w:szCs w:val="24"/>
          <w:color w:val="auto"/>
        </w:rPr>
      </w:pPr>
    </w:p>
    <w:p>
      <w:pPr>
        <w:spacing w:after="0" w:line="340"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4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26"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Pursuant to Rule 13a - 16 under</w:t>
      </w:r>
    </w:p>
    <w:p>
      <w:pPr>
        <w:jc w:val="center"/>
        <w:ind w:right="26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32" w:lineRule="exact"/>
        <w:rPr>
          <w:sz w:val="24"/>
          <w:szCs w:val="24"/>
          <w:color w:val="auto"/>
        </w:rPr>
      </w:pPr>
    </w:p>
    <w:p>
      <w:pPr>
        <w:ind w:left="1600"/>
        <w:spacing w:after="0"/>
        <w:rPr>
          <w:sz w:val="20"/>
          <w:szCs w:val="20"/>
          <w:color w:val="auto"/>
        </w:rPr>
      </w:pPr>
      <w:r>
        <w:rPr>
          <w:rFonts w:ascii="Courier New" w:cs="Courier New" w:eastAsia="Courier New" w:hAnsi="Courier New"/>
          <w:sz w:val="16"/>
          <w:szCs w:val="16"/>
          <w:color w:val="auto"/>
        </w:rPr>
        <w:t>For the quarterly period ended August 31, 2002</w:t>
      </w:r>
    </w:p>
    <w:p>
      <w:pPr>
        <w:spacing w:after="0" w:line="200" w:lineRule="exact"/>
        <w:rPr>
          <w:sz w:val="24"/>
          <w:szCs w:val="24"/>
          <w:color w:val="auto"/>
        </w:rPr>
      </w:pPr>
    </w:p>
    <w:p>
      <w:pPr>
        <w:spacing w:after="0" w:line="340"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ICON plc</w:t>
      </w:r>
    </w:p>
    <w:p>
      <w:pPr>
        <w:spacing w:after="0" w:line="27"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(Registrant's name)</w:t>
      </w:r>
    </w:p>
    <w:p>
      <w:pPr>
        <w:spacing w:after="0" w:line="200" w:lineRule="exact"/>
        <w:rPr>
          <w:sz w:val="24"/>
          <w:szCs w:val="24"/>
          <w:color w:val="auto"/>
        </w:rPr>
      </w:pPr>
    </w:p>
    <w:p>
      <w:pPr>
        <w:spacing w:after="0" w:line="312"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0-29714</w:t>
      </w:r>
    </w:p>
    <w:p>
      <w:pPr>
        <w:spacing w:after="0" w:line="27"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(Commission file number)</w:t>
      </w:r>
    </w:p>
    <w:p>
      <w:pPr>
        <w:spacing w:after="0" w:line="33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27"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32" w:lineRule="exact"/>
        <w:rPr>
          <w:sz w:val="24"/>
          <w:szCs w:val="24"/>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5"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Yes___X___ No_______</w:t>
      </w:r>
    </w:p>
    <w:p>
      <w:pPr>
        <w:spacing w:after="0" w:line="179" w:lineRule="exact"/>
        <w:rPr>
          <w:sz w:val="24"/>
          <w:szCs w:val="24"/>
          <w:color w:val="auto"/>
        </w:rPr>
      </w:pPr>
    </w:p>
    <w:p>
      <w:pPr>
        <w:ind w:right="3179"/>
        <w:spacing w:after="0" w:line="3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5"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Yes______ No___X___</w:t>
      </w:r>
    </w:p>
    <w:p>
      <w:pPr>
        <w:spacing w:after="0" w:line="179" w:lineRule="exact"/>
        <w:rPr>
          <w:sz w:val="24"/>
          <w:szCs w:val="24"/>
          <w:color w:val="auto"/>
        </w:rPr>
      </w:pPr>
    </w:p>
    <w:p>
      <w:pPr>
        <w:ind w:right="3179"/>
        <w:spacing w:after="0" w:line="3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5"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Yes______ No___X___</w:t>
      </w:r>
    </w:p>
    <w:p>
      <w:pPr>
        <w:spacing w:after="0" w:line="179" w:lineRule="exact"/>
        <w:rPr>
          <w:sz w:val="24"/>
          <w:szCs w:val="24"/>
          <w:color w:val="auto"/>
        </w:rPr>
      </w:pPr>
    </w:p>
    <w:p>
      <w:pPr>
        <w:ind w:right="2719"/>
        <w:spacing w:after="0" w:line="321"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40"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Yes_______ No___X___</w:t>
      </w:r>
    </w:p>
    <w:p>
      <w:pPr>
        <w:spacing w:after="0" w:line="179" w:lineRule="exact"/>
        <w:rPr>
          <w:sz w:val="24"/>
          <w:szCs w:val="24"/>
          <w:color w:val="auto"/>
        </w:rPr>
      </w:pPr>
    </w:p>
    <w:p>
      <w:pPr>
        <w:ind w:right="2719"/>
        <w:spacing w:after="0" w:line="348"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ICON plc</w:t>
      </w:r>
    </w:p>
    <w:p>
      <w:pPr>
        <w:spacing w:after="0" w:line="179"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Quarterly Period Ended August 31, 2002</w:t>
      </w:r>
    </w:p>
    <w:p>
      <w:pPr>
        <w:spacing w:after="0" w:line="360" w:lineRule="exact"/>
        <w:rPr>
          <w:sz w:val="24"/>
          <w:szCs w:val="24"/>
          <w:color w:val="auto"/>
        </w:rPr>
      </w:pPr>
    </w:p>
    <w:p>
      <w:pPr>
        <w:spacing w:after="0"/>
        <w:tabs>
          <w:tab w:leader="none" w:pos="6820" w:val="left"/>
        </w:tabs>
        <w:rPr>
          <w:sz w:val="20"/>
          <w:szCs w:val="20"/>
          <w:color w:val="auto"/>
        </w:rPr>
      </w:pPr>
      <w:r>
        <w:rPr>
          <w:rFonts w:ascii="Courier New" w:cs="Courier New" w:eastAsia="Courier New" w:hAnsi="Courier New"/>
          <w:sz w:val="16"/>
          <w:szCs w:val="16"/>
          <w:color w:val="auto"/>
        </w:rPr>
        <w:t>CONTENTS</w:t>
      </w:r>
      <w:r>
        <w:rPr>
          <w:sz w:val="20"/>
          <w:szCs w:val="20"/>
          <w:color w:val="auto"/>
        </w:rPr>
        <w:tab/>
      </w:r>
      <w:r>
        <w:rPr>
          <w:rFonts w:ascii="Courier New" w:cs="Courier New" w:eastAsia="Courier New" w:hAnsi="Courier New"/>
          <w:sz w:val="15"/>
          <w:szCs w:val="15"/>
          <w:color w:val="auto"/>
        </w:rPr>
        <w:t>Page</w:t>
      </w:r>
    </w:p>
    <w:p>
      <w:pPr>
        <w:spacing w:after="0" w:line="360"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3"/>
          <w:szCs w:val="13"/>
          <w:color w:val="auto"/>
        </w:rPr>
        <w:t>1</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 -</w:t>
      </w:r>
    </w:p>
    <w:p>
      <w:pPr>
        <w:spacing w:after="0" w:line="27"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August 31, 2002 and May 31, 2002</w:t>
      </w:r>
      <w:r>
        <w:rPr>
          <w:sz w:val="20"/>
          <w:szCs w:val="20"/>
          <w:color w:val="auto"/>
        </w:rPr>
        <w:tab/>
      </w:r>
      <w:r>
        <w:rPr>
          <w:rFonts w:ascii="Courier New" w:cs="Courier New" w:eastAsia="Courier New" w:hAnsi="Courier New"/>
          <w:sz w:val="13"/>
          <w:szCs w:val="13"/>
          <w:color w:val="auto"/>
        </w:rPr>
        <w:t>2</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 for the</w:t>
      </w:r>
    </w:p>
    <w:p>
      <w:pPr>
        <w:spacing w:after="0" w:line="27"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three months ended August 31, 2002 and 2001</w:t>
      </w:r>
      <w:r>
        <w:rPr>
          <w:sz w:val="20"/>
          <w:szCs w:val="20"/>
          <w:color w:val="auto"/>
        </w:rPr>
        <w:tab/>
      </w:r>
      <w:r>
        <w:rPr>
          <w:rFonts w:ascii="Courier New" w:cs="Courier New" w:eastAsia="Courier New" w:hAnsi="Courier New"/>
          <w:sz w:val="13"/>
          <w:szCs w:val="13"/>
          <w:color w:val="auto"/>
        </w:rPr>
        <w:t>3</w:t>
      </w:r>
    </w:p>
    <w:p>
      <w:pPr>
        <w:spacing w:after="0" w:line="332" w:lineRule="exact"/>
        <w:rPr>
          <w:sz w:val="24"/>
          <w:szCs w:val="24"/>
          <w:color w:val="auto"/>
        </w:rPr>
      </w:pPr>
    </w:p>
    <w:p>
      <w:pPr>
        <w:spacing w:after="0"/>
        <w:tabs>
          <w:tab w:leader="none" w:pos="1000" w:val="left"/>
          <w:tab w:leader="none" w:pos="2320" w:val="left"/>
          <w:tab w:leader="none" w:pos="3440" w:val="left"/>
          <w:tab w:leader="none" w:pos="4300" w:val="left"/>
        </w:tabs>
        <w:rPr>
          <w:sz w:val="20"/>
          <w:szCs w:val="20"/>
          <w:color w:val="auto"/>
        </w:rPr>
      </w:pPr>
      <w:r>
        <w:rPr>
          <w:rFonts w:ascii="Courier New" w:cs="Courier New" w:eastAsia="Courier New" w:hAnsi="Courier New"/>
          <w:sz w:val="16"/>
          <w:szCs w:val="16"/>
          <w:color w:val="auto"/>
        </w:rPr>
        <w:t>Condensed</w:t>
        <w:tab/>
        <w:t>Consolidated</w:t>
        <w:tab/>
        <w:t>Statements</w:t>
        <w:tab/>
        <w:t>of Cash</w:t>
      </w:r>
      <w:r>
        <w:rPr>
          <w:sz w:val="20"/>
          <w:szCs w:val="20"/>
          <w:color w:val="auto"/>
        </w:rPr>
        <w:tab/>
      </w:r>
      <w:r>
        <w:rPr>
          <w:rFonts w:ascii="Courier New" w:cs="Courier New" w:eastAsia="Courier New" w:hAnsi="Courier New"/>
          <w:sz w:val="15"/>
          <w:szCs w:val="15"/>
          <w:color w:val="auto"/>
        </w:rPr>
        <w:t>Flows for</w:t>
      </w:r>
    </w:p>
    <w:p>
      <w:pPr>
        <w:spacing w:after="0" w:line="27"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the three months ended August 31, 2002 and 2001</w:t>
      </w:r>
      <w:r>
        <w:rPr>
          <w:sz w:val="20"/>
          <w:szCs w:val="20"/>
          <w:color w:val="auto"/>
        </w:rPr>
        <w:tab/>
      </w:r>
      <w:r>
        <w:rPr>
          <w:rFonts w:ascii="Courier New" w:cs="Courier New" w:eastAsia="Courier New" w:hAnsi="Courier New"/>
          <w:sz w:val="13"/>
          <w:szCs w:val="13"/>
          <w:color w:val="auto"/>
        </w:rPr>
        <w:t>4</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Shareholders' Equity</w:t>
      </w:r>
    </w:p>
    <w:p>
      <w:pPr>
        <w:spacing w:after="0" w:line="27"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Notes to the Condensed Consolidated Financial</w:t>
      </w:r>
    </w:p>
    <w:p>
      <w:pPr>
        <w:spacing w:after="0" w:line="27" w:lineRule="exact"/>
        <w:rPr>
          <w:sz w:val="24"/>
          <w:szCs w:val="24"/>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3"/>
          <w:szCs w:val="13"/>
          <w:color w:val="auto"/>
        </w:rPr>
        <w:t>6</w:t>
      </w:r>
    </w:p>
    <w:p>
      <w:pPr>
        <w:sectPr>
          <w:pgSz w:w="11900" w:h="16838" w:orient="portrait"/>
          <w:cols w:equalWidth="0" w:num="1">
            <w:col w:w="10219"/>
          </w:cols>
          <w:pgMar w:left="240" w:top="21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27"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3"/>
          <w:szCs w:val="13"/>
          <w:color w:val="auto"/>
        </w:rPr>
        <w:t>7</w:t>
      </w:r>
    </w:p>
    <w:p>
      <w:pPr>
        <w:spacing w:after="0" w:line="332" w:lineRule="exact"/>
        <w:rPr>
          <w:sz w:val="20"/>
          <w:szCs w:val="20"/>
          <w:color w:val="auto"/>
        </w:rPr>
      </w:pPr>
    </w:p>
    <w:p>
      <w:pPr>
        <w:spacing w:after="0"/>
        <w:tabs>
          <w:tab w:leader="dot" w:pos="6920" w:val="left"/>
        </w:tabs>
        <w:rPr>
          <w:sz w:val="20"/>
          <w:szCs w:val="20"/>
          <w:color w:val="auto"/>
        </w:rPr>
      </w:pPr>
      <w:r>
        <w:rPr>
          <w:rFonts w:ascii="Courier New" w:cs="Courier New" w:eastAsia="Courier New" w:hAnsi="Courier New"/>
          <w:sz w:val="16"/>
          <w:szCs w:val="16"/>
          <w:color w:val="auto"/>
        </w:rPr>
        <w:t>Signature Page</w:t>
      </w:r>
      <w:r>
        <w:rPr>
          <w:sz w:val="20"/>
          <w:szCs w:val="20"/>
          <w:color w:val="auto"/>
        </w:rPr>
        <w:tab/>
      </w:r>
      <w:r>
        <w:rPr>
          <w:rFonts w:ascii="Courier New" w:cs="Courier New" w:eastAsia="Courier New" w:hAnsi="Courier New"/>
          <w:sz w:val="15"/>
          <w:szCs w:val="15"/>
          <w:color w:val="auto"/>
        </w:rPr>
        <w:t>15</w:t>
      </w:r>
    </w:p>
    <w:p>
      <w:pPr>
        <w:sectPr>
          <w:pgSz w:w="11900" w:h="16838" w:orient="portrait"/>
          <w:cols w:equalWidth="0" w:num="1">
            <w:col w:w="10219"/>
          </w:cols>
          <w:pgMar w:left="240" w:top="474"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6"/>
          <w:szCs w:val="16"/>
          <w:color w:val="auto"/>
        </w:rPr>
        <w:t>ICON plc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right="3479"/>
        <w:spacing w:after="0" w:line="348" w:lineRule="auto"/>
        <w:rPr>
          <w:sz w:val="20"/>
          <w:szCs w:val="20"/>
          <w:color w:val="auto"/>
        </w:rPr>
      </w:pPr>
      <w:r>
        <w:rPr>
          <w:rFonts w:ascii="Courier New" w:cs="Courier New" w:eastAsia="Courier New" w:hAnsi="Courier New"/>
          <w:sz w:val="16"/>
          <w:szCs w:val="16"/>
          <w:color w:val="auto"/>
        </w:rPr>
        <w:t>As used herein, "ICON", the "Company" and "we" refer to ICON plc and its consolidated subsidiaries, unless the context requires otherwise.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179"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6"/>
          <w:szCs w:val="16"/>
          <w:color w:val="auto"/>
        </w:rPr>
        <w:t>We are a contract research organization, or a "CRO" providing clinical research and development services on a global basis to the pharmaceutical and biotechnology industries. We specialize in the management, execution and analysis of complex, multinational clinical trials. We believe that we are one of a select group of CROs with the capability and expertise to conduct clinical trials on a global basis. As of August 31, 2002, ICON had approximately 1,750 employees and operations in twenty-four locations in fifteen countries, including the United States, South America, South Africa and major markets in Europe and the rest of world. For the three months ended August 31, 2002, ICON derived 71.3%, 26.0% and 2.7% of its net revenue in the United States, Europe and Rest of World, respectively.</w:t>
      </w:r>
    </w:p>
    <w:p>
      <w:pPr>
        <w:spacing w:after="0" w:line="96" w:lineRule="exact"/>
        <w:rPr>
          <w:sz w:val="20"/>
          <w:szCs w:val="20"/>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991" w:right="1440" w:bottom="1440" w:gutter="0" w:footer="0" w:header="0"/>
        </w:sectPr>
      </w:pPr>
    </w:p>
    <w:bookmarkStart w:id="3" w:name="page4"/>
    <w:bookmarkEnd w:id="3"/>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00" w:type="dxa"/>
            <w:vAlign w:val="bottom"/>
          </w:tcPr>
          <w:p>
            <w:pPr>
              <w:ind w:left="3380"/>
              <w:spacing w:after="0"/>
              <w:rPr>
                <w:sz w:val="20"/>
                <w:szCs w:val="20"/>
                <w:color w:val="auto"/>
              </w:rPr>
            </w:pPr>
            <w:r>
              <w:rPr>
                <w:rFonts w:ascii="Courier New" w:cs="Courier New" w:eastAsia="Courier New" w:hAnsi="Courier New"/>
                <w:sz w:val="16"/>
                <w:szCs w:val="16"/>
                <w:color w:val="auto"/>
              </w:rPr>
              <w:t>ICON plc</w:t>
            </w:r>
          </w:p>
        </w:tc>
        <w:tc>
          <w:tcPr>
            <w:tcW w:w="1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200" w:type="dxa"/>
            <w:vAlign w:val="bottom"/>
          </w:tcPr>
          <w:p>
            <w:pPr>
              <w:jc w:val="right"/>
              <w:ind w:right="2582"/>
              <w:spacing w:after="0"/>
              <w:rPr>
                <w:sz w:val="20"/>
                <w:szCs w:val="20"/>
                <w:color w:val="auto"/>
              </w:rPr>
            </w:pPr>
            <w:r>
              <w:rPr>
                <w:rFonts w:ascii="Courier New" w:cs="Courier New" w:eastAsia="Courier New" w:hAnsi="Courier New"/>
                <w:sz w:val="16"/>
                <w:szCs w:val="16"/>
                <w:color w:val="auto"/>
              </w:rPr>
              <w:t>CONDENSED CONSOLIDATED BALANCE SHEETS</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00" w:type="dxa"/>
            <w:vAlign w:val="bottom"/>
          </w:tcPr>
          <w:p>
            <w:pPr>
              <w:jc w:val="right"/>
              <w:ind w:right="2582"/>
              <w:spacing w:after="0"/>
              <w:rPr>
                <w:sz w:val="20"/>
                <w:szCs w:val="20"/>
                <w:color w:val="auto"/>
              </w:rPr>
            </w:pPr>
            <w:r>
              <w:rPr>
                <w:rFonts w:ascii="Courier New" w:cs="Courier New" w:eastAsia="Courier New" w:hAnsi="Courier New"/>
                <w:sz w:val="16"/>
                <w:szCs w:val="16"/>
                <w:color w:val="auto"/>
              </w:rPr>
              <w:t>AS AT AUGUST 31, 2002 AND MAY 31, 2002</w:t>
            </w:r>
          </w:p>
        </w:tc>
        <w:tc>
          <w:tcPr>
            <w:tcW w:w="1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(Unaudited)</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(Audited)</w:t>
            </w:r>
          </w:p>
        </w:tc>
        <w:tc>
          <w:tcPr>
            <w:tcW w:w="0" w:type="dxa"/>
            <w:vAlign w:val="bottom"/>
          </w:tcPr>
          <w:p>
            <w:pPr>
              <w:spacing w:after="0"/>
              <w:rPr>
                <w:sz w:val="1"/>
                <w:szCs w:val="1"/>
                <w:color w:val="auto"/>
              </w:rPr>
            </w:pPr>
          </w:p>
        </w:tc>
      </w:tr>
      <w:tr>
        <w:trPr>
          <w:trHeight w:val="180"/>
        </w:trPr>
        <w:tc>
          <w:tcPr>
            <w:tcW w:w="8200" w:type="dxa"/>
            <w:vAlign w:val="bottom"/>
          </w:tcPr>
          <w:p>
            <w:pPr>
              <w:spacing w:after="0"/>
              <w:rPr>
                <w:sz w:val="15"/>
                <w:szCs w:val="15"/>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August 31,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0"/>
        </w:trPr>
        <w:tc>
          <w:tcPr>
            <w:tcW w:w="8200" w:type="dxa"/>
            <w:vAlign w:val="bottom"/>
          </w:tcPr>
          <w:p>
            <w:pPr>
              <w:spacing w:after="0"/>
              <w:rPr>
                <w:sz w:val="15"/>
                <w:szCs w:val="15"/>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8200" w:type="dxa"/>
            <w:vAlign w:val="bottom"/>
            <w:vMerge w:val="restart"/>
          </w:tcPr>
          <w:p>
            <w:pPr>
              <w:spacing w:after="0"/>
              <w:rPr>
                <w:sz w:val="20"/>
                <w:szCs w:val="20"/>
                <w:color w:val="auto"/>
              </w:rPr>
            </w:pPr>
            <w:r>
              <w:rPr>
                <w:rFonts w:ascii="Courier New" w:cs="Courier New" w:eastAsia="Courier New" w:hAnsi="Courier New"/>
                <w:sz w:val="16"/>
                <w:szCs w:val="16"/>
                <w:color w:val="auto"/>
              </w:rPr>
              <w:t>ASSETS</w:t>
            </w:r>
          </w:p>
        </w:tc>
        <w:tc>
          <w:tcPr>
            <w:tcW w:w="306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97"/>
        </w:trPr>
        <w:tc>
          <w:tcPr>
            <w:tcW w:w="820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Cash and cash equivalents.......................................................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$32,858</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$36,291</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Short term investments (available for sale) ....................................</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17,117</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18,551</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Accounts receivable.............................................................</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37,844</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41,306</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Unbilled revenue................................................................</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33,527</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26,387</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Other receivables...............................................................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2,652</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2,093</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Deferred taxes..................................................................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408</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408</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Prepayments and other current assets............................................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4,595</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5,183</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Total current assets............................................................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129,001</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130,219</w:t>
            </w:r>
          </w:p>
        </w:tc>
        <w:tc>
          <w:tcPr>
            <w:tcW w:w="0" w:type="dxa"/>
            <w:vAlign w:val="bottom"/>
          </w:tcPr>
          <w:p>
            <w:pPr>
              <w:spacing w:after="0"/>
              <w:rPr>
                <w:sz w:val="1"/>
                <w:szCs w:val="1"/>
                <w:color w:val="auto"/>
              </w:rPr>
            </w:pPr>
          </w:p>
        </w:tc>
      </w:tr>
      <w:tr>
        <w:trPr>
          <w:trHeight w:val="180"/>
        </w:trPr>
        <w:tc>
          <w:tcPr>
            <w:tcW w:w="82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27,709</w:t>
            </w:r>
          </w:p>
        </w:tc>
        <w:tc>
          <w:tcPr>
            <w:tcW w:w="15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25,482</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Property, plant and equipment, net..............................................</w:t>
            </w:r>
          </w:p>
        </w:tc>
        <w:tc>
          <w:tcPr>
            <w:tcW w:w="15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Goodwill........................................................................</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10,289</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10,093</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$166,999</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$165,794</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5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$4,447</w:t>
            </w:r>
          </w:p>
        </w:tc>
        <w:tc>
          <w:tcPr>
            <w:tcW w:w="15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$5,788</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Accounts payable................................................................</w:t>
            </w:r>
          </w:p>
        </w:tc>
        <w:tc>
          <w:tcPr>
            <w:tcW w:w="15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Payments on account.............................................................</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21,743</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19,854</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Other liabilities...............................................................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11,734</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16,308</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Taxes payable...................................................................</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4,074</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3,601</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Bank overdraft and loan facilities..............................................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11,067</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11,745</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ind w:left="660"/>
              <w:spacing w:after="0"/>
              <w:rPr>
                <w:sz w:val="20"/>
                <w:szCs w:val="20"/>
                <w:color w:val="auto"/>
              </w:rPr>
            </w:pPr>
            <w:r>
              <w:rPr>
                <w:rFonts w:ascii="Courier New" w:cs="Courier New" w:eastAsia="Courier New" w:hAnsi="Courier New"/>
                <w:sz w:val="16"/>
                <w:szCs w:val="16"/>
                <w:color w:val="auto"/>
                <w:w w:val="99"/>
              </w:rPr>
              <w:t>Total current liabilities......................................................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53,065</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57,296</w:t>
            </w:r>
          </w:p>
        </w:tc>
        <w:tc>
          <w:tcPr>
            <w:tcW w:w="0" w:type="dxa"/>
            <w:vAlign w:val="bottom"/>
          </w:tcPr>
          <w:p>
            <w:pPr>
              <w:spacing w:after="0"/>
              <w:rPr>
                <w:sz w:val="1"/>
                <w:szCs w:val="1"/>
                <w:color w:val="auto"/>
              </w:rPr>
            </w:pPr>
          </w:p>
        </w:tc>
      </w:tr>
      <w:tr>
        <w:trPr>
          <w:trHeight w:val="180"/>
        </w:trPr>
        <w:tc>
          <w:tcPr>
            <w:tcW w:w="82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975</w:t>
            </w:r>
          </w:p>
        </w:tc>
        <w:tc>
          <w:tcPr>
            <w:tcW w:w="15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937</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Long term government grants.....................................................</w:t>
            </w:r>
          </w:p>
        </w:tc>
        <w:tc>
          <w:tcPr>
            <w:tcW w:w="15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180"/>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rPr>
              <w:t>Ordinary Shares, par value 6 Euro cents per share; 20,000,000 shares</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rPr>
              <w:t>authorized, 11,799,981 shares issued and outstanding at August 31, 2002</w:t>
            </w:r>
          </w:p>
        </w:tc>
        <w:tc>
          <w:tcPr>
            <w:tcW w:w="15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839</w:t>
            </w:r>
          </w:p>
        </w:tc>
        <w:tc>
          <w:tcPr>
            <w:tcW w:w="15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839</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rPr>
              <w:t>and 11,798,501 shares issued and outstanding at May 31, 2002</w:t>
            </w:r>
          </w:p>
        </w:tc>
        <w:tc>
          <w:tcPr>
            <w:tcW w:w="15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Additional paid-in capital......................................................</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60,374</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60,348</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Accumulated other comprehensive income..........................................</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(1,062)</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(2,461)</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Merger reserve..................................................................</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0"/>
        </w:trPr>
        <w:tc>
          <w:tcPr>
            <w:tcW w:w="8200" w:type="dxa"/>
            <w:vAlign w:val="bottom"/>
          </w:tcPr>
          <w:p>
            <w:pPr>
              <w:ind w:left="560"/>
              <w:spacing w:after="0"/>
              <w:rPr>
                <w:sz w:val="20"/>
                <w:szCs w:val="20"/>
                <w:color w:val="auto"/>
              </w:rPr>
            </w:pPr>
            <w:r>
              <w:rPr>
                <w:rFonts w:ascii="Courier New" w:cs="Courier New" w:eastAsia="Courier New" w:hAnsi="Courier New"/>
                <w:sz w:val="16"/>
                <w:szCs w:val="16"/>
                <w:color w:val="auto"/>
                <w:w w:val="99"/>
              </w:rPr>
              <w:t>Retained earnings...............................................................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52,761</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48,788</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0"/>
                <w:szCs w:val="20"/>
                <w:color w:val="auto"/>
              </w:rPr>
            </w:pPr>
            <w:r>
              <w:rPr>
                <w:rFonts w:ascii="Courier New" w:cs="Courier New" w:eastAsia="Courier New" w:hAnsi="Courier New"/>
                <w:sz w:val="16"/>
                <w:szCs w:val="16"/>
                <w:color w:val="auto"/>
                <w:w w:val="99"/>
              </w:rPr>
              <w:t>Total Shareholders' Equity............................................................</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112,959</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107,561</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0"/>
                <w:szCs w:val="20"/>
                <w:color w:val="auto"/>
              </w:rPr>
            </w:pPr>
            <w:r>
              <w:rPr>
                <w:rFonts w:ascii="Courier New" w:cs="Courier New" w:eastAsia="Courier New" w:hAnsi="Courier New"/>
                <w:sz w:val="16"/>
                <w:szCs w:val="16"/>
                <w:color w:val="auto"/>
                <w:w w:val="99"/>
              </w:rPr>
              <w:t>Total Liabilities and Shareholders' Equity............................................</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$166,999</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$165,794</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1440" w:right="399" w:bottom="1440" w:gutter="0" w:footer="0" w:header="0"/>
        </w:sectPr>
      </w:pPr>
    </w:p>
    <w:bookmarkStart w:id="4" w:name="page5"/>
    <w:bookmarkEnd w:id="4"/>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right"/>
              <w:ind w:right="2122"/>
              <w:spacing w:after="0"/>
              <w:rPr>
                <w:sz w:val="20"/>
                <w:szCs w:val="20"/>
                <w:color w:val="auto"/>
              </w:rPr>
            </w:pPr>
            <w:r>
              <w:rPr>
                <w:rFonts w:ascii="Courier New" w:cs="Courier New" w:eastAsia="Courier New" w:hAnsi="Courier New"/>
                <w:sz w:val="16"/>
                <w:szCs w:val="16"/>
                <w:color w:val="auto"/>
              </w:rPr>
              <w:t>ICON plc</w:t>
            </w:r>
          </w:p>
        </w:tc>
        <w:tc>
          <w:tcPr>
            <w:tcW w:w="2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20" w:type="dxa"/>
            <w:vAlign w:val="bottom"/>
          </w:tcPr>
          <w:p>
            <w:pPr>
              <w:jc w:val="center"/>
              <w:ind w:left="1202"/>
              <w:spacing w:after="0"/>
              <w:rPr>
                <w:sz w:val="20"/>
                <w:szCs w:val="20"/>
                <w:color w:val="auto"/>
              </w:rPr>
            </w:pPr>
            <w:r>
              <w:rPr>
                <w:rFonts w:ascii="Courier New" w:cs="Courier New" w:eastAsia="Courier New" w:hAnsi="Courier New"/>
                <w:sz w:val="16"/>
                <w:szCs w:val="16"/>
                <w:color w:val="auto"/>
                <w:w w:val="97"/>
              </w:rPr>
              <w:t>CONDENSED CONSOLIDATED STATEMENTS OF OPERATIONS</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20" w:type="dxa"/>
            <w:vAlign w:val="bottom"/>
          </w:tcPr>
          <w:p>
            <w:pPr>
              <w:jc w:val="center"/>
              <w:ind w:left="1182"/>
              <w:spacing w:after="0"/>
              <w:rPr>
                <w:sz w:val="20"/>
                <w:szCs w:val="20"/>
                <w:color w:val="auto"/>
              </w:rPr>
            </w:pPr>
            <w:r>
              <w:rPr>
                <w:rFonts w:ascii="Courier New" w:cs="Courier New" w:eastAsia="Courier New" w:hAnsi="Courier New"/>
                <w:sz w:val="16"/>
                <w:szCs w:val="16"/>
                <w:color w:val="auto"/>
                <w:w w:val="97"/>
              </w:rPr>
              <w:t>FOR THE THREE MONTHS ENDED AUGUST 31, 2002 AND 2001</w:t>
            </w:r>
          </w:p>
        </w:tc>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320" w:type="dxa"/>
            <w:vAlign w:val="bottom"/>
          </w:tcPr>
          <w:p>
            <w:pPr>
              <w:jc w:val="center"/>
              <w:ind w:left="1202"/>
              <w:spacing w:after="0"/>
              <w:rPr>
                <w:sz w:val="20"/>
                <w:szCs w:val="20"/>
                <w:color w:val="auto"/>
              </w:rPr>
            </w:pPr>
            <w:r>
              <w:rPr>
                <w:rFonts w:ascii="Courier New" w:cs="Courier New" w:eastAsia="Courier New" w:hAnsi="Courier New"/>
                <w:sz w:val="16"/>
                <w:szCs w:val="16"/>
                <w:color w:val="auto"/>
                <w:w w:val="98"/>
              </w:rPr>
              <w:t>(UNAUDITED)</w:t>
            </w:r>
          </w:p>
        </w:tc>
        <w:tc>
          <w:tcPr>
            <w:tcW w:w="2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Three Months</w:t>
            </w:r>
          </w:p>
        </w:tc>
        <w:tc>
          <w:tcPr>
            <w:tcW w:w="2340" w:type="dxa"/>
            <w:vAlign w:val="bottom"/>
            <w:vMerge w:val="restart"/>
          </w:tcPr>
          <w:p>
            <w:pPr>
              <w:jc w:val="right"/>
              <w:ind w:right="762"/>
              <w:spacing w:after="0"/>
              <w:rPr>
                <w:sz w:val="20"/>
                <w:szCs w:val="20"/>
                <w:color w:val="auto"/>
              </w:rPr>
            </w:pPr>
            <w:r>
              <w:rPr>
                <w:rFonts w:ascii="Courier New" w:cs="Courier New" w:eastAsia="Courier New" w:hAnsi="Courier New"/>
                <w:sz w:val="16"/>
                <w:szCs w:val="16"/>
                <w:color w:val="auto"/>
                <w:w w:val="96"/>
              </w:rPr>
              <w:t>Ended August 31,</w:t>
            </w:r>
          </w:p>
        </w:tc>
        <w:tc>
          <w:tcPr>
            <w:tcW w:w="0" w:type="dxa"/>
            <w:vAlign w:val="bottom"/>
          </w:tcPr>
          <w:p>
            <w:pPr>
              <w:spacing w:after="0"/>
              <w:rPr>
                <w:sz w:val="1"/>
                <w:szCs w:val="1"/>
                <w:color w:val="auto"/>
              </w:rPr>
            </w:pPr>
          </w:p>
        </w:tc>
      </w:tr>
      <w:tr>
        <w:trPr>
          <w:trHeight w:val="97"/>
        </w:trPr>
        <w:tc>
          <w:tcPr>
            <w:tcW w:w="63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2002</w:t>
            </w:r>
          </w:p>
        </w:tc>
        <w:tc>
          <w:tcPr>
            <w:tcW w:w="23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Revenue: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 thousands except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w w:val="96"/>
              </w:rPr>
              <w:t>share and per share data)</w:t>
            </w:r>
          </w:p>
        </w:tc>
        <w:tc>
          <w:tcPr>
            <w:tcW w:w="0" w:type="dxa"/>
            <w:vAlign w:val="bottom"/>
          </w:tcPr>
          <w:p>
            <w:pPr>
              <w:spacing w:after="0"/>
              <w:rPr>
                <w:sz w:val="1"/>
                <w:szCs w:val="1"/>
                <w:color w:val="auto"/>
              </w:rPr>
            </w:pPr>
          </w:p>
        </w:tc>
      </w:tr>
      <w:tr>
        <w:trPr>
          <w:trHeight w:val="180"/>
        </w:trPr>
        <w:tc>
          <w:tcPr>
            <w:tcW w:w="632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Gross revenue..............................................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$72,087</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$47,653</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Subcontractor costs........................................</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(25,228)</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(11,434)</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Net revenue................................................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46,859</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36,219</w:t>
            </w:r>
          </w:p>
        </w:tc>
        <w:tc>
          <w:tcPr>
            <w:tcW w:w="0" w:type="dxa"/>
            <w:vAlign w:val="bottom"/>
          </w:tcPr>
          <w:p>
            <w:pPr>
              <w:spacing w:after="0"/>
              <w:rPr>
                <w:sz w:val="1"/>
                <w:szCs w:val="1"/>
                <w:color w:val="auto"/>
              </w:rPr>
            </w:pPr>
          </w:p>
        </w:tc>
      </w:tr>
      <w:tr>
        <w:trPr>
          <w:trHeight w:val="277"/>
        </w:trPr>
        <w:tc>
          <w:tcPr>
            <w:tcW w:w="6320" w:type="dxa"/>
            <w:vAlign w:val="bottom"/>
          </w:tcPr>
          <w:p>
            <w:pPr>
              <w:ind w:left="280"/>
              <w:spacing w:after="0"/>
              <w:rPr>
                <w:sz w:val="20"/>
                <w:szCs w:val="20"/>
                <w:color w:val="auto"/>
              </w:rPr>
            </w:pPr>
            <w:r>
              <w:rPr>
                <w:rFonts w:ascii="Courier New" w:cs="Courier New" w:eastAsia="Courier New" w:hAnsi="Courier New"/>
                <w:sz w:val="16"/>
                <w:szCs w:val="16"/>
                <w:color w:val="auto"/>
              </w:rPr>
              <w:t>Costs and expenses:</w:t>
            </w:r>
          </w:p>
        </w:tc>
        <w:tc>
          <w:tcPr>
            <w:tcW w:w="2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25,425</w:t>
            </w:r>
          </w:p>
        </w:tc>
        <w:tc>
          <w:tcPr>
            <w:tcW w:w="234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18,939</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Direct costs...............................................</w:t>
            </w:r>
          </w:p>
        </w:tc>
        <w:tc>
          <w:tcPr>
            <w:tcW w:w="212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Selling, general and administrative........................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14,643</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11,729</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Depreciation and amortization..............................</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1,570</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1,448</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Total costs and expenses...................................</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41,638</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32,116</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Income from operations........................................</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5,221</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4,103</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Interest income...............................................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545</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Interest expense..............................................</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(201)</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Income before provision for income taxes......................</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5,407</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4,447</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Provision for income taxes....................................</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(1,434)</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(1,117)</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Net income....................................................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$3,973</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$3,330</w:t>
            </w:r>
          </w:p>
        </w:tc>
        <w:tc>
          <w:tcPr>
            <w:tcW w:w="0" w:type="dxa"/>
            <w:vAlign w:val="bottom"/>
          </w:tcPr>
          <w:p>
            <w:pPr>
              <w:spacing w:after="0"/>
              <w:rPr>
                <w:sz w:val="1"/>
                <w:szCs w:val="1"/>
                <w:color w:val="auto"/>
              </w:rPr>
            </w:pPr>
          </w:p>
        </w:tc>
      </w:tr>
      <w:tr>
        <w:trPr>
          <w:trHeight w:val="264"/>
        </w:trPr>
        <w:tc>
          <w:tcPr>
            <w:tcW w:w="6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Net income per Ordinary Share:</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320" w:type="dxa"/>
            <w:vAlign w:val="bottom"/>
            <w:vMerge w:val="continue"/>
          </w:tcPr>
          <w:p>
            <w:pPr>
              <w:spacing w:after="0"/>
              <w:rPr>
                <w:sz w:val="8"/>
                <w:szCs w:val="8"/>
                <w:color w:val="auto"/>
              </w:rPr>
            </w:pPr>
          </w:p>
        </w:tc>
        <w:tc>
          <w:tcPr>
            <w:tcW w:w="2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$0.34</w:t>
            </w:r>
          </w:p>
        </w:tc>
        <w:tc>
          <w:tcPr>
            <w:tcW w:w="2340" w:type="dxa"/>
            <w:vAlign w:val="bottom"/>
            <w:vMerge w:val="restart"/>
          </w:tcPr>
          <w:p>
            <w:pPr>
              <w:jc w:val="right"/>
              <w:ind w:right="942"/>
              <w:spacing w:after="0"/>
              <w:rPr>
                <w:sz w:val="20"/>
                <w:szCs w:val="20"/>
                <w:color w:val="auto"/>
              </w:rPr>
            </w:pPr>
            <w:r>
              <w:rPr>
                <w:rFonts w:ascii="Courier New" w:cs="Courier New" w:eastAsia="Courier New" w:hAnsi="Courier New"/>
                <w:sz w:val="16"/>
                <w:szCs w:val="16"/>
                <w:color w:val="auto"/>
              </w:rPr>
              <w:t>$0.29</w:t>
            </w:r>
          </w:p>
        </w:tc>
        <w:tc>
          <w:tcPr>
            <w:tcW w:w="0" w:type="dxa"/>
            <w:vAlign w:val="bottom"/>
          </w:tcPr>
          <w:p>
            <w:pPr>
              <w:spacing w:after="0"/>
              <w:rPr>
                <w:sz w:val="1"/>
                <w:szCs w:val="1"/>
                <w:color w:val="auto"/>
              </w:rPr>
            </w:pPr>
          </w:p>
        </w:tc>
      </w:tr>
      <w:tr>
        <w:trPr>
          <w:trHeight w:val="180"/>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Basic......................................................</w:t>
            </w:r>
          </w:p>
        </w:tc>
        <w:tc>
          <w:tcPr>
            <w:tcW w:w="212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Diluted...................................................</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320" w:type="dxa"/>
            <w:vAlign w:val="bottom"/>
            <w:vMerge w:val="continue"/>
          </w:tcPr>
          <w:p>
            <w:pPr>
              <w:spacing w:after="0"/>
              <w:rPr>
                <w:sz w:val="15"/>
                <w:szCs w:val="15"/>
                <w:color w:val="auto"/>
              </w:rPr>
            </w:pP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6320" w:type="dxa"/>
            <w:vAlign w:val="bottom"/>
          </w:tcPr>
          <w:p>
            <w:pPr>
              <w:jc w:val="right"/>
              <w:ind w:right="1082"/>
              <w:spacing w:after="0"/>
              <w:rPr>
                <w:sz w:val="20"/>
                <w:szCs w:val="20"/>
                <w:color w:val="auto"/>
              </w:rPr>
            </w:pPr>
            <w:r>
              <w:rPr>
                <w:rFonts w:ascii="Courier New" w:cs="Courier New" w:eastAsia="Courier New" w:hAnsi="Courier New"/>
                <w:sz w:val="16"/>
                <w:szCs w:val="16"/>
                <w:color w:val="auto"/>
                <w:w w:val="97"/>
              </w:rPr>
              <w:t>Weighted average number of Ordinary Shares outstanding:</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Basic....................................................</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11,798,354</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11,499,311</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3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Diluted..................................................</w:t>
            </w:r>
          </w:p>
        </w:tc>
        <w:tc>
          <w:tcPr>
            <w:tcW w:w="2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12,147,634</w:t>
            </w:r>
          </w:p>
        </w:tc>
        <w:tc>
          <w:tcPr>
            <w:tcW w:w="2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12,260,317</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780"/>
          </w:cols>
          <w:pgMar w:left="240" w:top="1440" w:right="879" w:bottom="1440" w:gutter="0" w:footer="0" w:header="0"/>
        </w:sectPr>
      </w:pPr>
    </w:p>
    <w:bookmarkStart w:id="5" w:name="page6"/>
    <w:bookmarkEnd w:id="5"/>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00" w:type="dxa"/>
            <w:vAlign w:val="bottom"/>
          </w:tcPr>
          <w:p>
            <w:pPr>
              <w:spacing w:after="0"/>
              <w:rPr>
                <w:sz w:val="22"/>
                <w:szCs w:val="22"/>
                <w:color w:val="auto"/>
              </w:rPr>
            </w:pPr>
          </w:p>
        </w:tc>
        <w:tc>
          <w:tcPr>
            <w:tcW w:w="5600" w:type="dxa"/>
            <w:vAlign w:val="bottom"/>
          </w:tcPr>
          <w:p>
            <w:pPr>
              <w:jc w:val="right"/>
              <w:ind w:right="2702"/>
              <w:spacing w:after="0"/>
              <w:rPr>
                <w:sz w:val="20"/>
                <w:szCs w:val="20"/>
                <w:color w:val="auto"/>
              </w:rPr>
            </w:pPr>
            <w:r>
              <w:rPr>
                <w:rFonts w:ascii="Courier New" w:cs="Courier New" w:eastAsia="Courier New" w:hAnsi="Courier New"/>
                <w:sz w:val="16"/>
                <w:szCs w:val="16"/>
                <w:color w:val="auto"/>
              </w:rPr>
              <w:t>ICON plc</w:t>
            </w:r>
          </w:p>
        </w:tc>
        <w:tc>
          <w:tcPr>
            <w:tcW w:w="2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560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7"/>
              </w:rPr>
              <w:t>CONDENSED CONSOLIDATED STATEMENTS OF CASH FLOWS</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560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7"/>
              </w:rPr>
              <w:t>FOR THE THREE MONTHS ENDED AUGUST 31, 2002 AND 2001</w:t>
            </w: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5600" w:type="dxa"/>
            <w:vAlign w:val="bottom"/>
          </w:tcPr>
          <w:p>
            <w:pPr>
              <w:jc w:val="center"/>
              <w:ind w:right="522"/>
              <w:spacing w:after="0"/>
              <w:rPr>
                <w:sz w:val="20"/>
                <w:szCs w:val="20"/>
                <w:color w:val="auto"/>
              </w:rPr>
            </w:pPr>
            <w:r>
              <w:rPr>
                <w:rFonts w:ascii="Courier New" w:cs="Courier New" w:eastAsia="Courier New" w:hAnsi="Courier New"/>
                <w:sz w:val="16"/>
                <w:szCs w:val="16"/>
                <w:color w:val="auto"/>
                <w:w w:val="98"/>
              </w:rPr>
              <w:t>(UNAUDITED)</w:t>
            </w:r>
          </w:p>
        </w:tc>
        <w:tc>
          <w:tcPr>
            <w:tcW w:w="3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2002</w:t>
            </w:r>
          </w:p>
        </w:tc>
        <w:tc>
          <w:tcPr>
            <w:tcW w:w="16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9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80"/>
        </w:trPr>
        <w:tc>
          <w:tcPr>
            <w:tcW w:w="690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$3,973</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$3,330</w:t>
            </w: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provided by/ (used in) operating activities:..............</w:t>
            </w:r>
          </w:p>
        </w:tc>
        <w:tc>
          <w:tcPr>
            <w:tcW w:w="22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w:t>
            </w:r>
          </w:p>
        </w:tc>
        <w:tc>
          <w:tcPr>
            <w:tcW w:w="1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Loss on disposal of fixed assets.......................</w:t>
            </w:r>
          </w:p>
        </w:tc>
        <w:tc>
          <w:tcPr>
            <w:tcW w:w="22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Depreciation...........................................</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1,570</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1,448</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Amortization of grants.................................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Changes in assets and liabilities:</w:t>
            </w:r>
          </w:p>
        </w:tc>
        <w:tc>
          <w:tcPr>
            <w:tcW w:w="22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4,231</w:t>
            </w:r>
          </w:p>
        </w:tc>
        <w:tc>
          <w:tcPr>
            <w:tcW w:w="1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6,409</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Decrease in accounts receivable........................</w:t>
            </w:r>
          </w:p>
        </w:tc>
        <w:tc>
          <w:tcPr>
            <w:tcW w:w="22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Increase in unbilled revenue...........................</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(6,975)</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(6,496)</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Decrease in other receivables..........................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547</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1,842</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922"/>
              <w:spacing w:after="0"/>
              <w:rPr>
                <w:sz w:val="20"/>
                <w:szCs w:val="20"/>
                <w:color w:val="auto"/>
              </w:rPr>
            </w:pPr>
            <w:r>
              <w:rPr>
                <w:rFonts w:ascii="Courier New" w:cs="Courier New" w:eastAsia="Courier New" w:hAnsi="Courier New"/>
                <w:sz w:val="16"/>
                <w:szCs w:val="16"/>
                <w:color w:val="auto"/>
              </w:rPr>
              <w:t>Decrease/ (increase) in prepayments and other current assets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779</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(580)</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Increase in payments on account........................</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1,828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1,432</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Decrease in other liabilities..........................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(2,698)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(1,493)</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Increase in income taxes payable.......................</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1,043</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(Decrease)/ increase in accounts payable...............</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(1,587)</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Net cash provided by operating activities.................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2,035</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7,253</w:t>
            </w: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2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(3,130)</w:t>
            </w:r>
          </w:p>
        </w:tc>
        <w:tc>
          <w:tcPr>
            <w:tcW w:w="1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(2,013)</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Purchase of fixed assets...............................</w:t>
            </w:r>
          </w:p>
        </w:tc>
        <w:tc>
          <w:tcPr>
            <w:tcW w:w="22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Sale of short term investments.........................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6,072</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6,965</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Purchase of short term investments.....................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(4,638)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rPr>
              <w:t>Deferred payments in respect of prior year acquisitions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(3,078)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(2,591)</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Net cash (used in)/ provided by investing activities......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(4,774)</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2,361</w:t>
            </w: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2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(678)</w:t>
            </w:r>
          </w:p>
        </w:tc>
        <w:tc>
          <w:tcPr>
            <w:tcW w:w="1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(917)</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Repayment of bank overdraft...............................</w:t>
            </w:r>
          </w:p>
        </w:tc>
        <w:tc>
          <w:tcPr>
            <w:tcW w:w="22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Repayment of long term debt...............................</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Proceeds from</w:t>
            </w:r>
          </w:p>
        </w:tc>
        <w:tc>
          <w:tcPr>
            <w:tcW w:w="5600" w:type="dxa"/>
            <w:vAlign w:val="bottom"/>
          </w:tcPr>
          <w:p>
            <w:pPr>
              <w:jc w:val="right"/>
              <w:ind w:right="1382"/>
              <w:spacing w:after="0"/>
              <w:rPr>
                <w:sz w:val="20"/>
                <w:szCs w:val="20"/>
                <w:color w:val="auto"/>
              </w:rPr>
            </w:pPr>
            <w:r>
              <w:rPr>
                <w:rFonts w:ascii="Courier New" w:cs="Courier New" w:eastAsia="Courier New" w:hAnsi="Courier New"/>
                <w:sz w:val="16"/>
                <w:szCs w:val="16"/>
                <w:color w:val="auto"/>
                <w:w w:val="97"/>
              </w:rPr>
              <w:t>exercise of share options...................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1,899</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Repayment of</w:t>
            </w:r>
          </w:p>
        </w:tc>
        <w:tc>
          <w:tcPr>
            <w:tcW w:w="5600" w:type="dxa"/>
            <w:vAlign w:val="bottom"/>
          </w:tcPr>
          <w:p>
            <w:pPr>
              <w:jc w:val="right"/>
              <w:ind w:right="1382"/>
              <w:spacing w:after="0"/>
              <w:rPr>
                <w:sz w:val="20"/>
                <w:szCs w:val="20"/>
                <w:color w:val="auto"/>
              </w:rPr>
            </w:pPr>
            <w:r>
              <w:rPr>
                <w:rFonts w:ascii="Courier New" w:cs="Courier New" w:eastAsia="Courier New" w:hAnsi="Courier New"/>
                <w:sz w:val="16"/>
                <w:szCs w:val="16"/>
                <w:color w:val="auto"/>
                <w:w w:val="97"/>
              </w:rPr>
              <w:t>other liabilities...........................</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0"/>
        </w:trPr>
        <w:tc>
          <w:tcPr>
            <w:tcW w:w="69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22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(652)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900" w:type="dxa"/>
            <w:vAlign w:val="bottom"/>
            <w:gridSpan w:val="2"/>
            <w:vMerge w:val="continue"/>
          </w:tcPr>
          <w:p>
            <w:pPr>
              <w:jc w:val="right"/>
              <w:ind w:right="1382"/>
              <w:spacing w:after="0" w:line="158" w:lineRule="exact"/>
              <w:rPr>
                <w:sz w:val="20"/>
                <w:szCs w:val="20"/>
                <w:color w:val="auto"/>
              </w:rPr>
            </w:pPr>
            <w:r>
              <w:rPr>
                <w:rFonts w:ascii="Courier New" w:cs="Courier New" w:eastAsia="Courier New" w:hAnsi="Courier New"/>
                <w:sz w:val="16"/>
                <w:szCs w:val="16"/>
                <w:color w:val="auto"/>
              </w:rPr>
              <w:t>......</w:t>
            </w:r>
          </w:p>
        </w:tc>
        <w:tc>
          <w:tcPr>
            <w:tcW w:w="2280" w:type="dxa"/>
            <w:vAlign w:val="bottom"/>
            <w:vMerge w:val="continue"/>
          </w:tcPr>
          <w:p>
            <w:pPr>
              <w:spacing w:after="0"/>
              <w:rPr>
                <w:sz w:val="15"/>
                <w:szCs w:val="15"/>
                <w:color w:val="auto"/>
              </w:rPr>
            </w:pP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938</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Effect of exchange rate movements on cash.................</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402</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9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22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(3,433)</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10,954</w:t>
            </w:r>
          </w:p>
        </w:tc>
        <w:tc>
          <w:tcPr>
            <w:tcW w:w="0" w:type="dxa"/>
            <w:vAlign w:val="bottom"/>
          </w:tcPr>
          <w:p>
            <w:pPr>
              <w:spacing w:after="0"/>
              <w:rPr>
                <w:sz w:val="1"/>
                <w:szCs w:val="1"/>
                <w:color w:val="auto"/>
              </w:rPr>
            </w:pPr>
          </w:p>
        </w:tc>
      </w:tr>
      <w:tr>
        <w:trPr>
          <w:trHeight w:val="97"/>
        </w:trPr>
        <w:tc>
          <w:tcPr>
            <w:tcW w:w="6900" w:type="dxa"/>
            <w:vAlign w:val="bottom"/>
            <w:gridSpan w:val="2"/>
            <w:vMerge w:val="continue"/>
          </w:tcPr>
          <w:p>
            <w:pPr>
              <w:jc w:val="right"/>
              <w:ind w:right="1382"/>
              <w:spacing w:after="0" w:line="75" w:lineRule="exact"/>
              <w:rPr>
                <w:sz w:val="20"/>
                <w:szCs w:val="20"/>
                <w:color w:val="auto"/>
              </w:rPr>
            </w:pPr>
            <w:r>
              <w:rPr>
                <w:rFonts w:ascii="Courier New" w:cs="Courier New" w:eastAsia="Courier New" w:hAnsi="Courier New"/>
                <w:sz w:val="8"/>
                <w:szCs w:val="8"/>
                <w:color w:val="auto"/>
              </w:rPr>
              <w:t>.....</w:t>
            </w:r>
          </w:p>
        </w:tc>
        <w:tc>
          <w:tcPr>
            <w:tcW w:w="2280" w:type="dxa"/>
            <w:vAlign w:val="bottom"/>
            <w:vMerge w:val="continue"/>
          </w:tcPr>
          <w:p>
            <w:pPr>
              <w:spacing w:after="0"/>
              <w:rPr>
                <w:sz w:val="8"/>
                <w:szCs w:val="8"/>
                <w:color w:val="auto"/>
              </w:rPr>
            </w:pPr>
          </w:p>
        </w:tc>
        <w:tc>
          <w:tcPr>
            <w:tcW w:w="1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11,179</w:t>
            </w:r>
          </w:p>
        </w:tc>
        <w:tc>
          <w:tcPr>
            <w:tcW w:w="0" w:type="dxa"/>
            <w:vAlign w:val="bottom"/>
          </w:tcPr>
          <w:p>
            <w:pPr>
              <w:spacing w:after="0"/>
              <w:rPr>
                <w:sz w:val="1"/>
                <w:szCs w:val="1"/>
                <w:color w:val="auto"/>
              </w:rPr>
            </w:pPr>
          </w:p>
        </w:tc>
      </w:tr>
      <w:tr>
        <w:trPr>
          <w:trHeight w:val="180"/>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Cash and cash equivalents at beginning of period..........</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36,291</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900" w:type="dxa"/>
            <w:vAlign w:val="bottom"/>
            <w:gridSpan w:val="2"/>
          </w:tcPr>
          <w:p>
            <w:pPr>
              <w:jc w:val="right"/>
              <w:ind w:right="1382"/>
              <w:spacing w:after="0"/>
              <w:rPr>
                <w:sz w:val="20"/>
                <w:szCs w:val="20"/>
                <w:color w:val="auto"/>
              </w:rPr>
            </w:pPr>
            <w:r>
              <w:rPr>
                <w:rFonts w:ascii="Courier New" w:cs="Courier New" w:eastAsia="Courier New" w:hAnsi="Courier New"/>
                <w:sz w:val="16"/>
                <w:szCs w:val="16"/>
                <w:color w:val="auto"/>
                <w:w w:val="97"/>
              </w:rPr>
              <w:t>Cash and cash equivalents at end of period................</w:t>
            </w:r>
          </w:p>
        </w:tc>
        <w:tc>
          <w:tcPr>
            <w:tcW w:w="2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$32,858</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$22,133</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740"/>
        <w:spacing w:after="0" w:line="348"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80"/>
          </w:cols>
          <w:pgMar w:left="240" w:top="1440" w:right="879" w:bottom="1440" w:gutter="0" w:footer="0" w:header="0"/>
        </w:sectPr>
      </w:pPr>
    </w:p>
    <w:bookmarkStart w:id="6" w:name="page7"/>
    <w:bookmarkEnd w:id="6"/>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280" w:type="dxa"/>
            <w:vAlign w:val="bottom"/>
          </w:tcPr>
          <w:p>
            <w:pPr>
              <w:spacing w:after="0"/>
              <w:rPr>
                <w:sz w:val="22"/>
                <w:szCs w:val="22"/>
                <w:color w:val="auto"/>
              </w:rPr>
            </w:pPr>
          </w:p>
        </w:tc>
        <w:tc>
          <w:tcPr>
            <w:tcW w:w="140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3"/>
              </w:rPr>
              <w:t>ICON plc</w:t>
            </w: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720" w:type="dxa"/>
            <w:vAlign w:val="bottom"/>
            <w:gridSpan w:val="5"/>
          </w:tcPr>
          <w:p>
            <w:pPr>
              <w:jc w:val="right"/>
              <w:ind w:right="962"/>
              <w:spacing w:after="0"/>
              <w:rPr>
                <w:sz w:val="20"/>
                <w:szCs w:val="20"/>
                <w:color w:val="auto"/>
              </w:rPr>
            </w:pPr>
            <w:r>
              <w:rPr>
                <w:rFonts w:ascii="Courier New" w:cs="Courier New" w:eastAsia="Courier New" w:hAnsi="Courier New"/>
                <w:sz w:val="16"/>
                <w:szCs w:val="16"/>
                <w:color w:val="auto"/>
                <w:w w:val="97"/>
              </w:rPr>
              <w:t>CONDENSED CONSOLIDATED STATEMENTS OF SHAREHOLDERS' EQUITY AND COMPREHENSIVE INCOME</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80" w:type="dxa"/>
            <w:vAlign w:val="bottom"/>
            <w:gridSpan w:val="2"/>
          </w:tcPr>
          <w:p>
            <w:pPr>
              <w:jc w:val="right"/>
              <w:ind w:right="384"/>
              <w:spacing w:after="0"/>
              <w:rPr>
                <w:sz w:val="20"/>
                <w:szCs w:val="20"/>
                <w:color w:val="auto"/>
              </w:rPr>
            </w:pPr>
            <w:r>
              <w:rPr>
                <w:rFonts w:ascii="Courier New" w:cs="Courier New" w:eastAsia="Courier New" w:hAnsi="Courier New"/>
                <w:sz w:val="16"/>
                <w:szCs w:val="16"/>
                <w:color w:val="auto"/>
              </w:rPr>
              <w:t>(UNAUDITED)</w:t>
            </w: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Additional</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Accumulated</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Other</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w w:val="93"/>
              </w:rPr>
              <w:t>Retained</w:t>
            </w:r>
          </w:p>
        </w:tc>
        <w:tc>
          <w:tcPr>
            <w:tcW w:w="9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Merger</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400" w:type="dxa"/>
            <w:vAlign w:val="bottom"/>
            <w:vMerge w:val="restart"/>
          </w:tcPr>
          <w:p>
            <w:pPr>
              <w:jc w:val="right"/>
              <w:ind w:right="304"/>
              <w:spacing w:after="0"/>
              <w:rPr>
                <w:sz w:val="20"/>
                <w:szCs w:val="20"/>
                <w:color w:val="auto"/>
              </w:rPr>
            </w:pPr>
            <w:r>
              <w:rPr>
                <w:rFonts w:ascii="Courier New" w:cs="Courier New" w:eastAsia="Courier New" w:hAnsi="Courier New"/>
                <w:sz w:val="16"/>
                <w:szCs w:val="16"/>
                <w:color w:val="auto"/>
              </w:rPr>
              <w:t>Shares</w:t>
            </w:r>
          </w:p>
        </w:tc>
        <w:tc>
          <w:tcPr>
            <w:tcW w:w="9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Amount</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Paid-in</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Comprehensive</w:t>
            </w:r>
          </w:p>
        </w:tc>
        <w:tc>
          <w:tcPr>
            <w:tcW w:w="9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Capital</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Income</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Earnings</w:t>
            </w:r>
          </w:p>
        </w:tc>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Reserve</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40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4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7"/>
              </w:rPr>
              <w:t>(dollars in thousands, except share data)</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Balance at May 31, 2002........</w:t>
            </w:r>
          </w:p>
        </w:tc>
        <w:tc>
          <w:tcPr>
            <w:tcW w:w="140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11,798,501</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$839</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$60,348</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($2,461)</w:t>
            </w:r>
          </w:p>
        </w:tc>
        <w:tc>
          <w:tcPr>
            <w:tcW w:w="9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2"/>
              </w:rPr>
              <w:t>$48,788</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c>
          <w:tcPr>
            <w:tcW w:w="0" w:type="dxa"/>
            <w:vAlign w:val="bottom"/>
          </w:tcPr>
          <w:p>
            <w:pPr>
              <w:spacing w:after="0"/>
              <w:rPr>
                <w:sz w:val="1"/>
                <w:szCs w:val="1"/>
                <w:color w:val="auto"/>
              </w:rPr>
            </w:pPr>
          </w:p>
        </w:tc>
      </w:tr>
      <w:tr>
        <w:trPr>
          <w:trHeight w:val="457"/>
        </w:trPr>
        <w:tc>
          <w:tcPr>
            <w:tcW w:w="32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Comprehensive Income:</w:t>
            </w:r>
          </w:p>
        </w:tc>
        <w:tc>
          <w:tcPr>
            <w:tcW w:w="140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8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3,973</w:t>
            </w: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3,973</w:t>
            </w:r>
          </w:p>
        </w:tc>
        <w:tc>
          <w:tcPr>
            <w:tcW w:w="0" w:type="dxa"/>
            <w:vAlign w:val="bottom"/>
          </w:tcPr>
          <w:p>
            <w:pPr>
              <w:spacing w:after="0"/>
              <w:rPr>
                <w:sz w:val="1"/>
                <w:szCs w:val="1"/>
                <w:color w:val="auto"/>
              </w:rPr>
            </w:pPr>
          </w:p>
        </w:tc>
      </w:tr>
      <w:tr>
        <w:trPr>
          <w:trHeight w:val="180"/>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Currency translation adjustment..</w:t>
            </w:r>
          </w:p>
        </w:tc>
        <w:tc>
          <w:tcPr>
            <w:tcW w:w="140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1,399</w:t>
            </w:r>
          </w:p>
        </w:tc>
        <w:tc>
          <w:tcPr>
            <w:tcW w:w="9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0" w:type="dxa"/>
            <w:vAlign w:val="bottom"/>
          </w:tcPr>
          <w:p>
            <w:pPr>
              <w:spacing w:after="0"/>
              <w:rPr>
                <w:sz w:val="1"/>
                <w:szCs w:val="1"/>
                <w:color w:val="auto"/>
              </w:rPr>
            </w:pPr>
          </w:p>
        </w:tc>
      </w:tr>
      <w:tr>
        <w:trPr>
          <w:trHeight w:val="180"/>
        </w:trPr>
        <w:tc>
          <w:tcPr>
            <w:tcW w:w="3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comprehensive income.......</w:t>
            </w: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280" w:type="dxa"/>
            <w:vAlign w:val="bottom"/>
            <w:vMerge w:val="continue"/>
          </w:tcPr>
          <w:p>
            <w:pPr>
              <w:spacing w:after="0"/>
              <w:rPr>
                <w:sz w:val="15"/>
                <w:szCs w:val="15"/>
                <w:color w:val="auto"/>
              </w:rPr>
            </w:pPr>
          </w:p>
        </w:tc>
        <w:tc>
          <w:tcPr>
            <w:tcW w:w="140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1,480</w:t>
            </w:r>
          </w:p>
        </w:tc>
        <w:tc>
          <w:tcPr>
            <w:tcW w:w="9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26</w:t>
            </w:r>
          </w:p>
        </w:tc>
        <w:tc>
          <w:tcPr>
            <w:tcW w:w="18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5,372</w:t>
            </w:r>
          </w:p>
        </w:tc>
        <w:tc>
          <w:tcPr>
            <w:tcW w:w="0" w:type="dxa"/>
            <w:vAlign w:val="bottom"/>
          </w:tcPr>
          <w:p>
            <w:pPr>
              <w:spacing w:after="0"/>
              <w:rPr>
                <w:sz w:val="1"/>
                <w:szCs w:val="1"/>
                <w:color w:val="auto"/>
              </w:rPr>
            </w:pPr>
          </w:p>
        </w:tc>
      </w:tr>
      <w:tr>
        <w:trPr>
          <w:trHeight w:val="180"/>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Exercise of Share Options........</w:t>
            </w: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180"/>
        </w:trPr>
        <w:tc>
          <w:tcPr>
            <w:tcW w:w="3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Balance at August 31, 2002.....</w:t>
            </w:r>
          </w:p>
        </w:tc>
        <w:tc>
          <w:tcPr>
            <w:tcW w:w="1400" w:type="dxa"/>
            <w:vAlign w:val="bottom"/>
            <w:vMerge w:val="restart"/>
          </w:tcPr>
          <w:p>
            <w:pPr>
              <w:jc w:val="right"/>
              <w:ind w:right="204"/>
              <w:spacing w:after="0"/>
              <w:rPr>
                <w:sz w:val="20"/>
                <w:szCs w:val="20"/>
                <w:color w:val="auto"/>
              </w:rPr>
            </w:pPr>
            <w:r>
              <w:rPr>
                <w:rFonts w:ascii="Courier New" w:cs="Courier New" w:eastAsia="Courier New" w:hAnsi="Courier New"/>
                <w:sz w:val="12"/>
                <w:szCs w:val="12"/>
                <w:color w:val="auto"/>
                <w:w w:val="70"/>
              </w:rPr>
              <w:t>11,799,981</w:t>
            </w:r>
            <w:r>
              <w:rPr>
                <w:rFonts w:ascii="Courier New" w:cs="Courier New" w:eastAsia="Courier New" w:hAnsi="Courier New"/>
                <w:sz w:val="21"/>
                <w:szCs w:val="21"/>
                <w:color w:val="auto"/>
                <w:w w:val="70"/>
                <w:vertAlign w:val="superscript"/>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$839</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$60,374</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($1,062)</w:t>
            </w:r>
          </w:p>
        </w:tc>
        <w:tc>
          <w:tcPr>
            <w:tcW w:w="9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2"/>
              </w:rPr>
              <w:t>$52,761</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$112,959</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40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2"/>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1440" w:right="139" w:bottom="1440" w:gutter="0" w:footer="0" w:header="0"/>
        </w:sectPr>
      </w:pPr>
    </w:p>
    <w:bookmarkStart w:id="7" w:name="page8"/>
    <w:bookmarkEnd w:id="7"/>
    <w:p>
      <w:pPr>
        <w:jc w:val="center"/>
        <w:ind w:right="2719"/>
        <w:spacing w:after="0"/>
        <w:rPr>
          <w:sz w:val="20"/>
          <w:szCs w:val="20"/>
          <w:color w:val="auto"/>
        </w:rPr>
      </w:pPr>
      <w:r>
        <w:rPr>
          <w:rFonts w:ascii="Courier New" w:cs="Courier New" w:eastAsia="Courier New" w:hAnsi="Courier New"/>
          <w:sz w:val="16"/>
          <w:szCs w:val="16"/>
          <w:color w:val="auto"/>
        </w:rPr>
        <w:t>ICON plc</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THE CONDENSED CONSOLIDATED FINANCIAL STATEMENTS</w:t>
      </w:r>
    </w:p>
    <w:p>
      <w:pPr>
        <w:spacing w:after="0" w:line="2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(UNAUDITED)</w:t>
      </w:r>
    </w:p>
    <w:p>
      <w:pPr>
        <w:jc w:val="center"/>
        <w:ind w:right="2639"/>
        <w:spacing w:after="0"/>
        <w:rPr>
          <w:sz w:val="20"/>
          <w:szCs w:val="20"/>
          <w:color w:val="auto"/>
        </w:rPr>
      </w:pPr>
      <w:r>
        <w:rPr>
          <w:rFonts w:ascii="Courier New" w:cs="Courier New" w:eastAsia="Courier New" w:hAnsi="Courier New"/>
          <w:sz w:val="16"/>
          <w:szCs w:val="16"/>
          <w:color w:val="auto"/>
        </w:rPr>
        <w:t>AUGUST 31, 2002</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79"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United States generally accepted accounting principles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2002, except as described below.</w:t>
      </w:r>
    </w:p>
    <w:p>
      <w:pPr>
        <w:spacing w:after="0" w:line="85" w:lineRule="exact"/>
        <w:rPr>
          <w:sz w:val="20"/>
          <w:szCs w:val="20"/>
          <w:color w:val="auto"/>
        </w:rPr>
      </w:pPr>
    </w:p>
    <w:p>
      <w:pPr>
        <w:ind w:right="2819"/>
        <w:spacing w:after="0" w:line="271"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2002 annual report on Form 20-F. Operating results for the three months ended August 31, 2002 are not necessarily indicative of the results that may be expected for the fiscal year ending May 31, 2003.</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Net income per Ordinary Shares</w:t>
      </w:r>
    </w:p>
    <w:p>
      <w:pPr>
        <w:spacing w:after="0" w:line="179" w:lineRule="exact"/>
        <w:rPr>
          <w:sz w:val="20"/>
          <w:szCs w:val="20"/>
          <w:color w:val="auto"/>
        </w:rPr>
      </w:pPr>
    </w:p>
    <w:p>
      <w:pPr>
        <w:ind w:right="2719"/>
        <w:spacing w:after="0" w:line="276" w:lineRule="auto"/>
        <w:rPr>
          <w:sz w:val="20"/>
          <w:szCs w:val="20"/>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75" w:lineRule="exact"/>
        <w:rPr>
          <w:sz w:val="20"/>
          <w:szCs w:val="20"/>
          <w:color w:val="auto"/>
        </w:rPr>
      </w:pPr>
    </w:p>
    <w:p>
      <w:pPr>
        <w:ind w:right="2899"/>
        <w:spacing w:after="0" w:line="321"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34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Three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34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7"/>
              </w:rPr>
              <w:t>August 31,</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4"/>
                <w:szCs w:val="24"/>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Ordinary Shares outstanding</w:t>
            </w: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11,798,354</w:t>
            </w:r>
          </w:p>
        </w:tc>
        <w:tc>
          <w:tcPr>
            <w:tcW w:w="1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11,499,311</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for basic net income per Ordinary Share</w:t>
            </w:r>
          </w:p>
        </w:tc>
        <w:tc>
          <w:tcPr>
            <w:tcW w:w="1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Effect of dilutive share options outstanding</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349,280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761,006</w:t>
            </w:r>
          </w:p>
        </w:tc>
        <w:tc>
          <w:tcPr>
            <w:tcW w:w="0" w:type="dxa"/>
            <w:vAlign w:val="bottom"/>
          </w:tcPr>
          <w:p>
            <w:pPr>
              <w:spacing w:after="0"/>
              <w:rPr>
                <w:sz w:val="1"/>
                <w:szCs w:val="1"/>
                <w:color w:val="auto"/>
              </w:rPr>
            </w:pPr>
          </w:p>
        </w:tc>
      </w:tr>
      <w:tr>
        <w:trPr>
          <w:trHeight w:val="264"/>
        </w:trPr>
        <w:tc>
          <w:tcPr>
            <w:tcW w:w="516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Weighted average number of Ordinary Shares for diluted</w:t>
            </w:r>
          </w:p>
        </w:tc>
        <w:tc>
          <w:tcPr>
            <w:tcW w:w="234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97"/>
        </w:trPr>
        <w:tc>
          <w:tcPr>
            <w:tcW w:w="5160" w:type="dxa"/>
            <w:vAlign w:val="bottom"/>
            <w:vMerge w:val="continue"/>
          </w:tcPr>
          <w:p>
            <w:pPr>
              <w:spacing w:after="0"/>
              <w:rPr>
                <w:sz w:val="8"/>
                <w:szCs w:val="8"/>
                <w:color w:val="auto"/>
              </w:rPr>
            </w:pPr>
          </w:p>
        </w:tc>
        <w:tc>
          <w:tcPr>
            <w:tcW w:w="12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12,147,634</w:t>
            </w:r>
          </w:p>
        </w:tc>
        <w:tc>
          <w:tcPr>
            <w:tcW w:w="1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12,260,317</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12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34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35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ICON plc</w:t>
      </w:r>
    </w:p>
    <w:p>
      <w:pPr>
        <w:spacing w:after="0" w:line="360" w:lineRule="exact"/>
        <w:rPr>
          <w:sz w:val="20"/>
          <w:szCs w:val="20"/>
          <w:color w:val="auto"/>
        </w:rPr>
      </w:pPr>
    </w:p>
    <w:p>
      <w:pPr>
        <w:ind w:right="3279"/>
        <w:spacing w:after="0" w:line="348"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5" w:lineRule="exact"/>
        <w:rPr>
          <w:sz w:val="20"/>
          <w:szCs w:val="20"/>
          <w:color w:val="auto"/>
        </w:rPr>
      </w:pPr>
    </w:p>
    <w:p>
      <w:pPr>
        <w:ind w:right="2819"/>
        <w:spacing w:after="0" w:line="281"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ICON's Annual Report on Form 20-F for the fiscal year ended May 31, 2002. The Consolidated Financial Statements have been prepared in accordance with accounting principles generally accepted in the United States.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79"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5"/>
          <w:szCs w:val="15"/>
          <w:color w:val="auto"/>
        </w:rPr>
        <w:t>The Company is a contract research organization, providing clinical research and development services on a global basis to the pharmaceutical and biotechnology industries. It specializes in the management, execution and analysis of complex multi-national clinical trials. The Company, headquartered in Dublin, Ireland, began operations in 1990 and, to date, has expanded its business through internal growth and strategic acquisitions. As of August 31, 2002, the Company had approximately 1,750 employees and operations in twenty-four locations in fifteen countries, including the United States, South America, South Africa and major markets in Europe and Rest of World. In the three months ended August 31, 2002, the Company derived 71.3%, 26.0% and 2.7% of its net revenue in the United States, Europe and the rest of world, respectively.</w:t>
      </w:r>
    </w:p>
    <w:p>
      <w:pPr>
        <w:spacing w:after="0" w:line="77"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5"/>
          <w:szCs w:val="15"/>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instalments over the study or trial duration, based on the achievement of certain performance targets or "milestones." Revenue for contracts is recognized on a percentage of completion basis as work is performed. As is customary in the CRO industry, the Company subcontracts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the Company views net revenue as its primary measure of revenue growth.</w:t>
      </w:r>
    </w:p>
    <w:p>
      <w:pPr>
        <w:spacing w:after="0" w:line="85" w:lineRule="exact"/>
        <w:rPr>
          <w:sz w:val="20"/>
          <w:szCs w:val="20"/>
          <w:color w:val="auto"/>
        </w:rPr>
      </w:pPr>
    </w:p>
    <w:p>
      <w:pPr>
        <w:ind w:right="2899"/>
        <w:spacing w:after="0" w:line="288"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6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As the nature of the Company's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the Company typically works with some, but not all, divisions of a client, fluctuations in the number and status of available projects within such divisions can also have a material impact on revenues earned from such clients from year to year.</w:t>
      </w:r>
    </w:p>
    <w:p>
      <w:pPr>
        <w:spacing w:after="0" w:line="89"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The Company, although domiciled in Ireland, reports its results in U.S. dollars. As a consequence, the results of its non-U.S. based operations, when translated into U.S. dollars, could be materially affected by fluctuations in exchange rates between the U.S. dollar and the currency of those operations.</w:t>
      </w:r>
    </w:p>
    <w:p>
      <w:pPr>
        <w:spacing w:after="0" w:line="71"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5"/>
          <w:szCs w:val="15"/>
          <w:color w:val="auto"/>
        </w:rPr>
        <w:t>In addition to translation exposures, the Company is also subject to transaction exposures because the currency in which contracts are priced can be different from the currencies in which costs relating to those contracts are incurred. The Company has nine operations trading in U.S. dollars, four trading in Euros, two in pounds Sterling, and one each in Australian dollars, Singapore dollars, Yen, Israeli New Shekels, Latvian Lats, Swedish Krona, South African Rands, Argentine Peso and Indian Rupee. The Company's operations in the United States are not materially exposed to such currency differences as the majority of its revenues and costs are in U.S. dollars. However, outside the United States the multinational nature of its activities means that contracts are usually priced in a single currency, most often pounds Sterling, U.S. dollars or Euros, while costs arise in a number of currencies, depending, among other things, on which of the Company's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Company's results of operations. The Company regularly reviews its currency exposures and hedges a portion of these, using forward exchange contracts, where natural hedges do not cover them. The introduction of the Euro on January 1, 1999, also reduced the exposures of the Company as four of its offices, and many of the countries where it is carrying out projects are within the Euro zone.</w:t>
      </w:r>
    </w:p>
    <w:p>
      <w:pPr>
        <w:spacing w:after="0" w:line="2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991" w:right="1440" w:bottom="0" w:gutter="0" w:footer="0" w:header="0"/>
        </w:sectPr>
      </w:pPr>
    </w:p>
    <w:bookmarkStart w:id="9" w:name="page10"/>
    <w:bookmarkEnd w:id="9"/>
    <w:p>
      <w:pPr>
        <w:ind w:right="960"/>
        <w:spacing w:after="0" w:line="246" w:lineRule="auto"/>
        <w:rPr>
          <w:sz w:val="20"/>
          <w:szCs w:val="20"/>
          <w:color w:val="auto"/>
        </w:rPr>
      </w:pPr>
      <w:r>
        <w:rPr>
          <w:rFonts w:ascii="Courier New" w:cs="Courier New" w:eastAsia="Courier New" w:hAnsi="Courier New"/>
          <w:sz w:val="16"/>
          <w:szCs w:val="16"/>
          <w:color w:val="auto"/>
        </w:rPr>
        <w:t>The Company has received capital and revenue grants from Forbairt, an Irish government agency. The Company records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a downsizing of the Company calculated by reference to any reduction in employee numbers. The Company has not recognized any loss contingency having assessed as remote the likelihood of these events arising. Up to August 31, 2002, the Company had received $1,136,254 and $1,032,580 under the capital grants and operating grants, respectively. Pursuant to the terms of the grant agreements the Company is restricted from distributing some of these amounts by way of dividend or otherwise.</w:t>
      </w:r>
    </w:p>
    <w:p>
      <w:pPr>
        <w:spacing w:after="0" w:line="94" w:lineRule="exact"/>
        <w:rPr>
          <w:sz w:val="20"/>
          <w:szCs w:val="20"/>
          <w:color w:val="auto"/>
        </w:rPr>
      </w:pPr>
    </w:p>
    <w:p>
      <w:pPr>
        <w:ind w:right="960"/>
        <w:spacing w:after="0" w:line="257" w:lineRule="auto"/>
        <w:rPr>
          <w:sz w:val="20"/>
          <w:szCs w:val="20"/>
          <w:color w:val="auto"/>
        </w:rPr>
      </w:pPr>
      <w:r>
        <w:rPr>
          <w:rFonts w:ascii="Courier New" w:cs="Courier New" w:eastAsia="Courier New" w:hAnsi="Courier New"/>
          <w:sz w:val="16"/>
          <w:szCs w:val="16"/>
          <w:color w:val="auto"/>
        </w:rPr>
        <w:t>As the Company conducts operations on a global basis, the Company's effective tax rate has depended and will depend on the geographic distribution of its revenue and earnings among locations with varying tax rates. The Company's results of operations therefore may be affected by changes in the tax rates of the various jurisdictions. In particular, as the geographic mix of the Company's results of operations among various tax jurisdictions changes, the Company's effective tax rate may vary significantly from period to period.</w:t>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right="1140"/>
        <w:spacing w:after="0" w:line="348" w:lineRule="auto"/>
        <w:rPr>
          <w:sz w:val="20"/>
          <w:szCs w:val="20"/>
          <w:color w:val="auto"/>
        </w:rPr>
      </w:pPr>
      <w:r>
        <w:rPr>
          <w:rFonts w:ascii="Courier New" w:cs="Courier New" w:eastAsia="Courier New" w:hAnsi="Courier New"/>
          <w:sz w:val="16"/>
          <w:szCs w:val="16"/>
          <w:color w:val="auto"/>
        </w:rPr>
        <w:t>Three Months Ended August 31, 2002 Compared with Three Months Ended August 31, 2001</w:t>
      </w:r>
    </w:p>
    <w:p>
      <w:pPr>
        <w:spacing w:after="0" w:line="15" w:lineRule="exact"/>
        <w:rPr>
          <w:sz w:val="20"/>
          <w:szCs w:val="20"/>
          <w:color w:val="auto"/>
        </w:rPr>
      </w:pPr>
    </w:p>
    <w:p>
      <w:pPr>
        <w:ind w:right="960"/>
        <w:spacing w:after="0" w:line="275"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30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August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August 31,</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361"/>
        </w:trPr>
        <w:tc>
          <w:tcPr>
            <w:tcW w:w="422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Percentage of Net Revenue</w:t>
            </w:r>
          </w:p>
        </w:tc>
        <w:tc>
          <w:tcPr>
            <w:tcW w:w="0" w:type="dxa"/>
            <w:vAlign w:val="bottom"/>
          </w:tcPr>
          <w:p>
            <w:pPr>
              <w:spacing w:after="0"/>
              <w:rPr>
                <w:sz w:val="1"/>
                <w:szCs w:val="1"/>
                <w:color w:val="auto"/>
              </w:rPr>
            </w:pPr>
          </w:p>
        </w:tc>
      </w:tr>
      <w:tr>
        <w:trPr>
          <w:trHeight w:val="457"/>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78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54.3%</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52.3%</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7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32.4%</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1240"/>
        <w:spacing w:after="0" w:line="266" w:lineRule="auto"/>
        <w:rPr>
          <w:sz w:val="20"/>
          <w:szCs w:val="20"/>
          <w:color w:val="auto"/>
        </w:rPr>
      </w:pPr>
      <w:r>
        <w:rPr>
          <w:rFonts w:ascii="Courier New" w:cs="Courier New" w:eastAsia="Courier New" w:hAnsi="Courier New"/>
          <w:sz w:val="16"/>
          <w:szCs w:val="16"/>
          <w:color w:val="auto"/>
        </w:rPr>
        <w:t>Net revenue increased by $10.7 million, or 29.4%, from $36.2 million to $46.9 million. This increase arose through a combination of increased business from existing clients and business won from new clients. Of the total increase, revenues in the United States, Europe/Rest of World grew by 33.9% and 19.5%, respectively.</w:t>
      </w:r>
    </w:p>
    <w:p>
      <w:pPr>
        <w:spacing w:after="0" w:line="78" w:lineRule="exact"/>
        <w:rPr>
          <w:sz w:val="20"/>
          <w:szCs w:val="20"/>
          <w:color w:val="auto"/>
        </w:rPr>
      </w:pPr>
    </w:p>
    <w:p>
      <w:pPr>
        <w:ind w:right="1060"/>
        <w:spacing w:after="0" w:line="266" w:lineRule="auto"/>
        <w:rPr>
          <w:sz w:val="20"/>
          <w:szCs w:val="20"/>
          <w:color w:val="auto"/>
        </w:rPr>
      </w:pPr>
      <w:r>
        <w:rPr>
          <w:rFonts w:ascii="Courier New" w:cs="Courier New" w:eastAsia="Courier New" w:hAnsi="Courier New"/>
          <w:sz w:val="16"/>
          <w:szCs w:val="16"/>
          <w:color w:val="auto"/>
        </w:rPr>
        <w:t>Direct costs increased by $6.5 million, or 34.2%, from $18.9 million to $25.4 million, primarily due to increased staff numbers needed to support increased project related activity. Direct costs as a percentage of net revenue increased from 52.3% in the three months to August 31, 2001, to 54.3% for the quarter ended August 31, 2002.</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 increased by $2.9 million, or</w:t>
      </w:r>
    </w:p>
    <w:p>
      <w:pPr>
        <w:spacing w:after="0" w:line="27" w:lineRule="exact"/>
        <w:rPr>
          <w:sz w:val="20"/>
          <w:szCs w:val="20"/>
          <w:color w:val="auto"/>
        </w:rPr>
      </w:pPr>
    </w:p>
    <w:p>
      <w:pPr>
        <w:ind w:right="960"/>
        <w:spacing w:after="0" w:line="285" w:lineRule="auto"/>
        <w:rPr>
          <w:sz w:val="20"/>
          <w:szCs w:val="20"/>
          <w:color w:val="auto"/>
        </w:rPr>
      </w:pPr>
      <w:r>
        <w:rPr>
          <w:rFonts w:ascii="Courier New" w:cs="Courier New" w:eastAsia="Courier New" w:hAnsi="Courier New"/>
          <w:sz w:val="15"/>
          <w:szCs w:val="15"/>
          <w:color w:val="auto"/>
        </w:rPr>
        <w:t>24.8%, from $11.7 million to $14.6 million. The increase in costs is due to the continued expansion of the Company's operations. As a percentage of net revenue, selling, general and administrative expenses decreased from 32.4% in the three months to August 31, 2001, to 31.2% for the quarter ended August 31, 2002.</w:t>
      </w:r>
    </w:p>
    <w:p>
      <w:pPr>
        <w:spacing w:after="0" w:line="67" w:lineRule="exact"/>
        <w:rPr>
          <w:sz w:val="20"/>
          <w:szCs w:val="20"/>
          <w:color w:val="auto"/>
        </w:rPr>
      </w:pPr>
    </w:p>
    <w:p>
      <w:pPr>
        <w:ind w:right="1060"/>
        <w:spacing w:after="0" w:line="281" w:lineRule="auto"/>
        <w:rPr>
          <w:sz w:val="20"/>
          <w:szCs w:val="20"/>
          <w:color w:val="auto"/>
        </w:rPr>
      </w:pPr>
      <w:r>
        <w:rPr>
          <w:rFonts w:ascii="Courier New" w:cs="Courier New" w:eastAsia="Courier New" w:hAnsi="Courier New"/>
          <w:sz w:val="15"/>
          <w:szCs w:val="15"/>
          <w:color w:val="auto"/>
        </w:rPr>
        <w:t>Depreciation and amortization expense increased by $0.1 million, or 8.4%, over the same quarter last year. This increase is due to the continued investment in facilities and information technology to support the growth in activity and in providing for future capacity. As a percentage of net revenue depreciation and amortisation decreased from 4.0% of net revenues in the three months to August 31, 2001 to 3.4% for the quarter ended August 31, 2002.</w:t>
      </w:r>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2002</w:t>
      </w:r>
    </w:p>
    <w:p>
      <w:pPr>
        <w:spacing w:after="0" w:line="2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to 2001</w:t>
      </w:r>
    </w:p>
    <w:p>
      <w:pPr>
        <w:jc w:val="center"/>
        <w:ind w:right="99"/>
        <w:spacing w:after="0"/>
        <w:rPr>
          <w:sz w:val="20"/>
          <w:szCs w:val="20"/>
          <w:color w:val="auto"/>
        </w:rPr>
      </w:pPr>
      <w:r>
        <w:rPr>
          <w:rFonts w:ascii="Courier New" w:cs="Courier New" w:eastAsia="Courier New" w:hAnsi="Courier New"/>
          <w:sz w:val="15"/>
          <w:szCs w:val="15"/>
          <w:color w:val="auto"/>
        </w:rPr>
        <w:t>Percentage</w:t>
      </w:r>
    </w:p>
    <w:p>
      <w:pPr>
        <w:spacing w:after="0" w:line="1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Increase</w:t>
      </w:r>
    </w:p>
    <w:p>
      <w:pPr>
        <w:spacing w:after="0" w:line="332" w:lineRule="exact"/>
        <w:rPr>
          <w:sz w:val="20"/>
          <w:szCs w:val="20"/>
          <w:color w:val="auto"/>
        </w:rPr>
      </w:pPr>
    </w:p>
    <w:p>
      <w:pPr>
        <w:jc w:val="right"/>
        <w:ind w:right="99"/>
        <w:spacing w:after="0"/>
        <w:rPr>
          <w:sz w:val="20"/>
          <w:szCs w:val="20"/>
          <w:color w:val="auto"/>
        </w:rPr>
      </w:pPr>
      <w:r>
        <w:rPr>
          <w:rFonts w:ascii="Courier New" w:cs="Courier New" w:eastAsia="Courier New" w:hAnsi="Courier New"/>
          <w:sz w:val="16"/>
          <w:szCs w:val="16"/>
          <w:color w:val="auto"/>
        </w:rPr>
        <w:t>29.4%</w:t>
      </w:r>
    </w:p>
    <w:p>
      <w:pPr>
        <w:spacing w:after="0" w:line="179" w:lineRule="exact"/>
        <w:rPr>
          <w:sz w:val="20"/>
          <w:szCs w:val="20"/>
          <w:color w:val="auto"/>
        </w:rPr>
      </w:pPr>
    </w:p>
    <w:p>
      <w:pPr>
        <w:jc w:val="right"/>
        <w:ind w:right="99"/>
        <w:spacing w:after="0"/>
        <w:rPr>
          <w:sz w:val="20"/>
          <w:szCs w:val="20"/>
          <w:color w:val="auto"/>
        </w:rPr>
      </w:pPr>
      <w:r>
        <w:rPr>
          <w:rFonts w:ascii="Courier New" w:cs="Courier New" w:eastAsia="Courier New" w:hAnsi="Courier New"/>
          <w:sz w:val="16"/>
          <w:szCs w:val="16"/>
          <w:color w:val="auto"/>
        </w:rPr>
        <w:t>34.2%</w:t>
      </w:r>
    </w:p>
    <w:p>
      <w:pPr>
        <w:spacing w:after="0" w:line="26" w:lineRule="exact"/>
        <w:rPr>
          <w:sz w:val="20"/>
          <w:szCs w:val="20"/>
          <w:color w:val="auto"/>
        </w:rPr>
      </w:pPr>
    </w:p>
    <w:p>
      <w:pPr>
        <w:jc w:val="right"/>
        <w:ind w:right="99"/>
        <w:spacing w:after="0"/>
        <w:rPr>
          <w:sz w:val="20"/>
          <w:szCs w:val="20"/>
          <w:color w:val="auto"/>
        </w:rPr>
      </w:pPr>
      <w:r>
        <w:rPr>
          <w:rFonts w:ascii="Courier New" w:cs="Courier New" w:eastAsia="Courier New" w:hAnsi="Courier New"/>
          <w:sz w:val="16"/>
          <w:szCs w:val="16"/>
          <w:color w:val="auto"/>
        </w:rPr>
        <w:t>24.8%</w:t>
      </w:r>
    </w:p>
    <w:p>
      <w:pPr>
        <w:jc w:val="right"/>
        <w:ind w:right="99"/>
        <w:spacing w:after="0"/>
        <w:rPr>
          <w:sz w:val="20"/>
          <w:szCs w:val="20"/>
          <w:color w:val="auto"/>
        </w:rPr>
      </w:pPr>
      <w:r>
        <w:rPr>
          <w:rFonts w:ascii="Courier New" w:cs="Courier New" w:eastAsia="Courier New" w:hAnsi="Courier New"/>
          <w:sz w:val="16"/>
          <w:szCs w:val="16"/>
          <w:color w:val="auto"/>
        </w:rPr>
        <w:t>8.4%</w:t>
      </w:r>
    </w:p>
    <w:p>
      <w:pPr>
        <w:jc w:val="right"/>
        <w:ind w:right="99"/>
        <w:spacing w:after="0"/>
        <w:rPr>
          <w:sz w:val="20"/>
          <w:szCs w:val="20"/>
          <w:color w:val="auto"/>
        </w:rPr>
      </w:pPr>
      <w:r>
        <w:rPr>
          <w:rFonts w:ascii="Courier New" w:cs="Courier New" w:eastAsia="Courier New" w:hAnsi="Courier New"/>
          <w:sz w:val="16"/>
          <w:szCs w:val="16"/>
          <w:color w:val="auto"/>
        </w:rPr>
        <w:t>27.2%</w:t>
      </w:r>
    </w:p>
    <w:p>
      <w:pPr>
        <w:sectPr>
          <w:pgSz w:w="11900" w:h="16838" w:orient="portrait"/>
          <w:cols w:equalWidth="0" w:num="2">
            <w:col w:w="8460" w:space="720"/>
            <w:col w:w="1039"/>
          </w:cols>
          <w:pgMar w:left="240" w:top="631" w:right="1440" w:bottom="671" w:gutter="0" w:footer="0" w:header="0"/>
        </w:sectPr>
      </w:pPr>
    </w:p>
    <w:bookmarkStart w:id="10" w:name="page11"/>
    <w:bookmarkEnd w:id="10"/>
    <w:p>
      <w:pPr>
        <w:ind w:right="2719"/>
        <w:spacing w:after="0" w:line="275" w:lineRule="auto"/>
        <w:rPr>
          <w:sz w:val="20"/>
          <w:szCs w:val="20"/>
          <w:color w:val="auto"/>
        </w:rPr>
      </w:pPr>
      <w:r>
        <w:rPr>
          <w:rFonts w:ascii="Courier New" w:cs="Courier New" w:eastAsia="Courier New" w:hAnsi="Courier New"/>
          <w:sz w:val="16"/>
          <w:szCs w:val="16"/>
          <w:color w:val="auto"/>
        </w:rPr>
        <w:t>Income from operations increased by $1.1 million, or 27.2%, from $4.1 million to $5.2 million. As a percentage of net revenue, income from operations decreased from 11.3% for the three months ended August 31, 2001 to 11.1% of net revenues for the three months ended August 31, 2002.</w:t>
      </w:r>
    </w:p>
    <w:p>
      <w:pPr>
        <w:spacing w:after="0" w:line="71"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Net interest income for the three months ended August 31, 2002 was $0.2 million compared to $0.3 million for the equivalent period last year. Net cash invested decreased from $43.1 million at May 31, 2002 to $38.9 million at August 31, 2002. Lower average interest rates for the first quarter of fiscal 2003, when compared to the same period last year contributed to the lower returns on our investments.</w:t>
      </w:r>
    </w:p>
    <w:p>
      <w:pPr>
        <w:spacing w:after="0" w:line="84"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The Company's effective tax rate for the three months ended August 31, 2002 was 26.5% compared to 25.1% for the comparable period last year. The increase in the effective rate was due to a change in the geographic distribution of pre-tax earnings.</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819"/>
        <w:spacing w:after="0" w:line="269" w:lineRule="auto"/>
        <w:rPr>
          <w:sz w:val="20"/>
          <w:szCs w:val="20"/>
          <w:color w:val="auto"/>
        </w:rPr>
      </w:pPr>
      <w:r>
        <w:rPr>
          <w:rFonts w:ascii="Courier New" w:cs="Courier New" w:eastAsia="Courier New" w:hAnsi="Courier New"/>
          <w:sz w:val="15"/>
          <w:szCs w:val="15"/>
          <w:color w:val="auto"/>
        </w:rPr>
        <w:t>The CRO industry generally is not capital intensive. Since its inception, the Company has financed its operations and growth primarily with cash flow from operations. In addition, in May 1998, the Company received approximately $49.1 million in net proceeds from its initial public offering. The Company's principal cash needs are payment of salaries, office rents, travel expenditures and payments to subcontractors. The aggregate amount of employee compensation, excluding stock compensation expense, paid by the Company and its subsidiaries in the three months ended August 31, 2001 and August 31, 2002 amounted to $19.8 million and $27.8 million, respectively. Investing activities primarily reflect capital expenditures for facilities and for information systems enhancements.</w:t>
      </w:r>
    </w:p>
    <w:p>
      <w:pPr>
        <w:spacing w:after="0" w:line="80"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Company's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91"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6"/>
          <w:szCs w:val="16"/>
          <w:color w:val="auto"/>
        </w:rPr>
        <w:t>As of August 31, 2002, the Company's working capital amounted to $75.9 million, compared to $72.9 million at May 31, 2002. The most significant influence on the Company's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63 days at August 31, 2002, and 67 days at May 31, 2002.</w:t>
      </w:r>
    </w:p>
    <w:p>
      <w:pPr>
        <w:spacing w:after="0" w:line="89" w:lineRule="exact"/>
        <w:rPr>
          <w:sz w:val="20"/>
          <w:szCs w:val="20"/>
          <w:color w:val="auto"/>
        </w:rPr>
      </w:pPr>
    </w:p>
    <w:p>
      <w:pPr>
        <w:ind w:right="2719"/>
        <w:spacing w:after="0" w:line="293" w:lineRule="auto"/>
        <w:rPr>
          <w:sz w:val="20"/>
          <w:szCs w:val="20"/>
          <w:color w:val="auto"/>
        </w:rPr>
      </w:pPr>
      <w:r>
        <w:rPr>
          <w:rFonts w:ascii="Courier New" w:cs="Courier New" w:eastAsia="Courier New" w:hAnsi="Courier New"/>
          <w:sz w:val="16"/>
          <w:szCs w:val="16"/>
          <w:color w:val="auto"/>
        </w:rPr>
        <w:t>Net cash provided by operating activities was $2.0 million in the three months ended August 31, 2002, compared to $7.3 million in the three months ended August 31, 2001.</w:t>
      </w:r>
    </w:p>
    <w:p>
      <w:pPr>
        <w:spacing w:after="0" w:line="58" w:lineRule="exact"/>
        <w:rPr>
          <w:sz w:val="20"/>
          <w:szCs w:val="20"/>
          <w:color w:val="auto"/>
        </w:rPr>
      </w:pPr>
    </w:p>
    <w:p>
      <w:pPr>
        <w:ind w:right="2719"/>
        <w:spacing w:after="0" w:line="293" w:lineRule="auto"/>
        <w:rPr>
          <w:sz w:val="20"/>
          <w:szCs w:val="20"/>
          <w:color w:val="auto"/>
        </w:rPr>
      </w:pPr>
      <w:r>
        <w:rPr>
          <w:rFonts w:ascii="Courier New" w:cs="Courier New" w:eastAsia="Courier New" w:hAnsi="Courier New"/>
          <w:sz w:val="16"/>
          <w:szCs w:val="16"/>
          <w:color w:val="auto"/>
        </w:rPr>
        <w:t>Net cash used in investing activities was $4.8 million in the three months ended August 31, 2002, compared to $2.4 million provided by investing activities in the three months ended August 31, 2001.</w:t>
      </w:r>
    </w:p>
    <w:p>
      <w:pPr>
        <w:spacing w:after="0" w:line="58" w:lineRule="exact"/>
        <w:rPr>
          <w:sz w:val="20"/>
          <w:szCs w:val="20"/>
          <w:color w:val="auto"/>
        </w:rPr>
      </w:pPr>
    </w:p>
    <w:p>
      <w:pPr>
        <w:ind w:right="2719"/>
        <w:spacing w:after="0" w:line="293" w:lineRule="auto"/>
        <w:rPr>
          <w:sz w:val="20"/>
          <w:szCs w:val="20"/>
          <w:color w:val="auto"/>
        </w:rPr>
      </w:pPr>
      <w:r>
        <w:rPr>
          <w:rFonts w:ascii="Courier New" w:cs="Courier New" w:eastAsia="Courier New" w:hAnsi="Courier New"/>
          <w:sz w:val="16"/>
          <w:szCs w:val="16"/>
          <w:color w:val="auto"/>
        </w:rPr>
        <w:t>Net cash used in financing activities was $0.7 million in the three months ended August 31, 2002, compared with $0.9 million provided by financing activities in the three months ended August 31, 2001.</w:t>
      </w:r>
    </w:p>
    <w:p>
      <w:pPr>
        <w:spacing w:after="0" w:line="58" w:lineRule="exact"/>
        <w:rPr>
          <w:sz w:val="20"/>
          <w:szCs w:val="20"/>
          <w:color w:val="auto"/>
        </w:rPr>
      </w:pPr>
    </w:p>
    <w:p>
      <w:pPr>
        <w:ind w:right="2999"/>
        <w:spacing w:after="0" w:line="293" w:lineRule="auto"/>
        <w:rPr>
          <w:sz w:val="20"/>
          <w:szCs w:val="20"/>
          <w:color w:val="auto"/>
        </w:rPr>
      </w:pPr>
      <w:r>
        <w:rPr>
          <w:rFonts w:ascii="Courier New" w:cs="Courier New" w:eastAsia="Courier New" w:hAnsi="Courier New"/>
          <w:sz w:val="16"/>
          <w:szCs w:val="16"/>
          <w:color w:val="auto"/>
        </w:rPr>
        <w:t>As a result of these cash flows, cash and cash equivalents decreased by $3.4 million in the three months ended August 31, 2002, compared to an increase of $11.0 million in the three months ended August 31, 2001.</w:t>
      </w:r>
    </w:p>
    <w:p>
      <w:pPr>
        <w:spacing w:after="0" w:line="58"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6"/>
          <w:szCs w:val="16"/>
          <w:color w:val="auto"/>
        </w:rPr>
        <w:t>On November 17, 1998, the Company entered into an overdraft facility (the "A.I.B. facility") for (euro)2.5 million (U.S.$2.5 million) with Allied Irish Banks plc ("A.I.B."). This facility bears interest at an annual rate equal to A.I.B. Bank's Prime Rate. The full sum of the unpaid principal and interest is due and repayable on demand. This A.I.B. facility will be reviewed on September 30, 2003. As of August 31, 2002, (euro)1.1 million (U.S.$1.1 million) was available to be drawn.</w:t>
      </w:r>
    </w:p>
    <w:p>
      <w:pPr>
        <w:spacing w:after="0" w:line="84"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The Company's U.S. subsidiary, ICON Clinical Research, Inc. (the "Borrower"), has a $12 million secured line of credit (the "PNC Facility") with PNC Bank N.A ("P.N.C."). Borrowings under the PNC Facility must be the lesser of (a) $12 million and (b) the sum of (i) 80% of the borrower's gross accounts receivables less than 90 days from the date of invoice issuance ("Qualified receivables") plus (ii) 50% of gross unbilled receivables less than 90 days ("Qualified unbilled receivables") provided always that drawings against Qualified unbilled receivables shall at not time exceed 50% of drawings against Qualified receivables. The PNC</w:t>
      </w: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1" w:right="1440" w:bottom="0" w:gutter="0" w:footer="0" w:header="0"/>
        </w:sectPr>
      </w:pPr>
    </w:p>
    <w:bookmarkStart w:id="11" w:name="page12"/>
    <w:bookmarkEnd w:id="11"/>
    <w:p>
      <w:pPr>
        <w:ind w:right="2819"/>
        <w:spacing w:after="0" w:line="260" w:lineRule="auto"/>
        <w:rPr>
          <w:sz w:val="20"/>
          <w:szCs w:val="20"/>
          <w:color w:val="auto"/>
        </w:rPr>
      </w:pPr>
      <w:r>
        <w:rPr>
          <w:rFonts w:ascii="Courier New" w:cs="Courier New" w:eastAsia="Courier New" w:hAnsi="Courier New"/>
          <w:sz w:val="16"/>
          <w:szCs w:val="16"/>
          <w:color w:val="auto"/>
        </w:rPr>
        <w:t>Facility bears interest at an annual rate equal to PNC's Prime Rate plus one-quarter percent. The full sum of the unpaid principal and interest is due and payable on demand. The PNC Facility is secured by a first priority security interest in certain assets of the Borrower. This facility will expire on December 31, 2002. As of August 31, 2002, $9.1 million was drawn down of the available $12 million.</w:t>
      </w:r>
    </w:p>
    <w:p>
      <w:pPr>
        <w:spacing w:after="0" w:line="84"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The Company has entered into an overdraft agreement with A.I.B., whereby the Company guarantees any overdrafts of its subsidiaries, ICON Clinical Research GmbH and ICON Clinical Research Israel Ltd., up to an amount (euro)112,484 (U.S.$110,522) and U.S.$250,000 (ILS 1,165,610), respectively. As of August 31, 2002, the full German facility and Israeli facility were available to be drawn down.</w:t>
      </w:r>
    </w:p>
    <w:p>
      <w:pPr>
        <w:spacing w:after="0" w:line="84"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5"/>
          <w:szCs w:val="15"/>
          <w:color w:val="auto"/>
        </w:rPr>
        <w:t>The Company expects to spend approximately U.S.$15 million in the next twelve months on further investments in information technology, the expansion of existing facilities and the addition of new offices and expects an increased level of spending in subsequent years. The Company believes that it will be able to fund its additional foreseeable cash needs for the next twelve months from cash flow from operations and existing cash balances. In the future, the Company will consider acquiring further businesses to enhance its service offerings and global presence. Any such acquisitions may require additional external financing and the Company may from time to time seek to obtain funds from public or private issues of equity or debt securities. There can be no assurance that such financing will be available on terms acceptable to the Company.</w:t>
      </w:r>
    </w:p>
    <w:p>
      <w:pPr>
        <w:spacing w:after="0" w:line="77" w:lineRule="exact"/>
        <w:rPr>
          <w:sz w:val="20"/>
          <w:szCs w:val="20"/>
          <w:color w:val="auto"/>
        </w:rPr>
      </w:pPr>
    </w:p>
    <w:p>
      <w:pPr>
        <w:ind w:right="3099"/>
        <w:spacing w:after="0" w:line="293" w:lineRule="auto"/>
        <w:rPr>
          <w:sz w:val="20"/>
          <w:szCs w:val="20"/>
          <w:color w:val="auto"/>
        </w:rPr>
      </w:pPr>
      <w:r>
        <w:rPr>
          <w:rFonts w:ascii="Courier New" w:cs="Courier New" w:eastAsia="Courier New" w:hAnsi="Courier New"/>
          <w:sz w:val="16"/>
          <w:szCs w:val="16"/>
          <w:color w:val="auto"/>
        </w:rPr>
        <w:t>On October 9, 2002 the Company completed an acquisition of Barton &amp; Polansky Associates, Inc. and its sister company Managed Clinical Solutions, Inc., contract research organisations in New York, New York.</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Segment Information</w:t>
      </w:r>
    </w:p>
    <w:p>
      <w:pPr>
        <w:spacing w:after="0" w:line="179" w:lineRule="exact"/>
        <w:rPr>
          <w:sz w:val="20"/>
          <w:szCs w:val="20"/>
          <w:color w:val="auto"/>
        </w:rPr>
      </w:pPr>
    </w:p>
    <w:p>
      <w:pPr>
        <w:ind w:right="3379"/>
        <w:spacing w:after="0" w:line="293" w:lineRule="auto"/>
        <w:rPr>
          <w:sz w:val="20"/>
          <w:szCs w:val="20"/>
          <w:color w:val="auto"/>
        </w:rPr>
      </w:pPr>
      <w:r>
        <w:rPr>
          <w:rFonts w:ascii="Courier New" w:cs="Courier New" w:eastAsia="Courier New" w:hAnsi="Courier New"/>
          <w:sz w:val="16"/>
          <w:szCs w:val="16"/>
          <w:color w:val="auto"/>
        </w:rPr>
        <w:t>The Company has adopted the provisions of SFAS No. 131 "Disclosures About Segments of an Enterprise and Related Information" which established new standards for reporting segmental information.</w:t>
      </w:r>
    </w:p>
    <w:p>
      <w:pPr>
        <w:spacing w:after="0" w:line="58" w:lineRule="exact"/>
        <w:rPr>
          <w:sz w:val="20"/>
          <w:szCs w:val="20"/>
          <w:color w:val="auto"/>
        </w:rPr>
      </w:pPr>
    </w:p>
    <w:p>
      <w:pPr>
        <w:ind w:right="2899"/>
        <w:spacing w:after="0" w:line="275" w:lineRule="auto"/>
        <w:rPr>
          <w:sz w:val="20"/>
          <w:szCs w:val="20"/>
          <w:color w:val="auto"/>
        </w:rPr>
      </w:pPr>
      <w:r>
        <w:rPr>
          <w:rFonts w:ascii="Courier New" w:cs="Courier New" w:eastAsia="Courier New" w:hAnsi="Courier New"/>
          <w:sz w:val="16"/>
          <w:szCs w:val="16"/>
          <w:color w:val="auto"/>
        </w:rPr>
        <w:t>The Company's areas of operation outside of Ireland principally include the United Kingdom, United States, Germany, Australia, Argentina, France, Japan, Israel, Singapore, South Africa and India. Segment information for the periods ended August 31, 2002 and 2001 are as follows:</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The distribution of net revenue by geographical area was as follows:</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Ireland*</w:t>
            </w:r>
          </w:p>
        </w:tc>
        <w:tc>
          <w:tcPr>
            <w:tcW w:w="2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$5,166</w:t>
            </w: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(in thousands)</w:t>
            </w:r>
          </w:p>
        </w:tc>
        <w:tc>
          <w:tcPr>
            <w:tcW w:w="0" w:type="dxa"/>
            <w:vAlign w:val="bottom"/>
          </w:tcPr>
          <w:p>
            <w:pPr>
              <w:spacing w:after="0"/>
              <w:rPr>
                <w:sz w:val="1"/>
                <w:szCs w:val="1"/>
                <w:color w:val="auto"/>
              </w:rPr>
            </w:pPr>
          </w:p>
        </w:tc>
      </w:tr>
      <w:tr>
        <w:trPr>
          <w:trHeight w:val="180"/>
        </w:trPr>
        <w:tc>
          <w:tcPr>
            <w:tcW w:w="286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$4,407</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7,015</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6,113</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33,394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24,948</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1,284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2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3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$46,859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$36,219</w:t>
            </w:r>
          </w:p>
        </w:tc>
      </w:tr>
    </w:tbl>
    <w:p>
      <w:pPr>
        <w:ind w:left="18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80" w:hanging="196"/>
        <w:spacing w:after="0"/>
        <w:tabs>
          <w:tab w:leader="none" w:pos="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sales shown for Ireland are export sales.</w:t>
      </w:r>
    </w:p>
    <w:p>
      <w:pPr>
        <w:spacing w:after="0" w:line="151" w:lineRule="exact"/>
        <w:rPr>
          <w:rFonts w:ascii="Courier New" w:cs="Courier New" w:eastAsia="Courier New" w:hAnsi="Courier New"/>
          <w:sz w:val="16"/>
          <w:szCs w:val="16"/>
          <w:color w:val="auto"/>
        </w:rPr>
      </w:pPr>
    </w:p>
    <w:p>
      <w:pPr>
        <w:ind w:left="740" w:hanging="275"/>
        <w:spacing w:after="0"/>
        <w:tabs>
          <w:tab w:leader="none" w:pos="7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net revenue by business segment was as follows:</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3060" w:type="dxa"/>
            <w:vAlign w:val="bottom"/>
            <w:vMerge w:val="restart"/>
          </w:tcPr>
          <w:p>
            <w:pPr>
              <w:spacing w:after="0"/>
              <w:rPr>
                <w:sz w:val="20"/>
                <w:szCs w:val="20"/>
                <w:color w:val="auto"/>
              </w:rPr>
            </w:pPr>
            <w:r>
              <w:rPr>
                <w:rFonts w:ascii="Courier New" w:cs="Courier New" w:eastAsia="Courier New" w:hAnsi="Courier New"/>
                <w:sz w:val="16"/>
                <w:szCs w:val="16"/>
                <w:color w:val="auto"/>
              </w:rPr>
              <w:t>Central laboratory</w:t>
            </w:r>
          </w:p>
        </w:tc>
        <w:tc>
          <w:tcPr>
            <w:tcW w:w="2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$7,187</w:t>
            </w: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(in thousands)</w:t>
            </w:r>
          </w:p>
        </w:tc>
        <w:tc>
          <w:tcPr>
            <w:tcW w:w="0" w:type="dxa"/>
            <w:vAlign w:val="bottom"/>
          </w:tcPr>
          <w:p>
            <w:pPr>
              <w:spacing w:after="0"/>
              <w:rPr>
                <w:sz w:val="1"/>
                <w:szCs w:val="1"/>
                <w:color w:val="auto"/>
              </w:rPr>
            </w:pPr>
          </w:p>
        </w:tc>
      </w:tr>
      <w:tr>
        <w:trPr>
          <w:trHeight w:val="180"/>
        </w:trPr>
        <w:tc>
          <w:tcPr>
            <w:tcW w:w="306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39,672</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31,219</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2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3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$46,859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$36,219</w:t>
            </w:r>
          </w:p>
        </w:tc>
      </w:tr>
    </w:tbl>
    <w:p>
      <w:pPr>
        <w:ind w:left="18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left="740" w:hanging="275"/>
        <w:spacing w:after="0"/>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income from operations by geographical area was as</w:t>
      </w:r>
    </w:p>
    <w:p>
      <w:pPr>
        <w:spacing w:after="0" w:line="2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follows:</w:t>
      </w:r>
    </w:p>
    <w:p>
      <w:pPr>
        <w:spacing w:after="0" w:line="200" w:lineRule="exact"/>
        <w:rPr>
          <w:sz w:val="20"/>
          <w:szCs w:val="20"/>
          <w:color w:val="auto"/>
        </w:rPr>
      </w:pPr>
    </w:p>
    <w:p>
      <w:pPr>
        <w:spacing w:after="0" w:line="31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1" w:right="1440" w:bottom="1440" w:gutter="0" w:footer="0" w:header="0"/>
        </w:sectPr>
      </w:pPr>
    </w:p>
    <w:bookmarkStart w:id="12" w:name="page13"/>
    <w:bookmarkEnd w:id="12"/>
    <w:tbl>
      <w:tblPr>
        <w:tblLayout w:type="fixed"/>
        <w:tblInd w:w="66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4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Ireland</w:t>
            </w:r>
          </w:p>
        </w:tc>
        <w:tc>
          <w:tcPr>
            <w:tcW w:w="2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w:t>
            </w:r>
          </w:p>
        </w:tc>
        <w:tc>
          <w:tcPr>
            <w:tcW w:w="198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6"/>
              </w:rPr>
              <w:t>(in thousands)</w:t>
            </w:r>
          </w:p>
        </w:tc>
        <w:tc>
          <w:tcPr>
            <w:tcW w:w="0" w:type="dxa"/>
            <w:vAlign w:val="bottom"/>
          </w:tcPr>
          <w:p>
            <w:pPr>
              <w:spacing w:after="0"/>
              <w:rPr>
                <w:sz w:val="1"/>
                <w:szCs w:val="1"/>
                <w:color w:val="auto"/>
              </w:rPr>
            </w:pPr>
          </w:p>
        </w:tc>
      </w:tr>
      <w:tr>
        <w:trPr>
          <w:trHeight w:val="180"/>
        </w:trPr>
        <w:tc>
          <w:tcPr>
            <w:tcW w:w="262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$1,046</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593</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(137)</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4,411</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3,229</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23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0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$5,221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$4,103</w:t>
            </w: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left="740" w:hanging="275"/>
        <w:spacing w:after="0"/>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income from operations by business segment was as</w:t>
      </w:r>
    </w:p>
    <w:p>
      <w:pPr>
        <w:spacing w:after="0" w:line="2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w w:val="96"/>
              </w:rPr>
              <w:t>ended August 31,</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(in</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Central laboratory</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$797</w:t>
            </w:r>
          </w:p>
        </w:tc>
        <w:tc>
          <w:tcPr>
            <w:tcW w:w="380" w:type="dxa"/>
            <w:vAlign w:val="bottom"/>
            <w:vMerge w:val="continue"/>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thousands)</w:t>
            </w:r>
          </w:p>
        </w:tc>
        <w:tc>
          <w:tcPr>
            <w:tcW w:w="0" w:type="dxa"/>
            <w:vAlign w:val="bottom"/>
          </w:tcPr>
          <w:p>
            <w:pPr>
              <w:spacing w:after="0"/>
              <w:rPr>
                <w:sz w:val="1"/>
                <w:szCs w:val="1"/>
                <w:color w:val="auto"/>
              </w:rPr>
            </w:pPr>
          </w:p>
        </w:tc>
      </w:tr>
      <w:tr>
        <w:trPr>
          <w:trHeight w:val="180"/>
        </w:trPr>
        <w:tc>
          <w:tcPr>
            <w:tcW w:w="286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$224</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4,424</w:t>
            </w:r>
          </w:p>
        </w:tc>
        <w:tc>
          <w:tcPr>
            <w:tcW w:w="380" w:type="dxa"/>
            <w:vAlign w:val="bottom"/>
          </w:tcPr>
          <w:p>
            <w:pPr>
              <w:spacing w:after="0"/>
              <w:rPr>
                <w:sz w:val="18"/>
                <w:szCs w:val="18"/>
                <w:color w:val="auto"/>
              </w:rPr>
            </w:pP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3,879</w:t>
            </w:r>
          </w:p>
        </w:tc>
        <w:tc>
          <w:tcPr>
            <w:tcW w:w="0" w:type="dxa"/>
            <w:vAlign w:val="bottom"/>
          </w:tcPr>
          <w:p>
            <w:pPr>
              <w:spacing w:after="0"/>
              <w:rPr>
                <w:sz w:val="1"/>
                <w:szCs w:val="1"/>
                <w:color w:val="auto"/>
              </w:rPr>
            </w:pP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0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$5,221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$4,103</w:t>
            </w: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right="2819" w:firstLine="465"/>
        <w:spacing w:after="0" w:line="348" w:lineRule="auto"/>
        <w:tabs>
          <w:tab w:leader="none" w:pos="75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property, plant and equipment, net, by geographical area was as follows:</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August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Ireland</w:t>
            </w:r>
          </w:p>
        </w:tc>
        <w:tc>
          <w:tcPr>
            <w:tcW w:w="39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80"/>
        </w:trPr>
        <w:tc>
          <w:tcPr>
            <w:tcW w:w="2580" w:type="dxa"/>
            <w:vAlign w:val="bottom"/>
            <w:vMerge w:val="continue"/>
          </w:tcPr>
          <w:p>
            <w:pPr>
              <w:spacing w:after="0"/>
              <w:rPr>
                <w:sz w:val="15"/>
                <w:szCs w:val="15"/>
                <w:color w:val="auto"/>
              </w:rPr>
            </w:pP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$11,294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$9,795</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3,633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3,581</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12,098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11,438</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668</w:t>
            </w:r>
          </w:p>
        </w:tc>
        <w:tc>
          <w:tcPr>
            <w:tcW w:w="0" w:type="dxa"/>
            <w:vAlign w:val="bottom"/>
          </w:tcPr>
          <w:p>
            <w:pPr>
              <w:spacing w:after="0"/>
              <w:rPr>
                <w:sz w:val="1"/>
                <w:szCs w:val="1"/>
                <w:color w:val="auto"/>
              </w:rPr>
            </w:pP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23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$27,709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$25,482</w:t>
            </w: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right="3179" w:firstLine="465"/>
        <w:spacing w:after="0" w:line="348" w:lineRule="auto"/>
        <w:tabs>
          <w:tab w:leader="none" w:pos="7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property, plant and equipment, net, by business segment was as follows:</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800" w:type="dxa"/>
            <w:vAlign w:val="bottom"/>
          </w:tcPr>
          <w:p>
            <w:pPr>
              <w:spacing w:after="0"/>
              <w:rPr>
                <w:sz w:val="15"/>
                <w:szCs w:val="15"/>
                <w:color w:val="auto"/>
              </w:rPr>
            </w:pPr>
          </w:p>
        </w:tc>
        <w:tc>
          <w:tcPr>
            <w:tcW w:w="2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August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2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0"/>
        </w:trPr>
        <w:tc>
          <w:tcPr>
            <w:tcW w:w="2800" w:type="dxa"/>
            <w:vAlign w:val="bottom"/>
            <w:vMerge w:val="restart"/>
          </w:tcPr>
          <w:p>
            <w:pPr>
              <w:spacing w:after="0"/>
              <w:rPr>
                <w:sz w:val="20"/>
                <w:szCs w:val="20"/>
                <w:color w:val="auto"/>
              </w:rPr>
            </w:pPr>
            <w:r>
              <w:rPr>
                <w:rFonts w:ascii="Courier New" w:cs="Courier New" w:eastAsia="Courier New" w:hAnsi="Courier New"/>
                <w:sz w:val="16"/>
                <w:szCs w:val="16"/>
                <w:color w:val="auto"/>
              </w:rPr>
              <w:t>Central laboratory</w:t>
            </w:r>
          </w:p>
        </w:tc>
        <w:tc>
          <w:tcPr>
            <w:tcW w:w="386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80"/>
        </w:trPr>
        <w:tc>
          <w:tcPr>
            <w:tcW w:w="2800" w:type="dxa"/>
            <w:vAlign w:val="bottom"/>
            <w:vMerge w:val="continue"/>
          </w:tcPr>
          <w:p>
            <w:pPr>
              <w:spacing w:after="0"/>
              <w:rPr>
                <w:sz w:val="15"/>
                <w:szCs w:val="15"/>
                <w:color w:val="auto"/>
              </w:rPr>
            </w:pPr>
          </w:p>
        </w:tc>
        <w:tc>
          <w:tcPr>
            <w:tcW w:w="2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$2,721</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2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24,595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22,761</w:t>
            </w:r>
          </w:p>
        </w:tc>
        <w:tc>
          <w:tcPr>
            <w:tcW w:w="0" w:type="dxa"/>
            <w:vAlign w:val="bottom"/>
          </w:tcPr>
          <w:p>
            <w:pPr>
              <w:spacing w:after="0"/>
              <w:rPr>
                <w:sz w:val="1"/>
                <w:szCs w:val="1"/>
                <w:color w:val="auto"/>
              </w:rPr>
            </w:pP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$27,709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$25,482</w:t>
            </w:r>
          </w:p>
        </w:tc>
      </w:tr>
    </w:tbl>
    <w:p>
      <w:pPr>
        <w:ind w:left="6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30" w:right="1440" w:bottom="1440" w:gutter="0" w:footer="0" w:header="0"/>
        </w:sectPr>
      </w:pPr>
    </w:p>
    <w:bookmarkStart w:id="13" w:name="page14"/>
    <w:bookmarkEnd w:id="13"/>
    <w:p>
      <w:pPr>
        <w:ind w:left="-460" w:right="2899" w:firstLine="465"/>
        <w:spacing w:after="0" w:line="348" w:lineRule="auto"/>
        <w:tabs>
          <w:tab w:leader="none" w:pos="29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depreciation and amortization by geographical area was as follows:</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480" w:type="dxa"/>
            <w:vAlign w:val="bottom"/>
          </w:tcPr>
          <w:p>
            <w:pPr>
              <w:spacing w:after="0"/>
              <w:rPr>
                <w:sz w:val="15"/>
                <w:szCs w:val="15"/>
                <w:color w:val="auto"/>
              </w:rPr>
            </w:pPr>
          </w:p>
        </w:tc>
        <w:tc>
          <w:tcPr>
            <w:tcW w:w="41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37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2480" w:type="dxa"/>
            <w:vAlign w:val="bottom"/>
            <w:vMerge w:val="restart"/>
          </w:tcPr>
          <w:p>
            <w:pPr>
              <w:spacing w:after="0"/>
              <w:rPr>
                <w:sz w:val="20"/>
                <w:szCs w:val="20"/>
                <w:color w:val="auto"/>
              </w:rPr>
            </w:pPr>
            <w:r>
              <w:rPr>
                <w:rFonts w:ascii="Courier New" w:cs="Courier New" w:eastAsia="Courier New" w:hAnsi="Courier New"/>
                <w:sz w:val="16"/>
                <w:szCs w:val="16"/>
                <w:color w:val="auto"/>
              </w:rPr>
              <w:t>Ireland</w:t>
            </w:r>
          </w:p>
        </w:tc>
        <w:tc>
          <w:tcPr>
            <w:tcW w:w="3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 thousands)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$292</w:t>
            </w:r>
          </w:p>
        </w:tc>
        <w:tc>
          <w:tcPr>
            <w:tcW w:w="0" w:type="dxa"/>
            <w:vAlign w:val="bottom"/>
          </w:tcPr>
          <w:p>
            <w:pPr>
              <w:spacing w:after="0"/>
              <w:rPr>
                <w:sz w:val="1"/>
                <w:szCs w:val="1"/>
                <w:color w:val="auto"/>
              </w:rPr>
            </w:pPr>
          </w:p>
        </w:tc>
      </w:tr>
      <w:tr>
        <w:trPr>
          <w:trHeight w:val="180"/>
        </w:trPr>
        <w:tc>
          <w:tcPr>
            <w:tcW w:w="2480" w:type="dxa"/>
            <w:vAlign w:val="bottom"/>
            <w:vMerge w:val="continue"/>
          </w:tcPr>
          <w:p>
            <w:pPr>
              <w:spacing w:after="0"/>
              <w:rPr>
                <w:sz w:val="15"/>
                <w:szCs w:val="15"/>
                <w:color w:val="auto"/>
              </w:rPr>
            </w:pPr>
          </w:p>
        </w:tc>
        <w:tc>
          <w:tcPr>
            <w:tcW w:w="37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$481</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37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250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37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791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897</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37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48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23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$1,570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left="-460" w:right="2999" w:firstLine="465"/>
        <w:spacing w:after="0" w:line="348" w:lineRule="auto"/>
        <w:tabs>
          <w:tab w:leader="none" w:pos="29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depreciation and amortization by business segment was as follows:</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800" w:type="dxa"/>
            <w:vAlign w:val="bottom"/>
          </w:tcPr>
          <w:p>
            <w:pPr>
              <w:spacing w:after="0"/>
              <w:rPr>
                <w:sz w:val="15"/>
                <w:szCs w:val="15"/>
                <w:color w:val="auto"/>
              </w:rPr>
            </w:pP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August 31,</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0"/>
        </w:trPr>
        <w:tc>
          <w:tcPr>
            <w:tcW w:w="2800" w:type="dxa"/>
            <w:vAlign w:val="bottom"/>
            <w:vMerge w:val="restart"/>
          </w:tcPr>
          <w:p>
            <w:pPr>
              <w:spacing w:after="0"/>
              <w:rPr>
                <w:sz w:val="20"/>
                <w:szCs w:val="20"/>
                <w:color w:val="auto"/>
              </w:rPr>
            </w:pPr>
            <w:r>
              <w:rPr>
                <w:rFonts w:ascii="Courier New" w:cs="Courier New" w:eastAsia="Courier New" w:hAnsi="Courier New"/>
                <w:sz w:val="16"/>
                <w:szCs w:val="16"/>
                <w:color w:val="auto"/>
              </w:rPr>
              <w:t>Central laboratory</w:t>
            </w:r>
          </w:p>
        </w:tc>
        <w:tc>
          <w:tcPr>
            <w:tcW w:w="2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$163</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9"/>
              </w:rPr>
              <w:t>(in thousands)</w:t>
            </w:r>
          </w:p>
        </w:tc>
        <w:tc>
          <w:tcPr>
            <w:tcW w:w="0" w:type="dxa"/>
            <w:vAlign w:val="bottom"/>
          </w:tcPr>
          <w:p>
            <w:pPr>
              <w:spacing w:after="0"/>
              <w:rPr>
                <w:sz w:val="1"/>
                <w:szCs w:val="1"/>
                <w:color w:val="auto"/>
              </w:rPr>
            </w:pPr>
          </w:p>
        </w:tc>
      </w:tr>
      <w:tr>
        <w:trPr>
          <w:trHeight w:val="180"/>
        </w:trPr>
        <w:tc>
          <w:tcPr>
            <w:tcW w:w="28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$222</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20"/>
                <w:szCs w:val="20"/>
                <w:color w:val="auto"/>
              </w:rPr>
            </w:pPr>
            <w:r>
              <w:rPr>
                <w:rFonts w:ascii="Courier New" w:cs="Courier New" w:eastAsia="Courier New" w:hAnsi="Courier New"/>
                <w:sz w:val="16"/>
                <w:szCs w:val="16"/>
                <w:color w:val="auto"/>
              </w:rPr>
              <w:t>Clinical research</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1,407</w:t>
            </w: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1,226</w:t>
            </w: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0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$1,570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The distribution of net assets by geographical area was as follows: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August 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0"/>
        </w:trPr>
        <w:tc>
          <w:tcPr>
            <w:tcW w:w="3000" w:type="dxa"/>
            <w:vAlign w:val="bottom"/>
            <w:vMerge w:val="restart"/>
          </w:tcPr>
          <w:p>
            <w:pPr>
              <w:spacing w:after="0"/>
              <w:rPr>
                <w:sz w:val="20"/>
                <w:szCs w:val="20"/>
                <w:color w:val="auto"/>
              </w:rPr>
            </w:pPr>
            <w:r>
              <w:rPr>
                <w:rFonts w:ascii="Courier New" w:cs="Courier New" w:eastAsia="Courier New" w:hAnsi="Courier New"/>
                <w:sz w:val="16"/>
                <w:szCs w:val="16"/>
                <w:color w:val="auto"/>
              </w:rPr>
              <w:t>Ireland</w:t>
            </w:r>
          </w:p>
        </w:tc>
        <w:tc>
          <w:tcPr>
            <w:tcW w:w="3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$36,526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$25,304</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Rest of Europe</w:t>
            </w: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7,576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7,675</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29,265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25,339</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1,697</w:t>
            </w: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5"/>
          <w:szCs w:val="15"/>
          <w:color w:val="auto"/>
        </w:rPr>
        <w:t>-------------------------------------------------------------------------</w:t>
      </w:r>
    </w:p>
    <w:tbl>
      <w:tblPr>
        <w:tblLayout w:type="fixed"/>
        <w:tblInd w:w="200" w:type="dxa"/>
        <w:tblCellMar>
          <w:top w:w="0" w:type="dxa"/>
          <w:left w:w="0" w:type="dxa"/>
          <w:bottom w:w="0" w:type="dxa"/>
          <w:right w:w="0" w:type="dxa"/>
        </w:tblCellMar>
      </w:tblPr>
      <w:tr>
        <w:trPr>
          <w:trHeight w:val="163"/>
        </w:trPr>
        <w:tc>
          <w:tcPr>
            <w:tcW w:w="1260" w:type="dxa"/>
            <w:vAlign w:val="bottom"/>
            <w:gridSpan w:val="2"/>
          </w:tcPr>
          <w:p>
            <w:pPr>
              <w:spacing w:after="0" w:line="163" w:lineRule="exact"/>
              <w:rPr>
                <w:sz w:val="20"/>
                <w:szCs w:val="20"/>
                <w:color w:val="auto"/>
              </w:rPr>
            </w:pPr>
            <w:r>
              <w:rPr>
                <w:rFonts w:ascii="Courier New" w:cs="Courier New" w:eastAsia="Courier New" w:hAnsi="Courier New"/>
                <w:sz w:val="16"/>
                <w:szCs w:val="16"/>
                <w:color w:val="auto"/>
                <w:w w:val="99"/>
              </w:rPr>
              <w:t>Segmental net</w:t>
            </w:r>
          </w:p>
        </w:tc>
        <w:tc>
          <w:tcPr>
            <w:tcW w:w="840" w:type="dxa"/>
            <w:vAlign w:val="bottom"/>
          </w:tcPr>
          <w:p>
            <w:pPr>
              <w:ind w:left="40"/>
              <w:spacing w:after="0" w:line="163" w:lineRule="exact"/>
              <w:rPr>
                <w:sz w:val="20"/>
                <w:szCs w:val="20"/>
                <w:color w:val="auto"/>
              </w:rPr>
            </w:pPr>
            <w:r>
              <w:rPr>
                <w:rFonts w:ascii="Courier New" w:cs="Courier New" w:eastAsia="Courier New" w:hAnsi="Courier New"/>
                <w:sz w:val="16"/>
                <w:szCs w:val="16"/>
                <w:color w:val="auto"/>
              </w:rPr>
              <w:t>assets</w:t>
            </w:r>
          </w:p>
        </w:tc>
        <w:tc>
          <w:tcPr>
            <w:tcW w:w="26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not allocated to segments</w:t>
            </w:r>
          </w:p>
        </w:tc>
        <w:tc>
          <w:tcPr>
            <w:tcW w:w="1120" w:type="dxa"/>
            <w:vAlign w:val="bottom"/>
          </w:tcPr>
          <w:p>
            <w:pPr>
              <w:jc w:val="right"/>
              <w:ind w:right="202"/>
              <w:spacing w:after="0" w:line="163" w:lineRule="exact"/>
              <w:rPr>
                <w:sz w:val="20"/>
                <w:szCs w:val="20"/>
                <w:color w:val="auto"/>
              </w:rPr>
            </w:pPr>
            <w:r>
              <w:rPr>
                <w:rFonts w:ascii="Courier New" w:cs="Courier New" w:eastAsia="Courier New" w:hAnsi="Courier New"/>
                <w:sz w:val="16"/>
                <w:szCs w:val="16"/>
                <w:color w:val="auto"/>
              </w:rPr>
              <w:t>75,164</w:t>
            </w:r>
          </w:p>
        </w:tc>
        <w:tc>
          <w:tcPr>
            <w:tcW w:w="840" w:type="dxa"/>
            <w:vAlign w:val="bottom"/>
          </w:tcPr>
          <w:p>
            <w:pPr>
              <w:jc w:val="right"/>
              <w:spacing w:after="0" w:line="163" w:lineRule="exact"/>
              <w:rPr>
                <w:sz w:val="20"/>
                <w:szCs w:val="20"/>
                <w:color w:val="auto"/>
              </w:rPr>
            </w:pPr>
            <w:r>
              <w:rPr>
                <w:rFonts w:ascii="Courier New" w:cs="Courier New" w:eastAsia="Courier New" w:hAnsi="Courier New"/>
                <w:sz w:val="16"/>
                <w:szCs w:val="16"/>
                <w:color w:val="auto"/>
              </w:rPr>
              <w:t>60,015</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Group</w:t>
            </w:r>
          </w:p>
        </w:tc>
        <w:tc>
          <w:tcPr>
            <w:tcW w:w="16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liquid resources</w:t>
            </w:r>
          </w:p>
        </w:tc>
        <w:tc>
          <w:tcPr>
            <w:tcW w:w="2680" w:type="dxa"/>
            <w:vAlign w:val="bottom"/>
            <w:vMerge w:val="continue"/>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20,616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28,820</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Group</w:t>
            </w:r>
          </w:p>
        </w:tc>
        <w:tc>
          <w:tcPr>
            <w:tcW w:w="16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interest bearing</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assets and liabilities</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17,179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18,726</w:t>
            </w:r>
          </w:p>
        </w:tc>
        <w:tc>
          <w:tcPr>
            <w:tcW w:w="0" w:type="dxa"/>
            <w:vAlign w:val="bottom"/>
          </w:tcPr>
          <w:p>
            <w:pPr>
              <w:spacing w:after="0"/>
              <w:rPr>
                <w:sz w:val="1"/>
                <w:szCs w:val="1"/>
                <w:color w:val="auto"/>
              </w:rPr>
            </w:pPr>
          </w:p>
        </w:tc>
      </w:tr>
      <w:tr>
        <w:trPr>
          <w:trHeight w:val="208"/>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not allocated</w:t>
            </w:r>
          </w:p>
        </w:tc>
        <w:tc>
          <w:tcPr>
            <w:tcW w:w="3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segments</w:t>
            </w:r>
          </w:p>
        </w:tc>
        <w:tc>
          <w:tcPr>
            <w:tcW w:w="1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26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$112,959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j) The distribution of net assets by business segment was as follows: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26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August 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26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Central laboratory</w:t>
            </w:r>
          </w:p>
        </w:tc>
        <w:tc>
          <w:tcPr>
            <w:tcW w:w="38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64"/>
        </w:trPr>
        <w:tc>
          <w:tcPr>
            <w:tcW w:w="2860" w:type="dxa"/>
            <w:vAlign w:val="bottom"/>
            <w:vMerge w:val="continue"/>
          </w:tcPr>
          <w:p>
            <w:pPr>
              <w:spacing w:after="0"/>
              <w:rPr>
                <w:sz w:val="22"/>
                <w:szCs w:val="22"/>
                <w:color w:val="auto"/>
              </w:rPr>
            </w:pPr>
          </w:p>
        </w:tc>
        <w:tc>
          <w:tcPr>
            <w:tcW w:w="26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$6,544</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$4,078</w:t>
            </w:r>
          </w:p>
        </w:tc>
        <w:tc>
          <w:tcPr>
            <w:tcW w:w="0" w:type="dxa"/>
            <w:vAlign w:val="bottom"/>
          </w:tcPr>
          <w:p>
            <w:pPr>
              <w:spacing w:after="0"/>
              <w:rPr>
                <w:sz w:val="1"/>
                <w:szCs w:val="1"/>
                <w:color w:val="auto"/>
              </w:rPr>
            </w:pPr>
          </w:p>
        </w:tc>
      </w:tr>
      <w:tr>
        <w:trPr>
          <w:trHeight w:val="97"/>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Clinical research</w:t>
            </w:r>
          </w:p>
        </w:tc>
        <w:tc>
          <w:tcPr>
            <w:tcW w:w="266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106,415</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103,483</w:t>
            </w: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1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$112,959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r>
    </w:tbl>
    <w:p>
      <w:pPr>
        <w:ind w:left="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59"/>
          </w:cols>
          <w:pgMar w:left="700" w:top="991" w:right="1440" w:bottom="1440" w:gutter="0" w:footer="0" w:header="0"/>
        </w:sectPr>
      </w:pPr>
    </w:p>
    <w:bookmarkStart w:id="14" w:name="page15"/>
    <w:bookmarkEnd w:id="14"/>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79" w:lineRule="exact"/>
        <w:rPr>
          <w:sz w:val="20"/>
          <w:szCs w:val="20"/>
          <w:color w:val="auto"/>
        </w:rPr>
      </w:pPr>
    </w:p>
    <w:p>
      <w:pPr>
        <w:ind w:right="2899"/>
        <w:spacing w:after="0" w:line="348" w:lineRule="auto"/>
        <w:rPr>
          <w:sz w:val="20"/>
          <w:szCs w:val="20"/>
          <w:color w:val="auto"/>
        </w:rPr>
      </w:pPr>
      <w:r>
        <w:rPr>
          <w:rFonts w:ascii="Courier New" w:cs="Courier New" w:eastAsia="Courier New" w:hAnsi="Courier New"/>
          <w:sz w:val="16"/>
          <w:szCs w:val="16"/>
          <w:color w:val="auto"/>
        </w:rPr>
        <w:t>The Company believes the effects of inflation generally do not have a material adverse impact on its operations or financial conditions.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79" w:lineRule="exact"/>
        <w:rPr>
          <w:sz w:val="20"/>
          <w:szCs w:val="20"/>
          <w:color w:val="auto"/>
        </w:rPr>
      </w:pPr>
    </w:p>
    <w:p>
      <w:pPr>
        <w:ind w:right="2719"/>
        <w:spacing w:after="0" w:line="246" w:lineRule="auto"/>
        <w:rPr>
          <w:sz w:val="20"/>
          <w:szCs w:val="20"/>
          <w:color w:val="auto"/>
        </w:rPr>
      </w:pPr>
      <w:r>
        <w:rPr>
          <w:rFonts w:ascii="Courier New" w:cs="Courier New" w:eastAsia="Courier New" w:hAnsi="Courier New"/>
          <w:sz w:val="16"/>
          <w:szCs w:val="16"/>
          <w:color w:val="auto"/>
        </w:rPr>
        <w:t>Effective June 1, 2001, ICON adopted SFAS No.133 "Accounting for Derivative Instruments and Hedging Activities", as amended by SFAS No. 137 and 138. SFAS No.133 requires that all derivative instruments are recognized as assets or liabilities on the balance sheet and measured at fair value, regardless of the purpose or intent of holding them. Changes in the fair value of derivative instruments are recognized periodically either in earnings or stockholders' equity as a component of other comprehensive income, depending on whether the derivative is designated as a hedge of changes in fair value or cash flows. Changes in the fair value of derivative instruments not designated as hedges are recognised currently in earnings. The Company enters into foreign exchange currency contracts to manage its exposure against currency fluctuations on anticipated Euro denominated cashflows. Prior to the adoption of SFAS No.133, the Company's foreign exchange contracts did not qualify for hedge accounting treatment. Under SFAS No. 133, the Company continues to not qualify for hedge accounting treatment. As a result, the transition to SFAS No. 133 had no impact on the financial statements of the Company.</w:t>
      </w:r>
    </w:p>
    <w:p>
      <w:pPr>
        <w:spacing w:after="0" w:line="94" w:lineRule="exact"/>
        <w:rPr>
          <w:sz w:val="20"/>
          <w:szCs w:val="20"/>
          <w:color w:val="auto"/>
        </w:rPr>
      </w:pPr>
    </w:p>
    <w:p>
      <w:pPr>
        <w:ind w:right="2819"/>
        <w:spacing w:after="0" w:line="263" w:lineRule="auto"/>
        <w:rPr>
          <w:sz w:val="20"/>
          <w:szCs w:val="20"/>
          <w:color w:val="auto"/>
        </w:rPr>
      </w:pPr>
      <w:r>
        <w:rPr>
          <w:rFonts w:ascii="Courier New" w:cs="Courier New" w:eastAsia="Courier New" w:hAnsi="Courier New"/>
          <w:sz w:val="15"/>
          <w:szCs w:val="15"/>
          <w:color w:val="auto"/>
        </w:rPr>
        <w:t>In July 2001 the Financial Accounting Standards Board ("FASB") issued two new statements: SFAS No. 141, "Business Combinations", and Statement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Thus, amortization of goodwill, including goodwill recorded in past business combinations ceased upon adoption of SFAS No. 142. ICON adopted SFAS No 142, effective June 1, 2001. The Company completed the transitional assessment of goodwill impairment during the year and the assessment indicates that there is no charge for impairment.</w:t>
      </w:r>
    </w:p>
    <w:p>
      <w:pPr>
        <w:spacing w:after="0" w:line="87" w:lineRule="exact"/>
        <w:rPr>
          <w:sz w:val="20"/>
          <w:szCs w:val="20"/>
          <w:color w:val="auto"/>
        </w:rPr>
      </w:pPr>
    </w:p>
    <w:p>
      <w:pPr>
        <w:ind w:right="2719"/>
        <w:spacing w:after="0" w:line="247" w:lineRule="auto"/>
        <w:rPr>
          <w:sz w:val="20"/>
          <w:szCs w:val="20"/>
          <w:color w:val="auto"/>
        </w:rPr>
      </w:pPr>
      <w:r>
        <w:rPr>
          <w:rFonts w:ascii="Courier New" w:cs="Courier New" w:eastAsia="Courier New" w:hAnsi="Courier New"/>
          <w:sz w:val="16"/>
          <w:szCs w:val="16"/>
          <w:color w:val="auto"/>
        </w:rPr>
        <w:t>In July 2001 the FASB issued SFAS No. 143, " Accounting for Asset Retirement Obligations". SFAS No. 143, which is effective for fiscal years beginning after 15 June, 2002, requires entities to record the fair value of a liability for an asset retirement obligation in the period in which it is incurred. When the liability is initially recorded, the entity capitalizes a cost by increasing the carrying amount of the related long-live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ICON has not yet adopted this new standard and is currently assessing the impact of the standard but its adoption is not expected to have a material impact on the results of operations and financial position.</w:t>
      </w:r>
    </w:p>
    <w:p>
      <w:pPr>
        <w:spacing w:after="0" w:line="100"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In August 2001, the Financial Accounting Standards Board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The Company adopted SFAS No. 144 on June 1, 2002. Adoption of SFAS No.144 will not have a material impact on the Company's results of operations and financial position.</w:t>
      </w:r>
    </w:p>
    <w:p>
      <w:pPr>
        <w:spacing w:after="0" w:line="81"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In April 2002, the FASB issued SFAS No.145, "Rescission of FASB Statements No.4, 44 and 64, Amendment of FASB Statement No.13, and Technical Corrections". SFAS No.145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No.13, which will be adopted for the transactions occurring subsequent to May 15, 2002. Adoption of SFAS No.145 will not have a material impact on the Company's results of operations and financial position.</w:t>
      </w:r>
    </w:p>
    <w:p>
      <w:pPr>
        <w:spacing w:after="0" w:line="89" w:lineRule="exact"/>
        <w:rPr>
          <w:sz w:val="20"/>
          <w:szCs w:val="20"/>
          <w:color w:val="auto"/>
        </w:rPr>
      </w:pPr>
    </w:p>
    <w:p>
      <w:pPr>
        <w:ind w:right="2719"/>
        <w:spacing w:after="0" w:line="321"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No. 146 addresses financial accounting and reporting for costs associated with exit or disposal activities</w:t>
      </w:r>
    </w:p>
    <w:p>
      <w:pPr>
        <w:sectPr>
          <w:pgSz w:w="11900" w:h="17025" w:orient="portrait"/>
          <w:cols w:equalWidth="0" w:num="1">
            <w:col w:w="10219"/>
          </w:cols>
          <w:pgMar w:left="240" w:top="99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and nullifies Emerging</w:t>
      </w:r>
    </w:p>
    <w:p>
      <w:pPr>
        <w:spacing w:after="0" w:line="200" w:lineRule="exact"/>
        <w:rPr>
          <w:sz w:val="20"/>
          <w:szCs w:val="20"/>
          <w:color w:val="auto"/>
        </w:rPr>
      </w:pPr>
    </w:p>
    <w:p>
      <w:pPr>
        <w:spacing w:after="0" w:line="340"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14" w:right="1440" w:bottom="1440" w:gutter="0" w:footer="0" w:header="0"/>
        </w:sectPr>
      </w:pPr>
    </w:p>
    <w:bookmarkStart w:id="16" w:name="page17"/>
    <w:bookmarkEnd w:id="16"/>
    <w:p>
      <w:pPr>
        <w:ind w:right="2719"/>
        <w:spacing w:after="0" w:line="260" w:lineRule="auto"/>
        <w:rPr>
          <w:sz w:val="20"/>
          <w:szCs w:val="20"/>
          <w:color w:val="auto"/>
        </w:rPr>
      </w:pPr>
      <w:r>
        <w:rPr>
          <w:rFonts w:ascii="Courier New" w:cs="Courier New" w:eastAsia="Courier New" w:hAnsi="Courier New"/>
          <w:sz w:val="16"/>
          <w:szCs w:val="16"/>
          <w:color w:val="auto"/>
        </w:rPr>
        <w:t>Issues Task Force (EITF) Issue 94-3, "Liability Recognition for Certain Costs Incurred in a Restructuring". The statement also establishes that fair value is the objective for initial measurement of the liability. The statement is also effective for exit or disposal activities initiated after December 31, 2002. The company does not expect that the adoption of SFAS No. 146 will have a material impact on its consolidated financial statements.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79" w:lineRule="exact"/>
        <w:rPr>
          <w:sz w:val="20"/>
          <w:szCs w:val="20"/>
          <w:color w:val="auto"/>
        </w:rPr>
      </w:pPr>
    </w:p>
    <w:p>
      <w:pPr>
        <w:ind w:right="2819"/>
        <w:spacing w:after="0" w:line="321" w:lineRule="auto"/>
        <w:rPr>
          <w:sz w:val="20"/>
          <w:szCs w:val="20"/>
          <w:color w:val="auto"/>
        </w:rPr>
      </w:pPr>
      <w:r>
        <w:rPr>
          <w:rFonts w:ascii="Courier New" w:cs="Courier New" w:eastAsia="Courier New" w:hAnsi="Courier New"/>
          <w:sz w:val="15"/>
          <w:szCs w:val="15"/>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00" w:lineRule="exact"/>
        <w:rPr>
          <w:sz w:val="20"/>
          <w:szCs w:val="20"/>
          <w:color w:val="auto"/>
        </w:rPr>
      </w:pPr>
    </w:p>
    <w:p>
      <w:pPr>
        <w:spacing w:after="0" w:line="3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31" w:right="1440" w:bottom="1440" w:gutter="0" w:footer="0" w:header="0"/>
        </w:sectPr>
      </w:pPr>
    </w:p>
    <w:bookmarkStart w:id="17" w:name="page18"/>
    <w:bookmarkEnd w:id="17"/>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79" w:lineRule="exact"/>
        <w:rPr>
          <w:sz w:val="20"/>
          <w:szCs w:val="20"/>
          <w:color w:val="auto"/>
        </w:rPr>
      </w:pPr>
    </w:p>
    <w:p>
      <w:pPr>
        <w:jc w:val="both"/>
        <w:ind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October 30, 2002</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 Sean Leech</w:t>
            </w:r>
          </w:p>
        </w:tc>
        <w:tc>
          <w:tcPr>
            <w:tcW w:w="0" w:type="dxa"/>
            <w:vAlign w:val="bottom"/>
          </w:tcPr>
          <w:p>
            <w:pPr>
              <w:spacing w:after="0"/>
              <w:rPr>
                <w:sz w:val="1"/>
                <w:szCs w:val="1"/>
                <w:color w:val="auto"/>
              </w:rPr>
            </w:pPr>
          </w:p>
        </w:tc>
      </w:tr>
      <w:tr>
        <w:trPr>
          <w:trHeight w:val="180"/>
        </w:trPr>
        <w:tc>
          <w:tcPr>
            <w:tcW w:w="3660" w:type="dxa"/>
            <w:vAlign w:val="bottom"/>
            <w:vMerge w:val="restart"/>
          </w:tcPr>
          <w:p>
            <w:pPr>
              <w:spacing w:after="0"/>
              <w:rPr>
                <w:sz w:val="20"/>
                <w:szCs w:val="20"/>
                <w:color w:val="auto"/>
              </w:rPr>
            </w:pPr>
            <w:r>
              <w:rPr>
                <w:rFonts w:ascii="Courier New" w:cs="Courier New" w:eastAsia="Courier New" w:hAnsi="Courier New"/>
                <w:sz w:val="31"/>
                <w:szCs w:val="31"/>
                <w:color w:val="auto"/>
                <w:w w:val="92"/>
                <w:vertAlign w:val="subscript"/>
              </w:rPr>
              <w:t>Date</w:t>
            </w:r>
            <w:r>
              <w:rPr>
                <w:rFonts w:ascii="Courier New" w:cs="Courier New" w:eastAsia="Courier New" w:hAnsi="Courier New"/>
                <w:sz w:val="16"/>
                <w:szCs w:val="16"/>
                <w:color w:val="auto"/>
                <w:w w:val="92"/>
              </w:rPr>
              <w:t>------------------------------------</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660" w:type="dxa"/>
            <w:vAlign w:val="bottom"/>
            <w:vMerge w:val="continue"/>
          </w:tcPr>
          <w:p>
            <w:pPr>
              <w:spacing w:after="0"/>
              <w:rPr>
                <w:sz w:val="15"/>
                <w:szCs w:val="15"/>
                <w:color w:val="auto"/>
              </w:rPr>
            </w:pP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Sean Leech</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219"/>
      </w:cols>
      <w:pgMar w:left="240" w:top="9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lowerLetter"/>
      <w:start w:val="2"/>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2019-12-14T21:01:04Z</dcterms:created>
  <dcterms:modified xsi:type="dcterms:W3CDTF">2019-12-14T21:01:04Z</dcterms:modified>
</cp:coreProperties>
</file>