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26, 2016 - ICON Reports Second Quarter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26,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Second Quarter 2016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net business wins of $502 million, a net book to bill of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Backlog of business grows 8.6% year on year to surpass $4 billion for the first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revenue increases 5.7% to $411 million in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increases 14.5% to $78 million, before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increases 20% to $1.14, before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Announces share repurchase programme of up to c$400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80"/>
        <w:spacing w:after="0" w:line="256" w:lineRule="auto"/>
        <w:rPr>
          <w:sz w:val="20"/>
          <w:szCs w:val="20"/>
          <w:color w:val="auto"/>
        </w:rPr>
      </w:pPr>
      <w:r>
        <w:rPr>
          <w:rFonts w:ascii="Arial" w:cs="Arial" w:eastAsia="Arial" w:hAnsi="Arial"/>
          <w:sz w:val="22"/>
          <w:szCs w:val="22"/>
          <w:b w:val="1"/>
          <w:bCs w:val="1"/>
          <w:color w:val="auto"/>
        </w:rPr>
        <w:t>Earnings guidance for 2016 re-affirmed in the range of $4.60 - $4.80 and revenue guidance revised to be in the range of $1,665 - $1,680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DUBLIN--(BUSINESS WIRE)--July 26, 2016--</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second quarter ended June 30, 2016.</w:t>
      </w:r>
    </w:p>
    <w:p>
      <w:pPr>
        <w:spacing w:after="0" w:line="18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Gross business wins in the second quarter were a record $622 million and cancellations in the quarter were $120 million, resulting in record net business wins of $502 million, a net book to bill of 1.22.</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 the second quarter net revenue grew 5.7% year on year to $410.6 million from $388.7 million in the same quarter last year.</w:t>
      </w:r>
    </w:p>
    <w:p>
      <w:pPr>
        <w:spacing w:after="0" w:line="241"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Income from operations, before non-recurring charges in the quarter, increased by 14.5% to $78.0 million or 19.0% of revenue, compared to $68.1 million or 17.5% for the same quarter last year.</w:t>
      </w:r>
    </w:p>
    <w:p>
      <w:pPr>
        <w:spacing w:after="0" w:line="17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Net income before non-recurring charges in the quarter increased by 10.4% to $64.7 million or $1.14 per share on a diluted basis, compared with $58.6 million or $0.95 per share for the same quarter last year.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Revenue in the first half of 2016 increased by 4.4% to $811.2 million from $776.9 million in 2015.</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Income from operations in the first half of 2016, before non-recurring charges, increased by 14.3% to $154.0 million or 19.0% of revenue compared with $134.8 million or 17.4% of revenue in the previous year.</w:t>
      </w:r>
    </w:p>
    <w:p>
      <w:pPr>
        <w:spacing w:after="0" w:line="17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Net income in the first half of 2016, before non-recurring charges, increased by 11.5% to $127.6 million compared with $114.5 million last year. Year to date earnings increased by 22% to $2.26 per share on a diluted basis compared to $1.85 per diluted share last year.</w:t>
      </w:r>
    </w:p>
    <w:p>
      <w:pPr>
        <w:spacing w:after="0" w:line="18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Guidance for the full year 2016 has been updated with earnings reaffirmed in the range of $4.60 - $4.80 and revenue revised to a range of $1,665 - $1,680 million.</w:t>
      </w:r>
    </w:p>
    <w:p>
      <w:pPr>
        <w:spacing w:after="0" w:line="17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46 days at June 30, 2016, compared with 47 days at the end of March 31, 2016 and 45 days at the end of 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0"/>
        <w:spacing w:after="0" w:line="241" w:lineRule="auto"/>
        <w:rPr>
          <w:sz w:val="20"/>
          <w:szCs w:val="20"/>
          <w:color w:val="auto"/>
        </w:rPr>
      </w:pPr>
      <w:r>
        <w:rPr>
          <w:rFonts w:ascii="Arial" w:cs="Arial" w:eastAsia="Arial" w:hAnsi="Arial"/>
          <w:sz w:val="22"/>
          <w:szCs w:val="22"/>
          <w:color w:val="auto"/>
        </w:rPr>
        <w:t>Cash generated from operating activities for the quarter was $17.9 million. Capital expenditure for the quarter was $12.2 million. As a result, at June 30, 2016, the company had net debt of $97 million, compared to net debt of $100 million at March 31, 2016 and net cash of $132 million at end of June 2015.</w:t>
      </w:r>
    </w:p>
    <w:p>
      <w:pPr>
        <w:spacing w:after="0" w:line="184"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At the company’s recent AGM we received shareholder approval to repurchase shares. We will implement a share repurchase programme of up to c$400m to be completed over the next 18-24 months.</w:t>
      </w:r>
    </w:p>
    <w:p>
      <w:pPr>
        <w:spacing w:after="0" w:line="173"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During the quarter the company recorded a charge of $4.1 million in relation to restructuring costs. US GAAP income from operations after these items amounted to $73.9 million or 18% of revenue. US GAAP net income for the quarter was $61.0 million or $1.08 per diluted share.</w:t>
      </w:r>
    </w:p>
    <w:p>
      <w:pPr>
        <w:spacing w:after="0" w:line="186"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 xml:space="preserve">CEO Ciaran Murray commented </w:t>
      </w:r>
      <w:r>
        <w:rPr>
          <w:rFonts w:ascii="Arial" w:cs="Arial" w:eastAsia="Arial" w:hAnsi="Arial"/>
          <w:sz w:val="21"/>
          <w:szCs w:val="21"/>
          <w:i w:val="1"/>
          <w:iCs w:val="1"/>
          <w:color w:val="auto"/>
        </w:rPr>
        <w:t>“Through a consistent focus on our strategic plan we achieved a record level of net business</w:t>
      </w:r>
      <w:r>
        <w:rPr>
          <w:rFonts w:ascii="Arial" w:cs="Arial" w:eastAsia="Arial" w:hAnsi="Arial"/>
          <w:sz w:val="21"/>
          <w:szCs w:val="21"/>
          <w:color w:val="auto"/>
        </w:rPr>
        <w:t xml:space="preserve"> </w:t>
      </w:r>
      <w:r>
        <w:rPr>
          <w:rFonts w:ascii="Arial" w:cs="Arial" w:eastAsia="Arial" w:hAnsi="Arial"/>
          <w:sz w:val="21"/>
          <w:szCs w:val="21"/>
          <w:i w:val="1"/>
          <w:iCs w:val="1"/>
          <w:color w:val="auto"/>
        </w:rPr>
        <w:t>awards of $502 million and grew our backlog by almost 9% over last year. We delivered record revenue of $411 million and grew earnings per share by 20% to $1.14. We are reaffirming our 2016 earnings guidance to be in the range of $4.60 to $4.80 and revising our revenue guidance to be in the range of $1,665 - $1,680 million.”</w:t>
      </w:r>
    </w:p>
    <w:p>
      <w:pPr>
        <w:spacing w:after="0" w:line="174"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 xml:space="preserve">ICON will hold its second quarter conference call today, July 26, 2016 at 9:00 EDT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89 locations in 37 countries and has approximately 12,300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Consolidated Income Statements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(Before restructuring costs)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Six Months ended June 30, 2016 and June 30,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3"/>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20" w:type="dxa"/>
            <w:vAlign w:val="bottom"/>
            <w:gridSpan w:val="3"/>
          </w:tcPr>
          <w:p>
            <w:pPr>
              <w:ind w:left="68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June 30,</w:t>
            </w:r>
          </w:p>
        </w:tc>
      </w:tr>
      <w:tr>
        <w:trPr>
          <w:trHeight w:val="169"/>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164"/>
        </w:trPr>
        <w:tc>
          <w:tcPr>
            <w:tcW w:w="632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6320" w:type="dxa"/>
            <w:vAlign w:val="bottom"/>
            <w:gridSpan w:val="2"/>
          </w:tcPr>
          <w:p>
            <w:pPr>
              <w:spacing w:after="0"/>
              <w:rPr>
                <w:sz w:val="20"/>
                <w:szCs w:val="20"/>
                <w:color w:val="auto"/>
              </w:rPr>
            </w:pPr>
            <w:r>
              <w:rPr>
                <w:rFonts w:ascii="Arial" w:cs="Arial" w:eastAsia="Arial" w:hAnsi="Arial"/>
                <w:sz w:val="14"/>
                <w:szCs w:val="14"/>
                <w:color w:val="auto"/>
              </w:rPr>
              <w:t>Gross revenue</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$589,647</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$524,098</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$1,132,230</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$1,027,464</w:t>
            </w:r>
          </w:p>
        </w:tc>
      </w:tr>
      <w:tr>
        <w:trPr>
          <w:trHeight w:val="18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(179,017)</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3"/>
              </w:rPr>
              <w:t>(135,441)</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(321,078)</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(250,576)</w:t>
            </w:r>
          </w:p>
        </w:tc>
      </w:tr>
      <w:tr>
        <w:trPr>
          <w:trHeight w:val="346"/>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Net revenue</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410,630</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388,657</w:t>
            </w:r>
          </w:p>
        </w:tc>
        <w:tc>
          <w:tcPr>
            <w:tcW w:w="132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811,152</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776,888</w:t>
            </w:r>
          </w:p>
        </w:tc>
      </w:tr>
      <w:tr>
        <w:trPr>
          <w:trHeight w:val="344"/>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6320" w:type="dxa"/>
            <w:vAlign w:val="bottom"/>
            <w:gridSpan w:val="2"/>
          </w:tcPr>
          <w:p>
            <w:pPr>
              <w:spacing w:after="0"/>
              <w:rPr>
                <w:sz w:val="20"/>
                <w:szCs w:val="20"/>
                <w:color w:val="auto"/>
              </w:rPr>
            </w:pPr>
            <w:r>
              <w:rPr>
                <w:rFonts w:ascii="Arial" w:cs="Arial" w:eastAsia="Arial" w:hAnsi="Arial"/>
                <w:sz w:val="14"/>
                <w:szCs w:val="14"/>
                <w:color w:val="auto"/>
              </w:rPr>
              <w:t>Direct costs</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237,984</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224,961</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466,587</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453,039</w:t>
            </w:r>
          </w:p>
        </w:tc>
      </w:tr>
      <w:tr>
        <w:trPr>
          <w:trHeight w:val="176"/>
        </w:trPr>
        <w:tc>
          <w:tcPr>
            <w:tcW w:w="632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80,168</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81,321</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160,957</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160,875</w:t>
            </w:r>
          </w:p>
        </w:tc>
      </w:tr>
      <w:tr>
        <w:trPr>
          <w:trHeight w:val="18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14,457</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3"/>
              </w:rPr>
              <w:t>14,244</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29,577</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28,169</w:t>
            </w:r>
          </w:p>
        </w:tc>
      </w:tr>
      <w:tr>
        <w:trPr>
          <w:trHeight w:val="345"/>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332,609</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4"/>
              </w:rPr>
              <w:t>320,526</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4"/>
              </w:rPr>
              <w:t>657,121</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4"/>
              </w:rPr>
              <w:t>642,083</w:t>
            </w:r>
          </w:p>
        </w:tc>
      </w:tr>
      <w:tr>
        <w:trPr>
          <w:trHeight w:val="346"/>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Income from operations</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78,021</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68,131</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154,031</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134,805</w:t>
            </w:r>
          </w:p>
        </w:tc>
      </w:tr>
      <w:tr>
        <w:trPr>
          <w:trHeight w:val="350"/>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(2,839)</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6"/>
              </w:rPr>
              <w:t>(10)</w:t>
            </w:r>
          </w:p>
        </w:tc>
        <w:tc>
          <w:tcPr>
            <w:tcW w:w="132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4"/>
              </w:rPr>
              <w:t>(5,720)</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6"/>
              </w:rPr>
              <w:t>(13)</w:t>
            </w:r>
          </w:p>
        </w:tc>
      </w:tr>
      <w:tr>
        <w:trPr>
          <w:trHeight w:val="346"/>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75,182</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68,121</w:t>
            </w:r>
          </w:p>
        </w:tc>
        <w:tc>
          <w:tcPr>
            <w:tcW w:w="132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148,311</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134,792</w:t>
            </w:r>
          </w:p>
        </w:tc>
      </w:tr>
      <w:tr>
        <w:trPr>
          <w:trHeight w:val="350"/>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(10,525)</w:t>
            </w:r>
          </w:p>
        </w:tc>
        <w:tc>
          <w:tcPr>
            <w:tcW w:w="130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4"/>
              </w:rPr>
              <w:t>(9,537)</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1"/>
              </w:rPr>
              <w:t>(20,690)</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1"/>
              </w:rPr>
              <w:t>(20,338)</w:t>
            </w:r>
          </w:p>
        </w:tc>
      </w:tr>
      <w:tr>
        <w:trPr>
          <w:trHeight w:val="345"/>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$64,657</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4"/>
              </w:rPr>
              <w:t>$58,584</w:t>
            </w:r>
          </w:p>
        </w:tc>
        <w:tc>
          <w:tcPr>
            <w:tcW w:w="132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2"/>
              </w:rPr>
              <w:t>$127,621</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88"/>
              </w:rPr>
              <w:t>$114,454</w:t>
            </w:r>
          </w:p>
        </w:tc>
      </w:tr>
    </w:tbl>
    <w:p>
      <w:pPr>
        <w:spacing w:after="0" w:line="170" w:lineRule="exact"/>
        <w:rPr>
          <w:sz w:val="20"/>
          <w:szCs w:val="20"/>
          <w:color w:val="auto"/>
        </w:rPr>
      </w:pPr>
    </w:p>
    <w:p>
      <w:pPr>
        <w:sectPr>
          <w:pgSz w:w="11900" w:h="16838" w:orient="portrait"/>
          <w:cols w:equalWidth="0" w:num="1">
            <w:col w:w="11420"/>
          </w:cols>
          <w:pgMar w:left="240" w:top="306" w:right="239" w:bottom="1440" w:gutter="0" w:footer="0" w:header="0"/>
        </w:sectPr>
      </w:pPr>
    </w:p>
    <w:p>
      <w:pPr>
        <w:spacing w:after="0"/>
        <w:rPr>
          <w:sz w:val="20"/>
          <w:szCs w:val="20"/>
          <w:color w:val="auto"/>
        </w:rPr>
      </w:pPr>
      <w:r>
        <w:rPr>
          <w:rFonts w:ascii="Arial" w:cs="Arial" w:eastAsia="Arial" w:hAnsi="Arial"/>
          <w:sz w:val="14"/>
          <w:szCs w:val="14"/>
          <w:color w:val="auto"/>
        </w:rPr>
        <w:t>Net income per Ordinary Share: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number of Ordinary Shares outstanding:</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$1.17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$0.97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$2.31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$1.90</w:t>
            </w:r>
          </w:p>
        </w:tc>
      </w:tr>
      <w:tr>
        <w:trPr>
          <w:trHeight w:val="345"/>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$1.14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$0.95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$2.26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$1.85</w:t>
            </w:r>
          </w:p>
        </w:tc>
      </w:tr>
      <w:tr>
        <w:trPr>
          <w:trHeight w:val="696"/>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55,318,923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60,244,982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55,164,971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60,263,021</w:t>
            </w:r>
          </w:p>
        </w:tc>
      </w:tr>
      <w:tr>
        <w:trPr>
          <w:trHeight w:val="345"/>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56,580,799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61,801,687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56,427,516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61,849,326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73025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2">
            <w:col w:w="5600" w:space="720"/>
            <w:col w:w="5100"/>
          </w:cols>
          <w:pgMar w:left="240" w:top="30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GAAP including restructuring costs)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Six Months ended June 30, 2016 and June 30,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3"/>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20" w:type="dxa"/>
            <w:vAlign w:val="bottom"/>
            <w:gridSpan w:val="3"/>
          </w:tcPr>
          <w:p>
            <w:pPr>
              <w:ind w:left="68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June 30,</w:t>
            </w:r>
          </w:p>
        </w:tc>
      </w:tr>
      <w:tr>
        <w:trPr>
          <w:trHeight w:val="169"/>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164"/>
        </w:trPr>
        <w:tc>
          <w:tcPr>
            <w:tcW w:w="632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6320" w:type="dxa"/>
            <w:vAlign w:val="bottom"/>
            <w:gridSpan w:val="2"/>
          </w:tcPr>
          <w:p>
            <w:pPr>
              <w:spacing w:after="0"/>
              <w:rPr>
                <w:sz w:val="20"/>
                <w:szCs w:val="20"/>
                <w:color w:val="auto"/>
              </w:rPr>
            </w:pPr>
            <w:r>
              <w:rPr>
                <w:rFonts w:ascii="Arial" w:cs="Arial" w:eastAsia="Arial" w:hAnsi="Arial"/>
                <w:sz w:val="14"/>
                <w:szCs w:val="14"/>
                <w:color w:val="auto"/>
              </w:rPr>
              <w:t>Gross revenue</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$589,647</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$524,098</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$1,132,230</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$1,027,464</w:t>
            </w:r>
          </w:p>
        </w:tc>
      </w:tr>
      <w:tr>
        <w:trPr>
          <w:trHeight w:val="18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(179,017)</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3"/>
              </w:rPr>
              <w:t>(135,441)</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(321,078)</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(250,576)</w:t>
            </w:r>
          </w:p>
        </w:tc>
      </w:tr>
      <w:tr>
        <w:trPr>
          <w:trHeight w:val="346"/>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Net revenue</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410,630</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388,657</w:t>
            </w:r>
          </w:p>
        </w:tc>
        <w:tc>
          <w:tcPr>
            <w:tcW w:w="132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811,152</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776,888</w:t>
            </w:r>
          </w:p>
        </w:tc>
      </w:tr>
      <w:tr>
        <w:trPr>
          <w:trHeight w:val="344"/>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6320" w:type="dxa"/>
            <w:vAlign w:val="bottom"/>
            <w:gridSpan w:val="2"/>
          </w:tcPr>
          <w:p>
            <w:pPr>
              <w:spacing w:after="0"/>
              <w:rPr>
                <w:sz w:val="20"/>
                <w:szCs w:val="20"/>
                <w:color w:val="auto"/>
              </w:rPr>
            </w:pPr>
            <w:r>
              <w:rPr>
                <w:rFonts w:ascii="Arial" w:cs="Arial" w:eastAsia="Arial" w:hAnsi="Arial"/>
                <w:sz w:val="14"/>
                <w:szCs w:val="14"/>
                <w:color w:val="auto"/>
              </w:rPr>
              <w:t>Direct costs</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237,984</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224,961</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466,587</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453,039</w:t>
            </w:r>
          </w:p>
        </w:tc>
      </w:tr>
      <w:tr>
        <w:trPr>
          <w:trHeight w:val="176"/>
        </w:trPr>
        <w:tc>
          <w:tcPr>
            <w:tcW w:w="632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80,168</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81,321</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160,957</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160,875</w:t>
            </w:r>
          </w:p>
        </w:tc>
      </w:tr>
      <w:tr>
        <w:trPr>
          <w:trHeight w:val="176"/>
        </w:trPr>
        <w:tc>
          <w:tcPr>
            <w:tcW w:w="632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14,457</w:t>
            </w:r>
          </w:p>
        </w:tc>
        <w:tc>
          <w:tcPr>
            <w:tcW w:w="13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14,244</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29,577</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28,169</w:t>
            </w:r>
          </w:p>
        </w:tc>
      </w:tr>
      <w:tr>
        <w:trPr>
          <w:trHeight w:val="18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costs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4,094</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84"/>
              </w:rPr>
              <w:t>-</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1"/>
              </w:rPr>
              <w:t>4,094</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84"/>
              </w:rPr>
              <w:t>-</w:t>
            </w:r>
          </w:p>
        </w:tc>
      </w:tr>
      <w:tr>
        <w:trPr>
          <w:trHeight w:val="345"/>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336,703</w:t>
            </w:r>
          </w:p>
        </w:tc>
        <w:tc>
          <w:tcPr>
            <w:tcW w:w="13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color w:val="auto"/>
                <w:w w:val="94"/>
              </w:rPr>
              <w:t>320,526</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4"/>
              </w:rPr>
              <w:t>661,215</w:t>
            </w:r>
          </w:p>
        </w:tc>
        <w:tc>
          <w:tcPr>
            <w:tcW w:w="13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4"/>
              </w:rPr>
              <w:t>642,083</w:t>
            </w:r>
          </w:p>
        </w:tc>
      </w:tr>
    </w:tbl>
    <w:p>
      <w:pPr>
        <w:spacing w:after="0" w:line="166" w:lineRule="exact"/>
        <w:rPr>
          <w:sz w:val="20"/>
          <w:szCs w:val="20"/>
          <w:color w:val="auto"/>
        </w:rPr>
      </w:pPr>
    </w:p>
    <w:p>
      <w:pPr>
        <w:sectPr>
          <w:pgSz w:w="11900" w:h="16838" w:orient="portrait"/>
          <w:cols w:equalWidth="0" w:num="1">
            <w:col w:w="11420"/>
          </w:cols>
          <w:pgMar w:left="240" w:top="306" w:right="239" w:bottom="1440" w:gutter="0" w:footer="0" w:header="0"/>
        </w:sectPr>
      </w:pPr>
    </w:p>
    <w:p>
      <w:pPr>
        <w:spacing w:after="0"/>
        <w:rPr>
          <w:sz w:val="20"/>
          <w:szCs w:val="20"/>
          <w:color w:val="auto"/>
        </w:rPr>
      </w:pPr>
      <w:r>
        <w:rPr>
          <w:rFonts w:ascii="Arial" w:cs="Arial" w:eastAsia="Arial" w:hAnsi="Arial"/>
          <w:sz w:val="14"/>
          <w:szCs w:val="14"/>
          <w:b w:val="1"/>
          <w:bCs w:val="1"/>
          <w:color w:val="auto"/>
        </w:rPr>
        <w:t>Income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before provision for income taxes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927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927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Net income per Ordinary Share: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number of Ordinary Shares outstanding:</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927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40" w:type="dxa"/>
            <w:vAlign w:val="bottom"/>
          </w:tcPr>
          <w:p>
            <w:pPr>
              <w:jc w:val="center"/>
              <w:ind w:right="8"/>
              <w:spacing w:after="0"/>
              <w:rPr>
                <w:sz w:val="20"/>
                <w:szCs w:val="20"/>
                <w:color w:val="auto"/>
              </w:rPr>
            </w:pPr>
            <w:r>
              <w:rPr>
                <w:rFonts w:ascii="Arial" w:cs="Arial" w:eastAsia="Arial" w:hAnsi="Arial"/>
                <w:sz w:val="14"/>
                <w:szCs w:val="14"/>
                <w:color w:val="auto"/>
                <w:w w:val="93"/>
              </w:rPr>
              <w:t>73,927</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68,131</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149,937</w:t>
            </w: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134,805</w:t>
            </w:r>
          </w:p>
        </w:tc>
      </w:tr>
      <w:tr>
        <w:trPr>
          <w:trHeight w:val="350"/>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(2,839)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(5,720)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(13)</w:t>
            </w:r>
          </w:p>
        </w:tc>
      </w:tr>
      <w:tr>
        <w:trPr>
          <w:trHeight w:val="339"/>
        </w:trPr>
        <w:tc>
          <w:tcPr>
            <w:tcW w:w="1240" w:type="dxa"/>
            <w:vAlign w:val="bottom"/>
          </w:tcPr>
          <w:p>
            <w:pPr>
              <w:jc w:val="center"/>
              <w:ind w:right="8"/>
              <w:spacing w:after="0"/>
              <w:rPr>
                <w:sz w:val="20"/>
                <w:szCs w:val="20"/>
                <w:color w:val="auto"/>
              </w:rPr>
            </w:pPr>
            <w:r>
              <w:rPr>
                <w:rFonts w:ascii="Arial" w:cs="Arial" w:eastAsia="Arial" w:hAnsi="Arial"/>
                <w:sz w:val="14"/>
                <w:szCs w:val="14"/>
                <w:color w:val="auto"/>
                <w:w w:val="93"/>
              </w:rPr>
              <w:t>71,088</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68,121</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144,217</w:t>
            </w: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134,792</w:t>
            </w:r>
          </w:p>
        </w:tc>
      </w:tr>
      <w:tr>
        <w:trPr>
          <w:trHeight w:val="181"/>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(10,014)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(9,537)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(20,179)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(20,338)</w:t>
            </w:r>
          </w:p>
        </w:tc>
      </w:tr>
      <w:tr>
        <w:trPr>
          <w:trHeight w:val="345"/>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4"/>
              </w:rPr>
              <w:t>$61,074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$58,584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$124,038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$114,454</w:t>
            </w:r>
          </w:p>
        </w:tc>
      </w:tr>
      <w:tr>
        <w:trPr>
          <w:trHeight w:val="696"/>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$1.10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$0.97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$2.25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$1.90</w:t>
            </w:r>
          </w:p>
        </w:tc>
      </w:tr>
      <w:tr>
        <w:trPr>
          <w:trHeight w:val="345"/>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$1.08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$0.95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$1.85</w:t>
            </w:r>
          </w:p>
        </w:tc>
      </w:tr>
      <w:tr>
        <w:trPr>
          <w:trHeight w:val="696"/>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55,318,923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60,244,982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55,164,971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60,263,021</w:t>
            </w:r>
          </w:p>
        </w:tc>
      </w:tr>
      <w:tr>
        <w:trPr>
          <w:trHeight w:val="345"/>
        </w:trPr>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56,580,799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61,801,687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56,427,516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61,849,326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73025</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2">
            <w:col w:w="5600" w:space="720"/>
            <w:col w:w="5100"/>
          </w:cols>
          <w:pgMar w:left="240" w:top="306" w:right="239" w:bottom="1440" w:gutter="0" w:footer="0" w:header="0"/>
          <w:type w:val="continuous"/>
        </w:sectPr>
      </w:pPr>
    </w:p>
    <w:bookmarkStart w:id="7" w:name="page8"/>
    <w:bookmarkEnd w:id="7"/>
    <w:p>
      <w:pPr>
        <w:jc w:val="center"/>
        <w:ind w:right="-839"/>
        <w:spacing w:after="0"/>
        <w:rPr>
          <w:sz w:val="20"/>
          <w:szCs w:val="20"/>
          <w:color w:val="auto"/>
        </w:rPr>
      </w:pPr>
      <w:r>
        <w:rPr>
          <w:rFonts w:ascii="Arial" w:cs="Arial" w:eastAsia="Arial" w:hAnsi="Arial"/>
          <w:sz w:val="14"/>
          <w:szCs w:val="14"/>
          <w:b w:val="1"/>
          <w:bCs w:val="1"/>
          <w:color w:val="auto"/>
        </w:rPr>
        <w:t>ICON plc</w:t>
      </w:r>
    </w:p>
    <w:p>
      <w:pPr>
        <w:jc w:val="center"/>
        <w:ind w:right="-839"/>
        <w:spacing w:after="0" w:line="226" w:lineRule="auto"/>
        <w:rPr>
          <w:sz w:val="20"/>
          <w:szCs w:val="20"/>
          <w:color w:val="auto"/>
        </w:rPr>
      </w:pPr>
      <w:r>
        <w:rPr>
          <w:rFonts w:ascii="Arial" w:cs="Arial" w:eastAsia="Arial" w:hAnsi="Arial"/>
          <w:sz w:val="14"/>
          <w:szCs w:val="14"/>
          <w:b w:val="1"/>
          <w:bCs w:val="1"/>
          <w:color w:val="auto"/>
        </w:rPr>
        <w:t>Summary Balance Sheet Data</w:t>
      </w:r>
    </w:p>
    <w:p>
      <w:pPr>
        <w:jc w:val="center"/>
        <w:ind w:right="-839"/>
        <w:spacing w:after="0" w:line="222" w:lineRule="auto"/>
        <w:rPr>
          <w:sz w:val="20"/>
          <w:szCs w:val="20"/>
          <w:color w:val="auto"/>
        </w:rPr>
      </w:pPr>
      <w:r>
        <w:rPr>
          <w:rFonts w:ascii="Arial" w:cs="Arial" w:eastAsia="Arial" w:hAnsi="Arial"/>
          <w:sz w:val="14"/>
          <w:szCs w:val="14"/>
          <w:b w:val="1"/>
          <w:bCs w:val="1"/>
          <w:color w:val="auto"/>
        </w:rPr>
        <w:t>June 30, 2016 and March, 2016</w:t>
      </w:r>
    </w:p>
    <w:p>
      <w:pPr>
        <w:jc w:val="center"/>
        <w:ind w:right="-839"/>
        <w:spacing w:after="0"/>
        <w:rPr>
          <w:sz w:val="20"/>
          <w:szCs w:val="20"/>
          <w:color w:val="auto"/>
        </w:rPr>
      </w:pPr>
      <w:r>
        <w:rPr>
          <w:rFonts w:ascii="Arial" w:cs="Arial" w:eastAsia="Arial" w:hAnsi="Arial"/>
          <w:sz w:val="14"/>
          <w:szCs w:val="14"/>
          <w:b w:val="1"/>
          <w:bCs w:val="1"/>
          <w:color w:val="auto"/>
        </w:rPr>
        <w:t>(Dollars,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14"/>
                <w:szCs w:val="14"/>
                <w:color w:val="auto"/>
              </w:rPr>
            </w:pPr>
          </w:p>
        </w:tc>
        <w:tc>
          <w:tcPr>
            <w:tcW w:w="4240" w:type="dxa"/>
            <w:vAlign w:val="bottom"/>
          </w:tcPr>
          <w:p>
            <w:pPr>
              <w:jc w:val="center"/>
              <w:ind w:left="1528"/>
              <w:spacing w:after="0"/>
              <w:rPr>
                <w:sz w:val="20"/>
                <w:szCs w:val="20"/>
                <w:color w:val="auto"/>
              </w:rPr>
            </w:pPr>
            <w:r>
              <w:rPr>
                <w:rFonts w:ascii="Arial" w:cs="Arial" w:eastAsia="Arial" w:hAnsi="Arial"/>
                <w:sz w:val="14"/>
                <w:szCs w:val="14"/>
                <w:b w:val="1"/>
                <w:bCs w:val="1"/>
                <w:color w:val="auto"/>
                <w:w w:val="92"/>
              </w:rPr>
              <w:t>June 30,</w:t>
            </w:r>
          </w:p>
        </w:tc>
        <w:tc>
          <w:tcPr>
            <w:tcW w:w="1680" w:type="dxa"/>
            <w:vAlign w:val="bottom"/>
          </w:tcPr>
          <w:p>
            <w:pPr>
              <w:jc w:val="center"/>
              <w:ind w:left="848"/>
              <w:spacing w:after="0"/>
              <w:rPr>
                <w:sz w:val="20"/>
                <w:szCs w:val="20"/>
                <w:color w:val="auto"/>
              </w:rPr>
            </w:pPr>
            <w:r>
              <w:rPr>
                <w:rFonts w:ascii="Arial" w:cs="Arial" w:eastAsia="Arial" w:hAnsi="Arial"/>
                <w:sz w:val="14"/>
                <w:szCs w:val="14"/>
                <w:b w:val="1"/>
                <w:bCs w:val="1"/>
                <w:color w:val="auto"/>
                <w:w w:val="99"/>
              </w:rPr>
              <w:t>March 31,</w:t>
            </w:r>
          </w:p>
        </w:tc>
      </w:tr>
      <w:tr>
        <w:trPr>
          <w:trHeight w:val="176"/>
        </w:trPr>
        <w:tc>
          <w:tcPr>
            <w:tcW w:w="4440" w:type="dxa"/>
            <w:vAlign w:val="bottom"/>
          </w:tcPr>
          <w:p>
            <w:pPr>
              <w:spacing w:after="0"/>
              <w:rPr>
                <w:sz w:val="15"/>
                <w:szCs w:val="15"/>
                <w:color w:val="auto"/>
              </w:rPr>
            </w:pPr>
          </w:p>
        </w:tc>
        <w:tc>
          <w:tcPr>
            <w:tcW w:w="4240" w:type="dxa"/>
            <w:vAlign w:val="bottom"/>
          </w:tcPr>
          <w:p>
            <w:pPr>
              <w:jc w:val="center"/>
              <w:ind w:left="1548"/>
              <w:spacing w:after="0"/>
              <w:rPr>
                <w:sz w:val="20"/>
                <w:szCs w:val="20"/>
                <w:color w:val="auto"/>
              </w:rPr>
            </w:pPr>
            <w:r>
              <w:rPr>
                <w:rFonts w:ascii="Arial" w:cs="Arial" w:eastAsia="Arial" w:hAnsi="Arial"/>
                <w:sz w:val="14"/>
                <w:szCs w:val="14"/>
                <w:b w:val="1"/>
                <w:bCs w:val="1"/>
                <w:color w:val="auto"/>
                <w:w w:val="96"/>
              </w:rPr>
              <w:t>2016</w:t>
            </w:r>
          </w:p>
        </w:tc>
        <w:tc>
          <w:tcPr>
            <w:tcW w:w="1680" w:type="dxa"/>
            <w:vAlign w:val="bottom"/>
          </w:tcPr>
          <w:p>
            <w:pPr>
              <w:jc w:val="center"/>
              <w:ind w:left="868"/>
              <w:spacing w:after="0"/>
              <w:rPr>
                <w:sz w:val="20"/>
                <w:szCs w:val="20"/>
                <w:color w:val="auto"/>
              </w:rPr>
            </w:pPr>
            <w:r>
              <w:rPr>
                <w:rFonts w:ascii="Arial" w:cs="Arial" w:eastAsia="Arial" w:hAnsi="Arial"/>
                <w:sz w:val="14"/>
                <w:szCs w:val="14"/>
                <w:b w:val="1"/>
                <w:bCs w:val="1"/>
                <w:color w:val="auto"/>
                <w:w w:val="96"/>
              </w:rPr>
              <w:t>2016</w:t>
            </w:r>
          </w:p>
        </w:tc>
      </w:tr>
      <w:tr>
        <w:trPr>
          <w:trHeight w:val="186"/>
        </w:trPr>
        <w:tc>
          <w:tcPr>
            <w:tcW w:w="4440" w:type="dxa"/>
            <w:vAlign w:val="bottom"/>
          </w:tcPr>
          <w:p>
            <w:pPr>
              <w:spacing w:after="0"/>
              <w:rPr>
                <w:sz w:val="16"/>
                <w:szCs w:val="16"/>
                <w:color w:val="auto"/>
              </w:rPr>
            </w:pPr>
          </w:p>
        </w:tc>
        <w:tc>
          <w:tcPr>
            <w:tcW w:w="4240" w:type="dxa"/>
            <w:vAlign w:val="bottom"/>
          </w:tcPr>
          <w:p>
            <w:pPr>
              <w:jc w:val="center"/>
              <w:ind w:left="1528"/>
              <w:spacing w:after="0"/>
              <w:rPr>
                <w:sz w:val="20"/>
                <w:szCs w:val="20"/>
                <w:color w:val="auto"/>
              </w:rPr>
            </w:pPr>
            <w:r>
              <w:rPr>
                <w:rFonts w:ascii="Arial" w:cs="Arial" w:eastAsia="Arial" w:hAnsi="Arial"/>
                <w:sz w:val="14"/>
                <w:szCs w:val="14"/>
                <w:b w:val="1"/>
                <w:bCs w:val="1"/>
                <w:color w:val="auto"/>
                <w:w w:val="97"/>
              </w:rPr>
              <w:t>(Unaudited)</w:t>
            </w:r>
          </w:p>
        </w:tc>
        <w:tc>
          <w:tcPr>
            <w:tcW w:w="168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(Unaudited)</w:t>
            </w:r>
          </w:p>
        </w:tc>
      </w:tr>
      <w:tr>
        <w:trPr>
          <w:trHeight w:val="520"/>
        </w:trPr>
        <w:tc>
          <w:tcPr>
            <w:tcW w:w="444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250,951</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247,857</w:t>
            </w: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Debt</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6"/>
              </w:rPr>
              <w:t>(348,322)</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6"/>
              </w:rPr>
              <w:t>(348,278)</w:t>
            </w: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Net (debt)/cash</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5"/>
              </w:rPr>
              <w:t>(97,371)</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6"/>
              </w:rPr>
              <w:t>(100,421)</w:t>
            </w:r>
          </w:p>
        </w:tc>
      </w:tr>
      <w:tr>
        <w:trPr>
          <w:trHeight w:val="344"/>
        </w:trPr>
        <w:tc>
          <w:tcPr>
            <w:tcW w:w="4440" w:type="dxa"/>
            <w:vAlign w:val="bottom"/>
          </w:tcPr>
          <w:p>
            <w:pPr>
              <w:spacing w:after="0"/>
              <w:rPr>
                <w:sz w:val="20"/>
                <w:szCs w:val="20"/>
                <w:color w:val="auto"/>
              </w:rPr>
            </w:pPr>
            <w:r>
              <w:rPr>
                <w:rFonts w:ascii="Arial" w:cs="Arial" w:eastAsia="Arial" w:hAnsi="Arial"/>
                <w:sz w:val="14"/>
                <w:szCs w:val="14"/>
                <w:color w:val="auto"/>
              </w:rPr>
              <w:t>Accounts receivable</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366,903</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362,322</w:t>
            </w: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Unbilled revenue</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190,025</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238,645</w:t>
            </w: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Payments on account</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6"/>
              </w:rPr>
              <w:t>(257,714)</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6"/>
              </w:rPr>
              <w:t>(318,061)</w:t>
            </w: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Total</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299,214</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282,906</w:t>
            </w:r>
          </w:p>
        </w:tc>
      </w:tr>
      <w:tr>
        <w:trPr>
          <w:trHeight w:val="351"/>
        </w:trPr>
        <w:tc>
          <w:tcPr>
            <w:tcW w:w="4440" w:type="dxa"/>
            <w:vAlign w:val="bottom"/>
          </w:tcPr>
          <w:p>
            <w:pPr>
              <w:spacing w:after="0"/>
              <w:rPr>
                <w:sz w:val="20"/>
                <w:szCs w:val="20"/>
                <w:color w:val="auto"/>
              </w:rPr>
            </w:pPr>
            <w:r>
              <w:rPr>
                <w:rFonts w:ascii="Arial" w:cs="Arial" w:eastAsia="Arial" w:hAnsi="Arial"/>
                <w:sz w:val="14"/>
                <w:szCs w:val="14"/>
                <w:color w:val="auto"/>
              </w:rPr>
              <w:t>Working Capital</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452,073</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372,775</w:t>
            </w:r>
          </w:p>
        </w:tc>
      </w:tr>
      <w:tr>
        <w:trPr>
          <w:trHeight w:val="351"/>
        </w:trPr>
        <w:tc>
          <w:tcPr>
            <w:tcW w:w="4440" w:type="dxa"/>
            <w:vAlign w:val="bottom"/>
          </w:tcPr>
          <w:p>
            <w:pPr>
              <w:spacing w:after="0"/>
              <w:rPr>
                <w:sz w:val="20"/>
                <w:szCs w:val="20"/>
                <w:color w:val="auto"/>
              </w:rPr>
            </w:pPr>
            <w:r>
              <w:rPr>
                <w:rFonts w:ascii="Arial" w:cs="Arial" w:eastAsia="Arial" w:hAnsi="Arial"/>
                <w:sz w:val="14"/>
                <w:szCs w:val="14"/>
                <w:color w:val="auto"/>
              </w:rPr>
              <w:t>Total Assets</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3"/>
              </w:rPr>
              <w:t>1,750,240</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3"/>
              </w:rPr>
              <w:t>1,796,135</w:t>
            </w:r>
          </w:p>
        </w:tc>
      </w:tr>
      <w:tr>
        <w:trPr>
          <w:trHeight w:val="351"/>
        </w:trPr>
        <w:tc>
          <w:tcPr>
            <w:tcW w:w="4440" w:type="dxa"/>
            <w:vAlign w:val="bottom"/>
          </w:tcPr>
          <w:p>
            <w:pPr>
              <w:spacing w:after="0"/>
              <w:rPr>
                <w:sz w:val="20"/>
                <w:szCs w:val="20"/>
                <w:color w:val="auto"/>
              </w:rPr>
            </w:pPr>
            <w:r>
              <w:rPr>
                <w:rFonts w:ascii="Arial" w:cs="Arial" w:eastAsia="Arial" w:hAnsi="Arial"/>
                <w:sz w:val="14"/>
                <w:szCs w:val="14"/>
                <w:color w:val="auto"/>
              </w:rPr>
              <w:t>Shareholder's Equity</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909,969</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843,685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86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line="230" w:lineRule="auto"/>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360"/>
      </w:cols>
      <w:pgMar w:left="240" w:top="30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2019-12-06T22:14:06Z</dcterms:created>
  <dcterms:modified xsi:type="dcterms:W3CDTF">2019-12-06T22:14:06Z</dcterms:modified>
</cp:coreProperties>
</file>