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13"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13"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Pursuant to Rule 13a - 16 under</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42"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Supplement for the quarterly period ended February 28, 2003</w:t>
      </w:r>
    </w:p>
    <w:p>
      <w:pPr>
        <w:spacing w:after="0" w:line="200" w:lineRule="exact"/>
        <w:rPr>
          <w:sz w:val="24"/>
          <w:szCs w:val="24"/>
          <w:color w:val="auto"/>
        </w:rPr>
      </w:pPr>
    </w:p>
    <w:p>
      <w:pPr>
        <w:spacing w:after="0" w:line="313"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ICON plc</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(Registrant's name)</w:t>
      </w:r>
    </w:p>
    <w:p>
      <w:pPr>
        <w:spacing w:after="0" w:line="200" w:lineRule="exact"/>
        <w:rPr>
          <w:sz w:val="24"/>
          <w:szCs w:val="24"/>
          <w:color w:val="auto"/>
        </w:rPr>
      </w:pPr>
    </w:p>
    <w:p>
      <w:pPr>
        <w:spacing w:after="0" w:line="313" w:lineRule="exact"/>
        <w:rPr>
          <w:sz w:val="24"/>
          <w:szCs w:val="24"/>
          <w:color w:val="auto"/>
        </w:rPr>
      </w:pPr>
    </w:p>
    <w:p>
      <w:pPr>
        <w:ind w:left="3280"/>
        <w:spacing w:after="0"/>
        <w:rPr>
          <w:sz w:val="20"/>
          <w:szCs w:val="20"/>
          <w:color w:val="auto"/>
        </w:rPr>
      </w:pPr>
      <w:r>
        <w:rPr>
          <w:rFonts w:ascii="Courier New" w:cs="Courier New" w:eastAsia="Courier New" w:hAnsi="Courier New"/>
          <w:sz w:val="15"/>
          <w:szCs w:val="15"/>
          <w:color w:val="auto"/>
        </w:rPr>
        <w:t>0-29714</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(Commission file number)</w:t>
      </w:r>
    </w:p>
    <w:p>
      <w:pPr>
        <w:spacing w:after="0" w:line="34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5"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2" w:lineRule="exact"/>
        <w:rPr>
          <w:sz w:val="24"/>
          <w:szCs w:val="24"/>
          <w:color w:val="auto"/>
        </w:rPr>
      </w:pPr>
    </w:p>
    <w:p>
      <w:pPr>
        <w:ind w:left="1860"/>
        <w:spacing w:after="0"/>
        <w:tabs>
          <w:tab w:leader="none" w:pos="3700" w:val="left"/>
        </w:tabs>
        <w:rPr>
          <w:sz w:val="20"/>
          <w:szCs w:val="20"/>
          <w:color w:val="auto"/>
        </w:rPr>
      </w:pPr>
      <w:r>
        <w:rPr>
          <w:rFonts w:ascii="Courier New" w:cs="Courier New" w:eastAsia="Courier New" w:hAnsi="Courier New"/>
          <w:sz w:val="15"/>
          <w:szCs w:val="15"/>
          <w:color w:val="auto"/>
        </w:rPr>
        <w:t>Yes___X___</w:t>
      </w:r>
      <w:r>
        <w:rPr>
          <w:sz w:val="20"/>
          <w:szCs w:val="20"/>
          <w:color w:val="auto"/>
        </w:rPr>
        <w:tab/>
      </w:r>
      <w:r>
        <w:rPr>
          <w:rFonts w:ascii="Courier New" w:cs="Courier New" w:eastAsia="Courier New" w:hAnsi="Courier New"/>
          <w:sz w:val="14"/>
          <w:szCs w:val="14"/>
          <w:color w:val="auto"/>
        </w:rPr>
        <w:t>No_______</w:t>
      </w:r>
    </w:p>
    <w:p>
      <w:pPr>
        <w:spacing w:after="0" w:line="174"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2" w:lineRule="exact"/>
        <w:rPr>
          <w:sz w:val="24"/>
          <w:szCs w:val="24"/>
          <w:color w:val="auto"/>
        </w:rPr>
      </w:pPr>
    </w:p>
    <w:p>
      <w:pPr>
        <w:ind w:left="1860"/>
        <w:spacing w:after="0"/>
        <w:tabs>
          <w:tab w:leader="none" w:pos="370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4"/>
          <w:szCs w:val="14"/>
          <w:color w:val="auto"/>
        </w:rPr>
        <w:t>No___X___</w:t>
      </w:r>
    </w:p>
    <w:p>
      <w:pPr>
        <w:spacing w:after="0" w:line="174"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2" w:lineRule="exact"/>
        <w:rPr>
          <w:sz w:val="24"/>
          <w:szCs w:val="24"/>
          <w:color w:val="auto"/>
        </w:rPr>
      </w:pPr>
    </w:p>
    <w:p>
      <w:pPr>
        <w:ind w:left="1860"/>
        <w:spacing w:after="0"/>
        <w:tabs>
          <w:tab w:leader="none" w:pos="370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4"/>
          <w:szCs w:val="14"/>
          <w:color w:val="auto"/>
        </w:rPr>
        <w:t>No___X___</w:t>
      </w:r>
    </w:p>
    <w:p>
      <w:pPr>
        <w:spacing w:after="0" w:line="174" w:lineRule="exact"/>
        <w:rPr>
          <w:sz w:val="24"/>
          <w:szCs w:val="24"/>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1860"/>
        <w:spacing w:after="0"/>
        <w:tabs>
          <w:tab w:leader="none" w:pos="3700" w:val="left"/>
        </w:tabs>
        <w:rPr>
          <w:sz w:val="20"/>
          <w:szCs w:val="20"/>
          <w:color w:val="auto"/>
        </w:rPr>
      </w:pPr>
      <w:r>
        <w:rPr>
          <w:rFonts w:ascii="Courier New" w:cs="Courier New" w:eastAsia="Courier New" w:hAnsi="Courier New"/>
          <w:sz w:val="15"/>
          <w:szCs w:val="15"/>
          <w:color w:val="auto"/>
        </w:rPr>
        <w:t>Yes_______</w:t>
      </w:r>
      <w:r>
        <w:rPr>
          <w:sz w:val="20"/>
          <w:szCs w:val="20"/>
          <w:color w:val="auto"/>
        </w:rPr>
        <w:tab/>
      </w:r>
      <w:r>
        <w:rPr>
          <w:rFonts w:ascii="Courier New" w:cs="Courier New" w:eastAsia="Courier New" w:hAnsi="Courier New"/>
          <w:sz w:val="14"/>
          <w:szCs w:val="14"/>
          <w:color w:val="auto"/>
        </w:rPr>
        <w:t>No___X___</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If "Yes" is marked, indicate below the file number assigned to the registrant in</w:t>
      </w:r>
    </w:p>
    <w:p>
      <w:pPr>
        <w:spacing w:after="0" w:line="9"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5"/>
          <w:szCs w:val="15"/>
          <w:color w:val="auto"/>
        </w:rPr>
        <w:t>connection with Rule 12g3-2(b):82</w:t>
      </w:r>
      <w:r>
        <w:rPr>
          <w:sz w:val="20"/>
          <w:szCs w:val="20"/>
          <w:color w:val="auto"/>
        </w:rPr>
        <w:tab/>
      </w:r>
      <w:r>
        <w:rPr>
          <w:rFonts w:ascii="Courier New" w:cs="Courier New" w:eastAsia="Courier New" w:hAnsi="Courier New"/>
          <w:sz w:val="14"/>
          <w:szCs w:val="14"/>
          <w:color w:val="auto"/>
        </w:rPr>
        <w:t>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ICON plc</w:t>
      </w:r>
    </w:p>
    <w:p>
      <w:pPr>
        <w:spacing w:after="0" w:line="17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Quarterly Period Ended February 28, 2003</w:t>
      </w:r>
    </w:p>
    <w:p>
      <w:pPr>
        <w:spacing w:after="0" w:line="342" w:lineRule="exact"/>
        <w:rPr>
          <w:sz w:val="24"/>
          <w:szCs w:val="24"/>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4"/>
          <w:szCs w:val="14"/>
          <w:color w:val="auto"/>
        </w:rPr>
        <w:t>Page</w:t>
      </w:r>
    </w:p>
    <w:p>
      <w:pPr>
        <w:spacing w:after="0" w:line="342" w:lineRule="exact"/>
        <w:rPr>
          <w:sz w:val="24"/>
          <w:szCs w:val="24"/>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w:t>
      </w:r>
    </w:p>
    <w:p>
      <w:pPr>
        <w:spacing w:after="0" w:line="1" w:lineRule="exact"/>
        <w:rPr>
          <w:sz w:val="24"/>
          <w:szCs w:val="24"/>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February 28, 2003 and May 31, 2002</w:t>
      </w:r>
      <w:r>
        <w:rPr>
          <w:sz w:val="20"/>
          <w:szCs w:val="20"/>
          <w:color w:val="auto"/>
        </w:rPr>
        <w:tab/>
      </w:r>
      <w:r>
        <w:rPr>
          <w:rFonts w:ascii="Courier New" w:cs="Courier New" w:eastAsia="Courier New" w:hAnsi="Courier New"/>
          <w:sz w:val="15"/>
          <w:szCs w:val="15"/>
          <w:color w:val="auto"/>
        </w:rPr>
        <w:t>2</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1" w:lineRule="exact"/>
        <w:rPr>
          <w:sz w:val="24"/>
          <w:szCs w:val="24"/>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Three and Nine months ended February 28, 2003 and 2002</w:t>
      </w:r>
      <w:r>
        <w:rPr>
          <w:sz w:val="20"/>
          <w:szCs w:val="20"/>
          <w:color w:val="auto"/>
        </w:rPr>
        <w:tab/>
      </w:r>
      <w:r>
        <w:rPr>
          <w:rFonts w:ascii="Courier New" w:cs="Courier New" w:eastAsia="Courier New" w:hAnsi="Courier New"/>
          <w:sz w:val="15"/>
          <w:szCs w:val="15"/>
          <w:color w:val="auto"/>
        </w:rPr>
        <w:t>3</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1" w:lineRule="exact"/>
        <w:rPr>
          <w:sz w:val="24"/>
          <w:szCs w:val="24"/>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nine months ended February 28, 2003 and 2002</w:t>
      </w:r>
      <w:r>
        <w:rPr>
          <w:sz w:val="20"/>
          <w:szCs w:val="20"/>
          <w:color w:val="auto"/>
        </w:rPr>
        <w:tab/>
      </w:r>
      <w:r>
        <w:rPr>
          <w:rFonts w:ascii="Courier New" w:cs="Courier New" w:eastAsia="Courier New" w:hAnsi="Courier New"/>
          <w:sz w:val="15"/>
          <w:szCs w:val="15"/>
          <w:color w:val="auto"/>
        </w:rPr>
        <w:t>4</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1" w:lineRule="exact"/>
        <w:rPr>
          <w:sz w:val="24"/>
          <w:szCs w:val="24"/>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5"/>
          <w:szCs w:val="15"/>
          <w:color w:val="auto"/>
        </w:rPr>
        <w:t>5</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1" w:lineRule="exact"/>
        <w:rPr>
          <w:sz w:val="24"/>
          <w:szCs w:val="24"/>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6</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1" w:lineRule="exact"/>
        <w:rPr>
          <w:sz w:val="24"/>
          <w:szCs w:val="24"/>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12</w:t>
      </w:r>
    </w:p>
    <w:p>
      <w:pPr>
        <w:spacing w:after="0" w:line="171" w:lineRule="exact"/>
        <w:rPr>
          <w:sz w:val="24"/>
          <w:szCs w:val="24"/>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19"/>
          </w:cols>
          <w:pgMar w:left="240" w:top="400" w:right="1440" w:bottom="195" w:gutter="0" w:footer="0" w:header="0"/>
        </w:sectPr>
      </w:pPr>
    </w:p>
    <w:bookmarkStart w:id="1" w:name="page2"/>
    <w:bookmarkEnd w:id="1"/>
    <w:p>
      <w:pPr>
        <w:spacing w:after="0"/>
        <w:tabs>
          <w:tab w:leader="dot" w:pos="67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180"/>
        <w:spacing w:after="0"/>
        <w:rPr>
          <w:sz w:val="20"/>
          <w:szCs w:val="20"/>
          <w:color w:val="auto"/>
        </w:rPr>
      </w:pPr>
      <w:r>
        <w:rPr>
          <w:rFonts w:ascii="Courier New" w:cs="Courier New" w:eastAsia="Courier New" w:hAnsi="Courier New"/>
          <w:sz w:val="15"/>
          <w:szCs w:val="15"/>
          <w:color w:val="auto"/>
        </w:rPr>
        <w:t>ICON plc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2,300 employees and operations in 28 locations in 16 countries. Our main operations are in the United States, South America, Europe and the Rest of the World. For the nine months ended February 28, 2003, we derived approximately 71.0%, 26.4% and 2.6% of our net revenue in the United States, Europe and Rest of World, respectively.</w:t>
      </w:r>
    </w:p>
    <w:p>
      <w:pPr>
        <w:spacing w:after="0" w:line="181"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5"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On January 24, 2003, we completed the acquisition of Medeval Group Limited, ("Medeval"), a specialist provider of Phase I clinical trials to the pharmaceutical and biotechnology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99" w:right="1440" w:bottom="1440" w:gutter="0" w:footer="0" w:header="0"/>
        </w:sectPr>
      </w:pPr>
    </w:p>
    <w:bookmarkStart w:id="3" w:name="page4"/>
    <w:bookmarkEnd w:id="3"/>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3180"/>
              <w:spacing w:after="0"/>
              <w:rPr>
                <w:sz w:val="20"/>
                <w:szCs w:val="20"/>
                <w:color w:val="auto"/>
              </w:rPr>
            </w:pPr>
            <w:r>
              <w:rPr>
                <w:rFonts w:ascii="Courier New" w:cs="Courier New" w:eastAsia="Courier New" w:hAnsi="Courier New"/>
                <w:sz w:val="15"/>
                <w:szCs w:val="15"/>
                <w:color w:val="auto"/>
              </w:rPr>
              <w:t>ICON plc</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7620" w:type="dxa"/>
            <w:vAlign w:val="bottom"/>
          </w:tcPr>
          <w:p>
            <w:pPr>
              <w:ind w:left="1940"/>
              <w:spacing w:after="0"/>
              <w:rPr>
                <w:sz w:val="20"/>
                <w:szCs w:val="20"/>
                <w:color w:val="auto"/>
              </w:rPr>
            </w:pPr>
            <w:r>
              <w:rPr>
                <w:rFonts w:ascii="Courier New" w:cs="Courier New" w:eastAsia="Courier New" w:hAnsi="Courier New"/>
                <w:sz w:val="15"/>
                <w:szCs w:val="15"/>
                <w:color w:val="auto"/>
              </w:rPr>
              <w:t>CONDENSED CONSOLIDATED BALANCE SHEETS</w:t>
            </w:r>
          </w:p>
        </w:tc>
        <w:tc>
          <w:tcPr>
            <w:tcW w:w="16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7620" w:type="dxa"/>
            <w:vAlign w:val="bottom"/>
          </w:tcPr>
          <w:p>
            <w:pPr>
              <w:ind w:left="1760"/>
              <w:spacing w:after="0"/>
              <w:rPr>
                <w:sz w:val="20"/>
                <w:szCs w:val="20"/>
                <w:color w:val="auto"/>
              </w:rPr>
            </w:pPr>
            <w:r>
              <w:rPr>
                <w:rFonts w:ascii="Courier New" w:cs="Courier New" w:eastAsia="Courier New" w:hAnsi="Courier New"/>
                <w:sz w:val="15"/>
                <w:szCs w:val="15"/>
                <w:color w:val="auto"/>
              </w:rPr>
              <w:t>AS AT FEBRUARY 28, 2003 AND MAY 31, 2002</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7620" w:type="dxa"/>
            <w:vAlign w:val="bottom"/>
          </w:tcPr>
          <w:p>
            <w:pPr>
              <w:spacing w:after="0"/>
              <w:rPr>
                <w:sz w:val="24"/>
                <w:szCs w:val="24"/>
                <w:color w:val="auto"/>
              </w:rPr>
            </w:pP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(Unaudited)</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(Audited)</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February 28, 2003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May 31, 2002</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spacing w:after="0"/>
              <w:rPr>
                <w:sz w:val="14"/>
                <w:szCs w:val="14"/>
                <w:color w:val="auto"/>
              </w:rPr>
            </w:pPr>
          </w:p>
        </w:tc>
        <w:tc>
          <w:tcPr>
            <w:tcW w:w="310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7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Cash and cash equivalents.......................................................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$21,862</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$36,291</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Short term investments (available for sale) ....................................</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18,551</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Accounts receivable.............................................................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45,337</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41,306</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Unbilled revenue................................................................</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53,082</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26,387</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Other receivables...............................................................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8,166</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2,093</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Deferred taxes..................................................................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408</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408</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Prepayments and other current assets............................................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8,886</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5,183</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Total current assets............................................................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137,741</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130,219</w:t>
            </w:r>
          </w:p>
        </w:tc>
      </w:tr>
      <w:tr>
        <w:trPr>
          <w:trHeight w:val="171"/>
        </w:trPr>
        <w:tc>
          <w:tcPr>
            <w:tcW w:w="76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35,335</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25,482</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Goodwill........................................................................</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41,968</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10,093</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$215,044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$165,794</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6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1"/>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Accounts payable................................................................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$7,184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$5,788</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Payments on account.............................................................</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37,989</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19,854</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Other liabilities...............................................................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23,804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16,308</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Taxes payable...................................................................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7,810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3,601</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Bank creditlines and loan facilities............................................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10,503</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11,745</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ind w:left="620"/>
              <w:spacing w:after="0"/>
              <w:rPr>
                <w:sz w:val="20"/>
                <w:szCs w:val="20"/>
                <w:color w:val="auto"/>
              </w:rPr>
            </w:pPr>
            <w:r>
              <w:rPr>
                <w:rFonts w:ascii="Courier New" w:cs="Courier New" w:eastAsia="Courier New" w:hAnsi="Courier New"/>
                <w:sz w:val="15"/>
                <w:szCs w:val="15"/>
                <w:color w:val="auto"/>
                <w:w w:val="98"/>
              </w:rPr>
              <w:t>Total current liabilities......................................................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87,290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57,296</w:t>
            </w:r>
          </w:p>
        </w:tc>
      </w:tr>
      <w:tr>
        <w:trPr>
          <w:trHeight w:val="171"/>
        </w:trPr>
        <w:tc>
          <w:tcPr>
            <w:tcW w:w="76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Long term government grants.....................................................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1,054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937</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Other liabilities...............................................................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authorized, 11,828,217 shares issued and outstanding at February 28, 2003</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and 11,798,501 shares issued and outstanding at May 31, 2002</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839</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Additional paid-in capital......................................................</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60,865</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60,348</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Accumulated other comprehensive income..........................................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2,821</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(2,461)</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Merger reserve..................................................................</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w:t>
            </w: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w w:val="98"/>
              </w:rPr>
              <w:t>Retained earnings...............................................................</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61,777</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48,788</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Total Shareholders' Equity............................................................</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126,350</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107,561</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$215,044</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$165,794</w:t>
            </w:r>
          </w:p>
        </w:tc>
      </w:tr>
      <w:tr>
        <w:trPr>
          <w:trHeight w:val="171"/>
        </w:trPr>
        <w:tc>
          <w:tcPr>
            <w:tcW w:w="762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720"/>
          </w:cols>
          <w:pgMar w:left="240" w:top="1440" w:right="939" w:bottom="1440" w:gutter="0" w:footer="0" w:header="0"/>
        </w:sectPr>
      </w:pPr>
    </w:p>
    <w:bookmarkStart w:id="4" w:name="page5"/>
    <w:bookmarkEnd w:id="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ICON plc</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5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754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FOR THE THREE AND NINE MONTHS ENDED FEBRUARY 28, 2003 AND 2002</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94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(UNAUDITED)</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29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Three Months Ended</w:t>
            </w:r>
          </w:p>
        </w:tc>
        <w:tc>
          <w:tcPr>
            <w:tcW w:w="26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5940" w:type="dxa"/>
            <w:vAlign w:val="bottom"/>
          </w:tcPr>
          <w:p>
            <w:pPr>
              <w:spacing w:after="0"/>
              <w:rPr>
                <w:sz w:val="14"/>
                <w:szCs w:val="14"/>
                <w:color w:val="auto"/>
              </w:rPr>
            </w:pPr>
          </w:p>
        </w:tc>
        <w:tc>
          <w:tcPr>
            <w:tcW w:w="29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29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February 28,</w:t>
            </w:r>
          </w:p>
        </w:tc>
        <w:tc>
          <w:tcPr>
            <w:tcW w:w="26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February 28,</w:t>
            </w:r>
          </w:p>
        </w:tc>
      </w:tr>
      <w:tr>
        <w:trPr>
          <w:trHeight w:val="171"/>
        </w:trPr>
        <w:tc>
          <w:tcPr>
            <w:tcW w:w="5940" w:type="dxa"/>
            <w:vAlign w:val="bottom"/>
          </w:tcPr>
          <w:p>
            <w:pPr>
              <w:spacing w:after="0"/>
              <w:rPr>
                <w:sz w:val="14"/>
                <w:szCs w:val="14"/>
                <w:color w:val="auto"/>
              </w:rPr>
            </w:pPr>
          </w:p>
        </w:tc>
        <w:tc>
          <w:tcPr>
            <w:tcW w:w="29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558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Revenue:</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Gross revenue..............................................</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$79,205</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$53,055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$236,270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$153,356</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Subcontractor costs........................................</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(19,894)</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(13,485)</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(76,565)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(39,798)</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revenue................................................</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59,311</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39,570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159,705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113,558</w:t>
            </w:r>
          </w:p>
        </w:tc>
      </w:tr>
      <w:tr>
        <w:trPr>
          <w:trHeight w:val="34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Direct costs...............................................</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33,366</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20,932</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87,507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60,446</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17,890</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12,462</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49,481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35,550</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Depreciation ..............................................</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1,869</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5,017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4,416</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costs and expenses...................................</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53,125</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34,932</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142,005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100,412</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from operations........................................</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6,186</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4,638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17,700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13,146</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Interest income...............................................</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594</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1,282</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before provision for income taxes......................</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6,306</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4,923</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18,079</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14,010</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Provision for income taxes....................................</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(1,709)</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(1,325)</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(5,090)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(3,625)</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income....................................................</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$4,597</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$12,989</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$10,385</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Ordinary Share:</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Basic......................................................</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$0.39</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$0.31</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$0.90</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Diluted...................................................</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$0.85</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Basic....................................................</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11,818,704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11,707,978</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11,804,576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11,576,692</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12,220,266</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12,229,874</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12,169,875</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12,224,383</w:t>
            </w:r>
          </w:p>
        </w:tc>
      </w:tr>
      <w:tr>
        <w:trPr>
          <w:trHeight w:val="171"/>
        </w:trPr>
        <w:tc>
          <w:tcPr>
            <w:tcW w:w="594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1440" w:right="139" w:bottom="1440" w:gutter="0" w:footer="0" w:header="0"/>
        </w:sectPr>
      </w:pPr>
    </w:p>
    <w:bookmarkStart w:id="5" w:name="page6"/>
    <w:bookmarkEnd w:id="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jc w:val="right"/>
              <w:ind w:right="2726"/>
              <w:spacing w:after="0"/>
              <w:rPr>
                <w:sz w:val="20"/>
                <w:szCs w:val="20"/>
                <w:color w:val="auto"/>
              </w:rPr>
            </w:pPr>
            <w:r>
              <w:rPr>
                <w:rFonts w:ascii="Courier New" w:cs="Courier New" w:eastAsia="Courier New" w:hAnsi="Courier New"/>
                <w:sz w:val="15"/>
                <w:szCs w:val="15"/>
                <w:color w:val="auto"/>
              </w:rPr>
              <w:t>ICON plc</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670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1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670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FOR THE NINE MONTHS ENDED FEBRUARY 28, 2003 AND 2002</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jc w:val="right"/>
              <w:ind w:right="2546"/>
              <w:spacing w:after="0"/>
              <w:rPr>
                <w:sz w:val="20"/>
                <w:szCs w:val="20"/>
                <w:color w:val="auto"/>
              </w:rPr>
            </w:pPr>
            <w:r>
              <w:rPr>
                <w:rFonts w:ascii="Courier New" w:cs="Courier New" w:eastAsia="Courier New" w:hAnsi="Courier New"/>
                <w:sz w:val="15"/>
                <w:szCs w:val="15"/>
                <w:color w:val="auto"/>
              </w:rPr>
              <w:t>(UNAUDITED)</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spacing w:after="0"/>
              <w:rPr>
                <w:sz w:val="14"/>
                <w:szCs w:val="14"/>
                <w:color w:val="auto"/>
              </w:rPr>
            </w:pPr>
          </w:p>
        </w:tc>
        <w:tc>
          <w:tcPr>
            <w:tcW w:w="35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6700" w:type="dxa"/>
            <w:vAlign w:val="bottom"/>
          </w:tcPr>
          <w:p>
            <w:pPr>
              <w:spacing w:after="0"/>
              <w:rPr>
                <w:sz w:val="14"/>
                <w:szCs w:val="14"/>
                <w:color w:val="auto"/>
              </w:rPr>
            </w:pPr>
          </w:p>
        </w:tc>
        <w:tc>
          <w:tcPr>
            <w:tcW w:w="35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14"/>
                <w:szCs w:val="14"/>
                <w:color w:val="auto"/>
              </w:rPr>
            </w:pPr>
          </w:p>
        </w:tc>
        <w:tc>
          <w:tcPr>
            <w:tcW w:w="350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February 28</w:t>
            </w:r>
          </w:p>
        </w:tc>
      </w:tr>
      <w:tr>
        <w:trPr>
          <w:trHeight w:val="171"/>
        </w:trPr>
        <w:tc>
          <w:tcPr>
            <w:tcW w:w="6700" w:type="dxa"/>
            <w:vAlign w:val="bottom"/>
          </w:tcPr>
          <w:p>
            <w:pPr>
              <w:spacing w:after="0"/>
              <w:rPr>
                <w:sz w:val="14"/>
                <w:szCs w:val="14"/>
                <w:color w:val="auto"/>
              </w:rPr>
            </w:pPr>
          </w:p>
        </w:tc>
        <w:tc>
          <w:tcPr>
            <w:tcW w:w="350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2003</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spacing w:after="0"/>
              <w:rPr>
                <w:sz w:val="14"/>
                <w:szCs w:val="14"/>
                <w:color w:val="auto"/>
              </w:rPr>
            </w:pPr>
          </w:p>
        </w:tc>
        <w:tc>
          <w:tcPr>
            <w:tcW w:w="35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$12,989</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$10,385</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 (used in)</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operating activities:..................................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Loss on disposal of fixed assets.......................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Depreciation...........................................</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5,017</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4,416</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Amortization of grants.................................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Decrease /(increase) in accounts receivable............</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4,395</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(3,257)</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Increase in unbilled revenue...........................</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(22,704)</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(4,253)</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(Increase) /decrease in other receivables..............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(2,044)</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Increase in prepayments and other current assets.......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(2,752)</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(3,646)</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Increase in payments on account........................</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17,762</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7,216</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(Decrease)/ increase in other liabilities..............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2,264</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Increase in income taxes payable.......................</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3,887</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1,594</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Increase in accounts payable...........................</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16,563</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16,307</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Purchase of fixed assets...............................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(11,157)</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(7,238)</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Sale of short term investments.........................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23,190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25,911</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Purchase of short term investments.....................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(4,639)</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(12,479)</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Purchase of subsidiary.................................</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(35,721)</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Cash acquired with subsidiary .........................</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ind w:right="2106"/>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(3,078)</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(2,591)</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rPr>
              <w:t>Receipt of grant ......................................</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464</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Net cash (used in)/ provided by investing activities......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(29,495)</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4,067</w:t>
            </w:r>
          </w:p>
        </w:tc>
      </w:tr>
      <w:tr>
        <w:trPr>
          <w:trHeight w:val="171"/>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Repayment of bank overdraft...............................</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(1,941)</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(976)</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Repayment of long term debt...............................</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Proceeds from exercise of share options...................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441</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2,305</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Repayment of other liabilities............................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Net cash (used in)/ provided by financing activities......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(1,636)</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933</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Effect of exchange rate movements on cash.................</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139</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Net (decrease)/ increase in cash and cash equivalents.....</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(14,429)</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21,494</w:t>
            </w:r>
          </w:p>
        </w:tc>
      </w:tr>
      <w:tr>
        <w:trPr>
          <w:trHeight w:val="17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36,291</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11,179</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70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$21,862</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$32,673</w:t>
            </w:r>
          </w:p>
        </w:tc>
      </w:tr>
      <w:tr>
        <w:trPr>
          <w:trHeight w:val="171"/>
        </w:trPr>
        <w:tc>
          <w:tcPr>
            <w:tcW w:w="6700" w:type="dxa"/>
            <w:vAlign w:val="bottom"/>
          </w:tcPr>
          <w:p>
            <w:pPr>
              <w:spacing w:after="0"/>
              <w:rPr>
                <w:sz w:val="14"/>
                <w:szCs w:val="14"/>
                <w:color w:val="auto"/>
              </w:rPr>
            </w:pPr>
          </w:p>
        </w:tc>
        <w:tc>
          <w:tcPr>
            <w:tcW w:w="19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440" w:right="1440" w:bottom="1440" w:gutter="0" w:footer="0" w:header="0"/>
        </w:sectPr>
      </w:pPr>
    </w:p>
    <w:bookmarkStart w:id="6" w:name="page7"/>
    <w:bookmarkEnd w:id="6"/>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ICON plc</w:t>
            </w: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91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CONDENSED CONSOLIDATED STATEMENTS OF SHAREHOLDERS' EQUITY AND COMPREHENSIVE INCOME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(UNAUDITED)</w:t>
            </w: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Accumulated</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Additional</w:t>
            </w: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Comprehensive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Retained</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Merger</w:t>
            </w:r>
          </w:p>
        </w:tc>
        <w:tc>
          <w:tcPr>
            <w:tcW w:w="84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Amount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Income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Earnings</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Reserve</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40" w:type="dxa"/>
            <w:vAlign w:val="bottom"/>
          </w:tcPr>
          <w:p>
            <w:pPr>
              <w:spacing w:after="0"/>
              <w:rPr>
                <w:sz w:val="14"/>
                <w:szCs w:val="14"/>
                <w:color w:val="auto"/>
              </w:rPr>
            </w:pP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(dollars in thousands, except share data)</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83"/>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Balance at May 31, 2002........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11,798,501</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$839</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$60,348</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($2,461)</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$48,788</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$107,561</w:t>
            </w:r>
          </w:p>
        </w:tc>
      </w:tr>
      <w:tr>
        <w:trPr>
          <w:trHeight w:val="512"/>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w w:val="98"/>
              </w:rPr>
              <w:t>Net income.......................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12,989</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12,989</w:t>
            </w:r>
          </w:p>
        </w:tc>
      </w:tr>
      <w:tr>
        <w:trPr>
          <w:trHeight w:val="171"/>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w w:val="98"/>
              </w:rPr>
              <w:t>Currency translation adjustment..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5,282</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5,282</w:t>
            </w:r>
          </w:p>
        </w:tc>
      </w:tr>
      <w:tr>
        <w:trPr>
          <w:trHeight w:val="171"/>
        </w:trPr>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w w:val="98"/>
              </w:rPr>
              <w:t>Total comprehensive income.......</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18,271</w:t>
            </w:r>
          </w:p>
        </w:tc>
      </w:tr>
      <w:tr>
        <w:trPr>
          <w:trHeight w:val="171"/>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w w:val="98"/>
              </w:rPr>
              <w:t>Exercise of Share Options........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26,020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1"/>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w w:val="98"/>
              </w:rPr>
              <w:t>Shares issued....................</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3,696</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1"/>
        </w:trPr>
        <w:tc>
          <w:tcPr>
            <w:tcW w:w="3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Balance at February 28, 2003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11,828,217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$840</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$60,865</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$2,821</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$61,777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$126,350</w:t>
            </w:r>
          </w:p>
        </w:tc>
      </w:tr>
      <w:tr>
        <w:trPr>
          <w:trHeight w:val="171"/>
        </w:trPr>
        <w:tc>
          <w:tcPr>
            <w:tcW w:w="3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740"/>
          </w:cols>
          <w:pgMar w:left="500" w:top="1440" w:right="659" w:bottom="1440" w:gutter="0" w:footer="0" w:header="0"/>
        </w:sectPr>
      </w:pPr>
    </w:p>
    <w:bookmarkStart w:id="7" w:name="page8"/>
    <w:bookmarkEnd w:id="7"/>
    <w:p>
      <w:pPr>
        <w:jc w:val="center"/>
        <w:ind w:right="3119"/>
        <w:spacing w:after="0"/>
        <w:rPr>
          <w:sz w:val="20"/>
          <w:szCs w:val="20"/>
          <w:color w:val="auto"/>
        </w:rPr>
      </w:pPr>
      <w:r>
        <w:rPr>
          <w:rFonts w:ascii="Courier New" w:cs="Courier New" w:eastAsia="Courier New" w:hAnsi="Courier New"/>
          <w:sz w:val="15"/>
          <w:szCs w:val="15"/>
          <w:color w:val="auto"/>
        </w:rPr>
        <w:t>ICON plc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FEBRUARY 28, 2003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These condensed consolidated financial statements, which have been prepared in accordance with United States generally accepted accounting principles,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United States generally accepted accounting principles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2002, except as described below.</w:t>
      </w:r>
    </w:p>
    <w:p>
      <w:pPr>
        <w:spacing w:after="0" w:line="16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2002 annual report on Form 20-F. Operating results for the nine months ended February 28, 2003 are not necessarily indicative of the results that may be expected for the fiscal year ending May 31, 2003.</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w:t>
      </w:r>
    </w:p>
    <w:p>
      <w:pPr>
        <w:spacing w:after="0" w:line="174"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Acquisition of Barton &amp; Polansky Associates, Inc. and Managed Clinical Solutions, Inc.</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October 9, 2002, the Company acquired 100% of the outstanding shares of Barton &amp; Polansky Associates, Inc. ("BPA") and its sister company Managed Clinical Solutions, Inc. ("MCS"), both based in New York, USA, for an initial cash consideration of U.S.$15.7 million, excluding costs of acquisition. Earn-out and working capital provisions have been built into the acquisition contract requiring the potential payment of additional deferred consideration up to a maximum of U.S.$18 million depending on the performance of MCS over the period to May 31, 2006. Such potential additional consideration will be accounted for as goodwill. The total amount of goodwill is expected to be tax deductible.</w:t>
      </w:r>
    </w:p>
    <w:p>
      <w:pPr>
        <w:spacing w:after="0" w:line="178"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On December 20, 2002, an additional cash payment of U.S.$3.7 million was made to the former shareholders of BPA and MCS as part of the working capital provisions in the contract.</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acquisitions of BPA and MCS have been accounted for as a purchase in accordance with SFAS No. 141, "Business Combinations". The following table summarises the fair values of the assets acquired and the liabilities assumed at the date of acquisition.</w:t>
      </w:r>
    </w:p>
    <w:p>
      <w:pPr>
        <w:spacing w:after="0" w:line="174"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At October 9,</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2002</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ind w:left="620"/>
        <w:spacing w:after="0"/>
        <w:tabs>
          <w:tab w:leader="none" w:pos="5660" w:val="left"/>
        </w:tabs>
        <w:rPr>
          <w:sz w:val="20"/>
          <w:szCs w:val="20"/>
          <w:color w:val="auto"/>
        </w:rPr>
      </w:pPr>
      <w:r>
        <w:rPr>
          <w:rFonts w:ascii="Courier New" w:cs="Courier New" w:eastAsia="Courier New" w:hAnsi="Courier New"/>
          <w:sz w:val="15"/>
          <w:szCs w:val="15"/>
          <w:color w:val="auto"/>
        </w:rPr>
        <w:t>Property, Plant &amp; Equipment</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620"/>
        <w:spacing w:after="0"/>
        <w:tabs>
          <w:tab w:leader="none" w:pos="5300"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4"/>
          <w:szCs w:val="14"/>
          <w:color w:val="auto"/>
        </w:rPr>
        <w:t>14,163</w:t>
      </w:r>
    </w:p>
    <w:p>
      <w:pPr>
        <w:spacing w:after="0" w:line="1" w:lineRule="exact"/>
        <w:rPr>
          <w:sz w:val="20"/>
          <w:szCs w:val="20"/>
          <w:color w:val="auto"/>
        </w:rPr>
      </w:pPr>
    </w:p>
    <w:p>
      <w:pPr>
        <w:ind w:left="620"/>
        <w:spacing w:after="0"/>
        <w:tabs>
          <w:tab w:leader="none" w:pos="5380" w:val="left"/>
        </w:tabs>
        <w:rPr>
          <w:sz w:val="20"/>
          <w:szCs w:val="20"/>
          <w:color w:val="auto"/>
        </w:rPr>
      </w:pPr>
      <w:r>
        <w:rPr>
          <w:rFonts w:ascii="Courier New" w:cs="Courier New" w:eastAsia="Courier New" w:hAnsi="Courier New"/>
          <w:sz w:val="15"/>
          <w:szCs w:val="15"/>
          <w:color w:val="auto"/>
        </w:rPr>
        <w:t>Current Assets</w:t>
      </w:r>
      <w:r>
        <w:rPr>
          <w:sz w:val="20"/>
          <w:szCs w:val="20"/>
          <w:color w:val="auto"/>
        </w:rPr>
        <w:tab/>
      </w:r>
      <w:r>
        <w:rPr>
          <w:rFonts w:ascii="Courier New" w:cs="Courier New" w:eastAsia="Courier New" w:hAnsi="Courier New"/>
          <w:sz w:val="14"/>
          <w:szCs w:val="14"/>
          <w:color w:val="auto"/>
        </w:rPr>
        <w:t>9,533</w:t>
      </w:r>
    </w:p>
    <w:p>
      <w:pPr>
        <w:spacing w:after="0" w:line="1" w:lineRule="exact"/>
        <w:rPr>
          <w:sz w:val="20"/>
          <w:szCs w:val="20"/>
          <w:color w:val="auto"/>
        </w:rPr>
      </w:pPr>
    </w:p>
    <w:p>
      <w:pPr>
        <w:ind w:left="620"/>
        <w:spacing w:after="0"/>
        <w:tabs>
          <w:tab w:leader="none" w:pos="5200"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4"/>
          <w:szCs w:val="14"/>
          <w:color w:val="auto"/>
        </w:rPr>
        <w:t>(2,795)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20"/>
        <w:spacing w:after="0"/>
        <w:tabs>
          <w:tab w:leader="none" w:pos="5200"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4"/>
          <w:szCs w:val="14"/>
          <w:color w:val="auto"/>
        </w:rPr>
        <w:t>$20,903</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140" w:right="1440" w:bottom="1440" w:gutter="0" w:footer="0" w:header="0"/>
        </w:sectPr>
      </w:pPr>
    </w:p>
    <w:bookmarkStart w:id="8" w:name="page9"/>
    <w:bookmarkEnd w:id="8"/>
    <w:p>
      <w:pPr>
        <w:ind w:right="3219"/>
        <w:spacing w:after="0" w:line="261" w:lineRule="auto"/>
        <w:rPr>
          <w:sz w:val="20"/>
          <w:szCs w:val="20"/>
          <w:color w:val="auto"/>
        </w:rPr>
      </w:pPr>
      <w:r>
        <w:rPr>
          <w:rFonts w:ascii="Courier New" w:cs="Courier New" w:eastAsia="Courier New" w:hAnsi="Courier New"/>
          <w:sz w:val="14"/>
          <w:szCs w:val="14"/>
          <w:color w:val="auto"/>
        </w:rPr>
        <w:t>The primary purpose of the acquisition was to expand our expertise in the US in the area of immuno-suppressant drugs, including those used to treat transplant patients, and to provide contract staffing solutions to the pharmaceutical and biotechnology industries. The results of BPA and MCS have been included in the condensed consolidated financial statements from October 1, 2002.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Medeval Group Ltd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January 24, 2003, the Company acquired 100% of the outstanding shares of Medeval Group Limited ("Medeval") for an initial cash consideration of sterling (pound)9.5 million (U.S.$15.5 million), excluding costs of acquisition. Earn-out provisions have been built into the acquisition contract requiring the potential payment of additional deferred consideration up to a maximum of sterling (pound)4.3 million (U.S.$6.7 million) depending on the performance of Medeval over the period to May 31, 2004. Such potential additional consideration will be accounted as goodwill.</w:t>
      </w:r>
    </w:p>
    <w:p>
      <w:pPr>
        <w:spacing w:after="0" w:line="17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acquisition of Medeval has been accounted for as a purchase in accordance with SFAS No. 141, "Business Combinations". The following table summarises the fair values of the assets acquired and the liabilities assumed at the date of acquisition.</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At January 24,</w:t>
            </w:r>
          </w:p>
        </w:tc>
      </w:tr>
      <w:tr>
        <w:trPr>
          <w:trHeight w:val="171"/>
        </w:trPr>
        <w:tc>
          <w:tcPr>
            <w:tcW w:w="31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19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3100" w:type="dxa"/>
            <w:vAlign w:val="bottom"/>
          </w:tcPr>
          <w:p>
            <w:pPr>
              <w:spacing w:after="0"/>
              <w:rPr>
                <w:sz w:val="14"/>
                <w:szCs w:val="14"/>
                <w:color w:val="auto"/>
              </w:rPr>
            </w:pPr>
          </w:p>
        </w:tc>
        <w:tc>
          <w:tcPr>
            <w:tcW w:w="19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Property, Plant &amp; Equipment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$1,632</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17,863</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2,738</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(2,456)</w:t>
            </w:r>
          </w:p>
        </w:tc>
      </w:tr>
    </w:tbl>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$19,777</w:t>
            </w:r>
          </w:p>
        </w:tc>
      </w:tr>
    </w:tbl>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Medeval is a specialist provider of Phase I clinical trials to the pharmaceutical and biotechnological industries, based in Manchester, UK. The acquisition marks ICONs first entry into the Phase I arena. The results of Medeval have been included in the condensed consolidated financial statements from January 24, 2003.</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proforma effect of the acquisitions if completed on June 1, 2002 would have resulted in net revenue, net income and earnings per share for the three and nine months ended February 28, 2003 and 2002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32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c>
          <w:tcPr>
            <w:tcW w:w="26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3140" w:type="dxa"/>
            <w:vAlign w:val="bottom"/>
          </w:tcPr>
          <w:p>
            <w:pPr>
              <w:spacing w:after="0"/>
              <w:rPr>
                <w:sz w:val="14"/>
                <w:szCs w:val="14"/>
                <w:color w:val="auto"/>
              </w:rPr>
            </w:pPr>
          </w:p>
        </w:tc>
        <w:tc>
          <w:tcPr>
            <w:tcW w:w="32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3240" w:type="dxa"/>
            <w:vAlign w:val="bottom"/>
            <w:gridSpan w:val="2"/>
          </w:tcPr>
          <w:p>
            <w:pPr>
              <w:jc w:val="center"/>
              <w:ind w:left="506"/>
              <w:spacing w:after="0"/>
              <w:rPr>
                <w:sz w:val="20"/>
                <w:szCs w:val="20"/>
                <w:color w:val="auto"/>
              </w:rPr>
            </w:pPr>
            <w:r>
              <w:rPr>
                <w:rFonts w:ascii="Courier New" w:cs="Courier New" w:eastAsia="Courier New" w:hAnsi="Courier New"/>
                <w:sz w:val="15"/>
                <w:szCs w:val="15"/>
                <w:color w:val="auto"/>
                <w:w w:val="98"/>
              </w:rPr>
              <w:t>February 28,</w:t>
            </w:r>
          </w:p>
        </w:tc>
        <w:tc>
          <w:tcPr>
            <w:tcW w:w="1020" w:type="dxa"/>
            <w:vAlign w:val="bottom"/>
          </w:tcPr>
          <w:p>
            <w:pPr>
              <w:spacing w:after="0"/>
              <w:rPr>
                <w:sz w:val="14"/>
                <w:szCs w:val="14"/>
                <w:color w:val="auto"/>
              </w:rPr>
            </w:pPr>
          </w:p>
        </w:tc>
        <w:tc>
          <w:tcPr>
            <w:tcW w:w="1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February 28,</w:t>
            </w:r>
          </w:p>
        </w:tc>
      </w:tr>
      <w:tr>
        <w:trPr>
          <w:trHeight w:val="171"/>
        </w:trPr>
        <w:tc>
          <w:tcPr>
            <w:tcW w:w="3140" w:type="dxa"/>
            <w:vAlign w:val="bottom"/>
          </w:tcPr>
          <w:p>
            <w:pPr>
              <w:spacing w:after="0"/>
              <w:rPr>
                <w:sz w:val="14"/>
                <w:szCs w:val="14"/>
                <w:color w:val="auto"/>
              </w:rPr>
            </w:pPr>
          </w:p>
        </w:tc>
        <w:tc>
          <w:tcPr>
            <w:tcW w:w="3240" w:type="dxa"/>
            <w:vAlign w:val="bottom"/>
            <w:gridSpan w:val="2"/>
          </w:tcPr>
          <w:p>
            <w:pPr>
              <w:jc w:val="center"/>
              <w:ind w:left="50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spacing w:after="0"/>
              <w:rPr>
                <w:sz w:val="14"/>
                <w:szCs w:val="14"/>
                <w:color w:val="auto"/>
              </w:rPr>
            </w:pPr>
          </w:p>
        </w:tc>
        <w:tc>
          <w:tcPr>
            <w:tcW w:w="16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2003</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140" w:type="dxa"/>
            <w:vAlign w:val="bottom"/>
          </w:tcPr>
          <w:p>
            <w:pPr>
              <w:spacing w:after="0"/>
              <w:rPr>
                <w:sz w:val="14"/>
                <w:szCs w:val="14"/>
                <w:color w:val="auto"/>
              </w:rPr>
            </w:pP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40" w:type="dxa"/>
            <w:vAlign w:val="bottom"/>
          </w:tcPr>
          <w:p>
            <w:pPr>
              <w:spacing w:after="0"/>
              <w:rPr>
                <w:sz w:val="14"/>
                <w:szCs w:val="14"/>
                <w:color w:val="auto"/>
              </w:rPr>
            </w:pPr>
          </w:p>
        </w:tc>
        <w:tc>
          <w:tcPr>
            <w:tcW w:w="3240" w:type="dxa"/>
            <w:vAlign w:val="bottom"/>
            <w:gridSpan w:val="2"/>
          </w:tcPr>
          <w:p>
            <w:pPr>
              <w:jc w:val="center"/>
              <w:ind w:left="506"/>
              <w:spacing w:after="0"/>
              <w:rPr>
                <w:sz w:val="20"/>
                <w:szCs w:val="20"/>
                <w:color w:val="auto"/>
              </w:rPr>
            </w:pPr>
            <w:r>
              <w:rPr>
                <w:rFonts w:ascii="Courier New" w:cs="Courier New" w:eastAsia="Courier New" w:hAnsi="Courier New"/>
                <w:sz w:val="15"/>
                <w:szCs w:val="15"/>
                <w:color w:val="auto"/>
                <w:w w:val="99"/>
              </w:rPr>
              <w:t>(in thousands)</w:t>
            </w:r>
          </w:p>
        </w:tc>
        <w:tc>
          <w:tcPr>
            <w:tcW w:w="266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$61,824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$177,460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$140,788</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$4,740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$13,846</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$12,340</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$0.40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$0.39</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bl>
    <w:p>
      <w:pPr>
        <w:spacing w:after="0" w:line="200" w:lineRule="exact"/>
        <w:rPr>
          <w:sz w:val="20"/>
          <w:szCs w:val="20"/>
          <w:color w:val="auto"/>
        </w:rPr>
      </w:pPr>
    </w:p>
    <w:p>
      <w:pPr>
        <w:spacing w:after="0" w:line="31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August 2002, a $900,000 distribution was made to the former shareholders of BPA and MCS, which was recorded as other expenses. In July 2001 and 2002, there were dividends paid to the former shareholders of Medeval of sterling (pound)25,679 (U.S.$36,148) and sterling (pound)109,700 (U.S.$168,134) respectively which were also recorded in net income. Both these are included in the proforma results.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August 31, 2002 the Company made a payment of Sterling (pound)100,000 (U.S.$146,602) to the former shareholders of YRCR Limited ("YRCR") in the form 50% cash and 50% shares under the terms of an earn out provision entered into on the acquisition of YRCR on January 27, 2000. This amount had been accrued at May 31, 2002.</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1" w:right="1440" w:bottom="1440" w:gutter="0" w:footer="0" w:header="0"/>
        </w:sectPr>
      </w:pPr>
    </w:p>
    <w:bookmarkStart w:id="9" w:name="page10"/>
    <w:bookmarkEnd w:id="9"/>
    <w:p>
      <w:pPr>
        <w:ind w:right="4260"/>
        <w:spacing w:after="0" w:line="239" w:lineRule="auto"/>
        <w:rPr>
          <w:sz w:val="20"/>
          <w:szCs w:val="20"/>
          <w:color w:val="auto"/>
        </w:rPr>
      </w:pPr>
      <w:r>
        <w:rPr>
          <w:rFonts w:ascii="Courier New" w:cs="Courier New" w:eastAsia="Courier New" w:hAnsi="Courier New"/>
          <w:sz w:val="15"/>
          <w:szCs w:val="15"/>
          <w:color w:val="auto"/>
        </w:rPr>
        <w:t>On September 1, 2002 the Company made a cash payment of U.S.$3.0 million to the former shareholders of UCT (U.S.) Inc., ("UCT") under the terms of an earn out provision entered into on the acquisition of UCT on June 8, 2000. This amount had been accrued at May 31, 2002.</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3. Goodwill</w:t>
            </w: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512"/>
        </w:trPr>
        <w:tc>
          <w:tcPr>
            <w:tcW w:w="3060" w:type="dxa"/>
            <w:vAlign w:val="bottom"/>
          </w:tcPr>
          <w:p>
            <w:pPr>
              <w:spacing w:after="0"/>
              <w:rPr>
                <w:sz w:val="24"/>
                <w:szCs w:val="24"/>
                <w:color w:val="auto"/>
              </w:rPr>
            </w:pPr>
          </w:p>
        </w:tc>
        <w:tc>
          <w:tcPr>
            <w:tcW w:w="2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Nine months ended</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060" w:type="dxa"/>
            <w:vAlign w:val="bottom"/>
          </w:tcPr>
          <w:p>
            <w:pPr>
              <w:spacing w:after="0"/>
              <w:rPr>
                <w:sz w:val="14"/>
                <w:szCs w:val="14"/>
                <w:color w:val="auto"/>
              </w:rPr>
            </w:pPr>
          </w:p>
        </w:tc>
        <w:tc>
          <w:tcPr>
            <w:tcW w:w="2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2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February 28,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1"/>
        </w:trPr>
        <w:tc>
          <w:tcPr>
            <w:tcW w:w="3060" w:type="dxa"/>
            <w:vAlign w:val="bottom"/>
          </w:tcPr>
          <w:p>
            <w:pPr>
              <w:spacing w:after="0"/>
              <w:rPr>
                <w:sz w:val="14"/>
                <w:szCs w:val="14"/>
                <w:color w:val="auto"/>
              </w:rPr>
            </w:pPr>
          </w:p>
        </w:tc>
        <w:tc>
          <w:tcPr>
            <w:tcW w:w="2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060" w:type="dxa"/>
            <w:vAlign w:val="bottom"/>
          </w:tcPr>
          <w:p>
            <w:pPr>
              <w:spacing w:after="0"/>
              <w:rPr>
                <w:sz w:val="14"/>
                <w:szCs w:val="14"/>
                <w:color w:val="auto"/>
              </w:rPr>
            </w:pP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14"/>
                <w:szCs w:val="14"/>
                <w:color w:val="auto"/>
              </w:rPr>
            </w:pPr>
          </w:p>
        </w:tc>
        <w:tc>
          <w:tcPr>
            <w:tcW w:w="2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Opening Balance</w:t>
            </w: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$10,093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$6,642</w:t>
            </w: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Arising on earn out</w:t>
            </w: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3,287</w:t>
            </w: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Arising on acquisition</w:t>
            </w: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28,340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Exchange Movement</w:t>
            </w: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1"/>
        </w:trPr>
        <w:tc>
          <w:tcPr>
            <w:tcW w:w="6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Closing Balance</w:t>
            </w:r>
          </w:p>
        </w:tc>
        <w:tc>
          <w:tcPr>
            <w:tcW w:w="22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$41,968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bl>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4620"/>
        <w:spacing w:after="0" w:line="271" w:lineRule="auto"/>
        <w:rPr>
          <w:sz w:val="20"/>
          <w:szCs w:val="20"/>
          <w:color w:val="auto"/>
        </w:rPr>
      </w:pPr>
      <w:r>
        <w:rPr>
          <w:rFonts w:ascii="Courier New" w:cs="Courier New" w:eastAsia="Courier New" w:hAnsi="Courier New"/>
          <w:sz w:val="14"/>
          <w:szCs w:val="14"/>
          <w:color w:val="auto"/>
        </w:rPr>
        <w:t>Goodwill arising on acquisition for the nine months ended February 28, 2003 wholly relates to the acquisition of BPA, MCS and Medeval (see note 2).</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74" w:lineRule="exact"/>
        <w:rPr>
          <w:sz w:val="20"/>
          <w:szCs w:val="20"/>
          <w:color w:val="auto"/>
        </w:rPr>
      </w:pPr>
    </w:p>
    <w:p>
      <w:pPr>
        <w:ind w:right="4160"/>
        <w:spacing w:after="0" w:line="260"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63" w:lineRule="exact"/>
        <w:rPr>
          <w:sz w:val="20"/>
          <w:szCs w:val="20"/>
          <w:color w:val="auto"/>
        </w:rPr>
      </w:pPr>
    </w:p>
    <w:p>
      <w:pPr>
        <w:ind w:right="4340"/>
        <w:spacing w:after="0" w:line="264" w:lineRule="auto"/>
        <w:rPr>
          <w:sz w:val="20"/>
          <w:szCs w:val="20"/>
          <w:color w:val="auto"/>
        </w:rPr>
      </w:pPr>
      <w:r>
        <w:rPr>
          <w:rFonts w:ascii="Courier New" w:cs="Courier New" w:eastAsia="Courier New" w:hAnsi="Courier New"/>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ectPr>
          <w:pgSz w:w="11900" w:h="16838" w:orient="portrait"/>
          <w:cols w:equalWidth="0" w:num="1">
            <w:col w:w="11260"/>
          </w:cols>
          <w:pgMar w:left="240" w:top="6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February 28,</w:t>
      </w:r>
    </w:p>
    <w:p>
      <w:pPr>
        <w:spacing w:after="0" w:line="1" w:lineRule="exact"/>
        <w:rPr>
          <w:sz w:val="20"/>
          <w:szCs w:val="20"/>
          <w:color w:val="auto"/>
        </w:rPr>
      </w:pPr>
    </w:p>
    <w:p>
      <w:pPr>
        <w:ind w:left="7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6920"/>
        <w:spacing w:after="0"/>
        <w:tabs>
          <w:tab w:leader="none" w:pos="822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3" w:lineRule="exact"/>
        <w:rPr>
          <w:sz w:val="20"/>
          <w:szCs w:val="20"/>
          <w:color w:val="auto"/>
        </w:rPr>
      </w:pPr>
    </w:p>
    <w:p>
      <w:pPr>
        <w:ind w:left="6920"/>
        <w:spacing w:after="0"/>
        <w:tabs>
          <w:tab w:leader="none" w:pos="8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Nine Months Ended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February 28,</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760" w:space="720"/>
            <w:col w:w="1780"/>
          </w:cols>
          <w:pgMar w:left="240" w:top="631" w:right="3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number of Ordinary Shares outstanding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net income per Ordinary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dilutive share options outstanding</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620"/>
        <w:spacing w:after="0"/>
        <w:tabs>
          <w:tab w:leader="none" w:pos="1940" w:val="left"/>
          <w:tab w:leader="none" w:pos="3180" w:val="left"/>
          <w:tab w:leader="none" w:pos="4500" w:val="left"/>
        </w:tabs>
        <w:rPr>
          <w:sz w:val="20"/>
          <w:szCs w:val="20"/>
          <w:color w:val="auto"/>
        </w:rPr>
      </w:pPr>
      <w:r>
        <w:rPr>
          <w:rFonts w:ascii="Courier New" w:cs="Courier New" w:eastAsia="Courier New" w:hAnsi="Courier New"/>
          <w:sz w:val="15"/>
          <w:szCs w:val="15"/>
          <w:color w:val="auto"/>
        </w:rPr>
        <w:t>11,818,704</w:t>
      </w:r>
      <w:r>
        <w:rPr>
          <w:sz w:val="20"/>
          <w:szCs w:val="20"/>
          <w:color w:val="auto"/>
        </w:rPr>
        <w:tab/>
      </w:r>
      <w:r>
        <w:rPr>
          <w:rFonts w:ascii="Courier New" w:cs="Courier New" w:eastAsia="Courier New" w:hAnsi="Courier New"/>
          <w:sz w:val="15"/>
          <w:szCs w:val="15"/>
          <w:color w:val="auto"/>
        </w:rPr>
        <w:t>11,707,978</w:t>
      </w:r>
      <w:r>
        <w:rPr>
          <w:sz w:val="20"/>
          <w:szCs w:val="20"/>
          <w:color w:val="auto"/>
        </w:rPr>
        <w:tab/>
      </w:r>
      <w:r>
        <w:rPr>
          <w:rFonts w:ascii="Courier New" w:cs="Courier New" w:eastAsia="Courier New" w:hAnsi="Courier New"/>
          <w:sz w:val="15"/>
          <w:szCs w:val="15"/>
          <w:color w:val="auto"/>
        </w:rPr>
        <w:t>11,804,576</w:t>
      </w:r>
      <w:r>
        <w:rPr>
          <w:sz w:val="20"/>
          <w:szCs w:val="20"/>
          <w:color w:val="auto"/>
        </w:rPr>
        <w:tab/>
      </w:r>
      <w:r>
        <w:rPr>
          <w:rFonts w:ascii="Courier New" w:cs="Courier New" w:eastAsia="Courier New" w:hAnsi="Courier New"/>
          <w:sz w:val="15"/>
          <w:szCs w:val="15"/>
          <w:color w:val="auto"/>
        </w:rPr>
        <w:t>11,576,692</w:t>
      </w:r>
    </w:p>
    <w:p>
      <w:pPr>
        <w:spacing w:after="0" w:line="1" w:lineRule="exact"/>
        <w:rPr>
          <w:sz w:val="20"/>
          <w:szCs w:val="20"/>
          <w:color w:val="auto"/>
        </w:rPr>
      </w:pPr>
    </w:p>
    <w:p>
      <w:pPr>
        <w:ind w:left="880"/>
        <w:spacing w:after="0"/>
        <w:tabs>
          <w:tab w:leader="none" w:pos="2200" w:val="left"/>
          <w:tab w:leader="none" w:pos="3440" w:val="left"/>
          <w:tab w:leader="none" w:pos="4780" w:val="left"/>
        </w:tabs>
        <w:rPr>
          <w:sz w:val="20"/>
          <w:szCs w:val="20"/>
          <w:color w:val="auto"/>
        </w:rPr>
      </w:pPr>
      <w:r>
        <w:rPr>
          <w:rFonts w:ascii="Courier New" w:cs="Courier New" w:eastAsia="Courier New" w:hAnsi="Courier New"/>
          <w:sz w:val="15"/>
          <w:szCs w:val="15"/>
          <w:color w:val="auto"/>
        </w:rPr>
        <w:t>401,562</w:t>
      </w:r>
      <w:r>
        <w:rPr>
          <w:sz w:val="20"/>
          <w:szCs w:val="20"/>
          <w:color w:val="auto"/>
        </w:rPr>
        <w:tab/>
      </w:r>
      <w:r>
        <w:rPr>
          <w:rFonts w:ascii="Courier New" w:cs="Courier New" w:eastAsia="Courier New" w:hAnsi="Courier New"/>
          <w:sz w:val="15"/>
          <w:szCs w:val="15"/>
          <w:color w:val="auto"/>
        </w:rPr>
        <w:t>521,896</w:t>
      </w:r>
      <w:r>
        <w:rPr>
          <w:sz w:val="20"/>
          <w:szCs w:val="20"/>
          <w:color w:val="auto"/>
        </w:rPr>
        <w:tab/>
      </w:r>
      <w:r>
        <w:rPr>
          <w:rFonts w:ascii="Courier New" w:cs="Courier New" w:eastAsia="Courier New" w:hAnsi="Courier New"/>
          <w:sz w:val="15"/>
          <w:szCs w:val="15"/>
          <w:color w:val="auto"/>
        </w:rPr>
        <w:t>365,299</w:t>
      </w:r>
      <w:r>
        <w:rPr>
          <w:sz w:val="20"/>
          <w:szCs w:val="20"/>
          <w:color w:val="auto"/>
        </w:rPr>
        <w:tab/>
      </w:r>
      <w:r>
        <w:rPr>
          <w:rFonts w:ascii="Courier New" w:cs="Courier New" w:eastAsia="Courier New" w:hAnsi="Courier New"/>
          <w:sz w:val="14"/>
          <w:szCs w:val="14"/>
          <w:color w:val="auto"/>
        </w:rPr>
        <w:t>647,691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2" w:lineRule="exact"/>
        <w:rPr>
          <w:sz w:val="20"/>
          <w:szCs w:val="20"/>
          <w:color w:val="auto"/>
        </w:rPr>
      </w:pPr>
    </w:p>
    <w:p>
      <w:pPr>
        <w:sectPr>
          <w:pgSz w:w="11900" w:h="16838" w:orient="portrait"/>
          <w:cols w:equalWidth="0" w:num="2">
            <w:col w:w="5140" w:space="620"/>
            <w:col w:w="5500"/>
          </w:cols>
          <w:pgMar w:left="240" w:top="631" w:right="399" w:bottom="1440"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Weighted average number of Ordinary Shares for diluted net income per Ordinary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620"/>
        <w:spacing w:after="0"/>
        <w:tabs>
          <w:tab w:leader="none" w:pos="1940" w:val="left"/>
          <w:tab w:leader="none" w:pos="3180" w:val="left"/>
          <w:tab w:leader="none" w:pos="4500" w:val="left"/>
        </w:tabs>
        <w:rPr>
          <w:sz w:val="20"/>
          <w:szCs w:val="20"/>
          <w:color w:val="auto"/>
        </w:rPr>
      </w:pPr>
      <w:r>
        <w:rPr>
          <w:rFonts w:ascii="Courier New" w:cs="Courier New" w:eastAsia="Courier New" w:hAnsi="Courier New"/>
          <w:sz w:val="15"/>
          <w:szCs w:val="15"/>
          <w:color w:val="auto"/>
        </w:rPr>
        <w:t>12,220,266</w:t>
      </w:r>
      <w:r>
        <w:rPr>
          <w:sz w:val="20"/>
          <w:szCs w:val="20"/>
          <w:color w:val="auto"/>
        </w:rPr>
        <w:tab/>
      </w:r>
      <w:r>
        <w:rPr>
          <w:rFonts w:ascii="Courier New" w:cs="Courier New" w:eastAsia="Courier New" w:hAnsi="Courier New"/>
          <w:sz w:val="15"/>
          <w:szCs w:val="15"/>
          <w:color w:val="auto"/>
        </w:rPr>
        <w:t>12,229,874</w:t>
      </w:r>
      <w:r>
        <w:rPr>
          <w:sz w:val="20"/>
          <w:szCs w:val="20"/>
          <w:color w:val="auto"/>
        </w:rPr>
        <w:tab/>
      </w:r>
      <w:r>
        <w:rPr>
          <w:rFonts w:ascii="Courier New" w:cs="Courier New" w:eastAsia="Courier New" w:hAnsi="Courier New"/>
          <w:sz w:val="15"/>
          <w:szCs w:val="15"/>
          <w:color w:val="auto"/>
        </w:rPr>
        <w:t>12,169,875</w:t>
      </w:r>
      <w:r>
        <w:rPr>
          <w:sz w:val="20"/>
          <w:szCs w:val="20"/>
          <w:color w:val="auto"/>
        </w:rPr>
        <w:tab/>
      </w:r>
      <w:r>
        <w:rPr>
          <w:rFonts w:ascii="Courier New" w:cs="Courier New" w:eastAsia="Courier New" w:hAnsi="Courier New"/>
          <w:sz w:val="15"/>
          <w:szCs w:val="15"/>
          <w:color w:val="auto"/>
        </w:rPr>
        <w:t>12,224,383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ectPr>
          <w:pgSz w:w="11900" w:h="16838" w:orient="portrait"/>
          <w:cols w:equalWidth="0" w:num="2">
            <w:col w:w="5140" w:space="620"/>
            <w:col w:w="5500"/>
          </w:cols>
          <w:pgMar w:left="240" w:top="631" w:right="39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74" w:lineRule="exact"/>
        <w:rPr>
          <w:sz w:val="20"/>
          <w:szCs w:val="20"/>
          <w:color w:val="auto"/>
        </w:rPr>
      </w:pPr>
    </w:p>
    <w:p>
      <w:pPr>
        <w:ind w:right="4160"/>
        <w:spacing w:after="0"/>
        <w:rPr>
          <w:sz w:val="20"/>
          <w:szCs w:val="20"/>
          <w:color w:val="auto"/>
        </w:rPr>
      </w:pPr>
      <w:r>
        <w:rPr>
          <w:rFonts w:ascii="Courier New" w:cs="Courier New" w:eastAsia="Courier New" w:hAnsi="Courier New"/>
          <w:sz w:val="15"/>
          <w:szCs w:val="15"/>
          <w:color w:val="auto"/>
        </w:rPr>
        <w:t>The Company's areas of operation outside of Ireland principally include the United States, United Kingdom, Germany, France, The Netherlands, Latvia, Israel, Sweden, Australia, Argentina, Japan, Singapore, South Africa, Canada and India. Segment information for the three and nine month periods ended February 28, 2003 and 2002 are as follows: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60"/>
          </w:cols>
          <w:pgMar w:left="240" w:top="631" w:right="399" w:bottom="1440" w:gutter="0" w:footer="0" w:header="0"/>
          <w:type w:val="continuous"/>
        </w:sectPr>
      </w:pPr>
    </w:p>
    <w:bookmarkStart w:id="10" w:name="page11"/>
    <w:bookmarkEnd w:id="10"/>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Three</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months ended</w:t>
            </w:r>
          </w:p>
        </w:tc>
        <w:tc>
          <w:tcPr>
            <w:tcW w:w="25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1980" w:type="dxa"/>
            <w:vAlign w:val="bottom"/>
          </w:tcPr>
          <w:p>
            <w:pPr>
              <w:spacing w:after="0"/>
              <w:rPr>
                <w:sz w:val="14"/>
                <w:szCs w:val="14"/>
                <w:color w:val="auto"/>
              </w:rPr>
            </w:pPr>
          </w:p>
        </w:tc>
        <w:tc>
          <w:tcPr>
            <w:tcW w:w="30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1980" w:type="dxa"/>
            <w:vAlign w:val="bottom"/>
          </w:tcPr>
          <w:p>
            <w:pPr>
              <w:spacing w:after="0"/>
              <w:rPr>
                <w:sz w:val="14"/>
                <w:szCs w:val="14"/>
                <w:color w:val="auto"/>
              </w:rPr>
            </w:pPr>
          </w:p>
        </w:tc>
        <w:tc>
          <w:tcPr>
            <w:tcW w:w="302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February 28,</w:t>
            </w:r>
          </w:p>
        </w:tc>
        <w:tc>
          <w:tcPr>
            <w:tcW w:w="84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February 28,</w:t>
            </w:r>
          </w:p>
        </w:tc>
      </w:tr>
      <w:tr>
        <w:trPr>
          <w:trHeight w:val="171"/>
        </w:trPr>
        <w:tc>
          <w:tcPr>
            <w:tcW w:w="1980" w:type="dxa"/>
            <w:vAlign w:val="bottom"/>
          </w:tcPr>
          <w:p>
            <w:pPr>
              <w:spacing w:after="0"/>
              <w:rPr>
                <w:sz w:val="14"/>
                <w:szCs w:val="14"/>
                <w:color w:val="auto"/>
              </w:rPr>
            </w:pPr>
          </w:p>
        </w:tc>
        <w:tc>
          <w:tcPr>
            <w:tcW w:w="302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98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2003</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198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8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84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(in thousands)</w:t>
            </w:r>
          </w:p>
        </w:tc>
      </w:tr>
      <w:tr>
        <w:trPr>
          <w:trHeight w:val="3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$6,118</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$18,419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$14,380</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8,865</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23,795</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18,650</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42,860</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113,439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77,808</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1,468</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4,052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2,720</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$59,311</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$39,570</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$159,705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$113,558</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p>
      <w:pPr>
        <w:ind w:left="780" w:hanging="168"/>
        <w:spacing w:after="0"/>
        <w:tabs>
          <w:tab w:leader="none" w:pos="78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Three</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months ended</w:t>
            </w:r>
          </w:p>
        </w:tc>
        <w:tc>
          <w:tcPr>
            <w:tcW w:w="25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2220" w:type="dxa"/>
            <w:vAlign w:val="bottom"/>
          </w:tcPr>
          <w:p>
            <w:pPr>
              <w:spacing w:after="0"/>
              <w:rPr>
                <w:sz w:val="14"/>
                <w:szCs w:val="14"/>
                <w:color w:val="auto"/>
              </w:rPr>
            </w:pPr>
          </w:p>
        </w:tc>
        <w:tc>
          <w:tcPr>
            <w:tcW w:w="2880" w:type="dxa"/>
            <w:vAlign w:val="bottom"/>
            <w:gridSpan w:val="2"/>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2220" w:type="dxa"/>
            <w:vAlign w:val="bottom"/>
          </w:tcPr>
          <w:p>
            <w:pPr>
              <w:spacing w:after="0"/>
              <w:rPr>
                <w:sz w:val="14"/>
                <w:szCs w:val="14"/>
                <w:color w:val="auto"/>
              </w:rPr>
            </w:pPr>
          </w:p>
        </w:tc>
        <w:tc>
          <w:tcPr>
            <w:tcW w:w="28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February 28,</w:t>
            </w:r>
          </w:p>
        </w:tc>
        <w:tc>
          <w:tcPr>
            <w:tcW w:w="840" w:type="dxa"/>
            <w:vAlign w:val="bottom"/>
          </w:tcPr>
          <w:p>
            <w:pPr>
              <w:spacing w:after="0"/>
              <w:rPr>
                <w:sz w:val="14"/>
                <w:szCs w:val="14"/>
                <w:color w:val="auto"/>
              </w:rPr>
            </w:pPr>
          </w:p>
        </w:tc>
        <w:tc>
          <w:tcPr>
            <w:tcW w:w="168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February 28,</w:t>
            </w:r>
          </w:p>
        </w:tc>
      </w:tr>
      <w:tr>
        <w:trPr>
          <w:trHeight w:val="171"/>
        </w:trPr>
        <w:tc>
          <w:tcPr>
            <w:tcW w:w="2220" w:type="dxa"/>
            <w:vAlign w:val="bottom"/>
          </w:tcPr>
          <w:p>
            <w:pPr>
              <w:spacing w:after="0"/>
              <w:rPr>
                <w:sz w:val="14"/>
                <w:szCs w:val="14"/>
                <w:color w:val="auto"/>
              </w:rPr>
            </w:pPr>
          </w:p>
        </w:tc>
        <w:tc>
          <w:tcPr>
            <w:tcW w:w="2880" w:type="dxa"/>
            <w:vAlign w:val="bottom"/>
            <w:gridSpan w:val="2"/>
          </w:tcPr>
          <w:p>
            <w:pPr>
              <w:jc w:val="right"/>
              <w:ind w:right="8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68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220" w:type="dxa"/>
            <w:vAlign w:val="bottom"/>
          </w:tcPr>
          <w:p>
            <w:pPr>
              <w:spacing w:after="0"/>
              <w:rPr>
                <w:sz w:val="14"/>
                <w:szCs w:val="14"/>
                <w:color w:val="auto"/>
              </w:rPr>
            </w:pPr>
          </w:p>
        </w:tc>
        <w:tc>
          <w:tcPr>
            <w:tcW w:w="114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9"/>
              </w:rPr>
              <w:t>2003</w:t>
            </w:r>
          </w:p>
        </w:tc>
        <w:tc>
          <w:tcPr>
            <w:tcW w:w="1740" w:type="dxa"/>
            <w:vAlign w:val="bottom"/>
          </w:tcPr>
          <w:p>
            <w:pPr>
              <w:jc w:val="center"/>
              <w:ind w:left="666"/>
              <w:spacing w:after="0"/>
              <w:rPr>
                <w:sz w:val="20"/>
                <w:szCs w:val="20"/>
                <w:color w:val="auto"/>
              </w:rPr>
            </w:pPr>
            <w:r>
              <w:rPr>
                <w:rFonts w:ascii="Courier New" w:cs="Courier New" w:eastAsia="Courier New" w:hAnsi="Courier New"/>
                <w:sz w:val="15"/>
                <w:szCs w:val="15"/>
                <w:color w:val="auto"/>
                <w:w w:val="99"/>
              </w:rPr>
              <w:t>2002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2003</w:t>
            </w:r>
          </w:p>
        </w:tc>
        <w:tc>
          <w:tcPr>
            <w:tcW w:w="1680" w:type="dxa"/>
            <w:vAlign w:val="bottom"/>
          </w:tcPr>
          <w:p>
            <w:pPr>
              <w:jc w:val="center"/>
              <w:ind w:left="1086"/>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2220" w:type="dxa"/>
            <w:vAlign w:val="bottom"/>
          </w:tcPr>
          <w:p>
            <w:pPr>
              <w:spacing w:after="0"/>
              <w:rPr>
                <w:sz w:val="14"/>
                <w:szCs w:val="14"/>
                <w:color w:val="auto"/>
              </w:rPr>
            </w:pPr>
          </w:p>
        </w:tc>
        <w:tc>
          <w:tcPr>
            <w:tcW w:w="114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jc w:val="center"/>
              <w:ind w:left="666"/>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left="10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2520" w:type="dxa"/>
            <w:vAlign w:val="bottom"/>
            <w:gridSpan w:val="2"/>
          </w:tcPr>
          <w:p>
            <w:pPr>
              <w:jc w:val="center"/>
              <w:ind w:left="146"/>
              <w:spacing w:after="0"/>
              <w:rPr>
                <w:sz w:val="20"/>
                <w:szCs w:val="20"/>
                <w:color w:val="auto"/>
              </w:rPr>
            </w:pPr>
            <w:r>
              <w:rPr>
                <w:rFonts w:ascii="Courier New" w:cs="Courier New" w:eastAsia="Courier New" w:hAnsi="Courier New"/>
                <w:sz w:val="15"/>
                <w:szCs w:val="15"/>
                <w:color w:val="auto"/>
                <w:w w:val="99"/>
              </w:rPr>
              <w:t>(in thousands)</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14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6"/>
              </w:rPr>
              <w:t>$6,185</w:t>
            </w:r>
          </w:p>
        </w:tc>
        <w:tc>
          <w:tcPr>
            <w:tcW w:w="174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9"/>
              </w:rPr>
              <w:t>$7,789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$19,402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$19,182</w:t>
            </w:r>
          </w:p>
        </w:tc>
      </w:tr>
      <w:tr>
        <w:trPr>
          <w:trHeight w:val="171"/>
        </w:trPr>
        <w:tc>
          <w:tcPr>
            <w:tcW w:w="22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14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6"/>
              </w:rPr>
              <w:t>53,126</w:t>
            </w:r>
          </w:p>
        </w:tc>
        <w:tc>
          <w:tcPr>
            <w:tcW w:w="174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9"/>
              </w:rPr>
              <w:t>31,781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140,303</w:t>
            </w:r>
          </w:p>
        </w:tc>
        <w:tc>
          <w:tcPr>
            <w:tcW w:w="1680" w:type="dxa"/>
            <w:vAlign w:val="bottom"/>
          </w:tcPr>
          <w:p>
            <w:pPr>
              <w:jc w:val="center"/>
              <w:ind w:left="1086"/>
              <w:spacing w:after="0"/>
              <w:rPr>
                <w:sz w:val="20"/>
                <w:szCs w:val="20"/>
                <w:color w:val="auto"/>
              </w:rPr>
            </w:pPr>
            <w:r>
              <w:rPr>
                <w:rFonts w:ascii="Courier New" w:cs="Courier New" w:eastAsia="Courier New" w:hAnsi="Courier New"/>
                <w:sz w:val="15"/>
                <w:szCs w:val="15"/>
                <w:color w:val="auto"/>
                <w:w w:val="96"/>
              </w:rPr>
              <w:t>94,376</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$59,311</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$39,570</w:t>
            </w:r>
          </w:p>
        </w:tc>
        <w:tc>
          <w:tcPr>
            <w:tcW w:w="13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$159,705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$113,558</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hanging="265"/>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Three</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months ended</w:t>
            </w:r>
          </w:p>
        </w:tc>
        <w:tc>
          <w:tcPr>
            <w:tcW w:w="25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1940" w:type="dxa"/>
            <w:vAlign w:val="bottom"/>
          </w:tcPr>
          <w:p>
            <w:pPr>
              <w:spacing w:after="0"/>
              <w:rPr>
                <w:sz w:val="14"/>
                <w:szCs w:val="14"/>
                <w:color w:val="auto"/>
              </w:rPr>
            </w:pPr>
          </w:p>
        </w:tc>
        <w:tc>
          <w:tcPr>
            <w:tcW w:w="30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306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February 28,</w:t>
            </w:r>
          </w:p>
        </w:tc>
        <w:tc>
          <w:tcPr>
            <w:tcW w:w="84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February 28,</w:t>
            </w:r>
          </w:p>
        </w:tc>
      </w:tr>
      <w:tr>
        <w:trPr>
          <w:trHeight w:val="171"/>
        </w:trPr>
        <w:tc>
          <w:tcPr>
            <w:tcW w:w="1940" w:type="dxa"/>
            <w:vAlign w:val="bottom"/>
          </w:tcPr>
          <w:p>
            <w:pPr>
              <w:spacing w:after="0"/>
              <w:rPr>
                <w:sz w:val="14"/>
                <w:szCs w:val="14"/>
                <w:color w:val="auto"/>
              </w:rPr>
            </w:pPr>
          </w:p>
        </w:tc>
        <w:tc>
          <w:tcPr>
            <w:tcW w:w="306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2003</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84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(in thousands)</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$1,230</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$1,108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$2,129</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$3,171</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(901)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1,325</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4,893</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4,360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13,813</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9,706</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16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433</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$6,186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$4,638</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$17,700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$13,146</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hanging="265"/>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Three</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months ended</w:t>
            </w:r>
          </w:p>
        </w:tc>
        <w:tc>
          <w:tcPr>
            <w:tcW w:w="24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2160" w:type="dxa"/>
            <w:vAlign w:val="bottom"/>
          </w:tcPr>
          <w:p>
            <w:pPr>
              <w:spacing w:after="0"/>
              <w:rPr>
                <w:sz w:val="14"/>
                <w:szCs w:val="14"/>
                <w:color w:val="auto"/>
              </w:rPr>
            </w:pPr>
          </w:p>
        </w:tc>
        <w:tc>
          <w:tcPr>
            <w:tcW w:w="29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160" w:type="dxa"/>
            <w:vAlign w:val="bottom"/>
          </w:tcPr>
          <w:p>
            <w:pPr>
              <w:spacing w:after="0"/>
              <w:rPr>
                <w:sz w:val="14"/>
                <w:szCs w:val="14"/>
                <w:color w:val="auto"/>
              </w:rPr>
            </w:pPr>
          </w:p>
        </w:tc>
        <w:tc>
          <w:tcPr>
            <w:tcW w:w="290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February 28,</w:t>
            </w:r>
          </w:p>
        </w:tc>
        <w:tc>
          <w:tcPr>
            <w:tcW w:w="78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February 28,</w:t>
            </w:r>
          </w:p>
        </w:tc>
      </w:tr>
      <w:tr>
        <w:trPr>
          <w:trHeight w:val="171"/>
        </w:trPr>
        <w:tc>
          <w:tcPr>
            <w:tcW w:w="2160" w:type="dxa"/>
            <w:vAlign w:val="bottom"/>
          </w:tcPr>
          <w:p>
            <w:pPr>
              <w:spacing w:after="0"/>
              <w:rPr>
                <w:sz w:val="14"/>
                <w:szCs w:val="14"/>
                <w:color w:val="auto"/>
              </w:rPr>
            </w:pPr>
          </w:p>
        </w:tc>
        <w:tc>
          <w:tcPr>
            <w:tcW w:w="290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6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16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6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780" w:type="dxa"/>
            <w:vAlign w:val="bottom"/>
          </w:tcPr>
          <w:p>
            <w:pPr>
              <w:spacing w:after="0"/>
              <w:rPr>
                <w:sz w:val="14"/>
                <w:szCs w:val="14"/>
                <w:color w:val="auto"/>
              </w:rPr>
            </w:pPr>
          </w:p>
        </w:tc>
        <w:tc>
          <w:tcPr>
            <w:tcW w:w="17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(in thousands)</w:t>
            </w: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$2,770</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6,637</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17,441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10,376</w:t>
            </w:r>
          </w:p>
        </w:tc>
      </w:tr>
    </w:tbl>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99"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$6,186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$4,638</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$17,700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$13,146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599"/>
          </w:cols>
          <w:pgMar w:left="860" w:top="139" w:right="1440" w:bottom="1440" w:gutter="0" w:footer="0" w:header="0"/>
        </w:sectPr>
      </w:pPr>
    </w:p>
    <w:bookmarkStart w:id="12" w:name="page13"/>
    <w:bookmarkEnd w:id="12"/>
    <w:p>
      <w:pPr>
        <w:ind w:left="-435" w:right="3219" w:firstLine="435"/>
        <w:spacing w:after="0" w:line="238" w:lineRule="auto"/>
        <w:tabs>
          <w:tab w:leader="none" w:pos="27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2" w:lineRule="exact"/>
        <w:rPr>
          <w:sz w:val="20"/>
          <w:szCs w:val="20"/>
          <w:color w:val="auto"/>
        </w:rPr>
      </w:pPr>
    </w:p>
    <w:tbl>
      <w:tblPr>
        <w:tblLayout w:type="fixed"/>
        <w:tblInd w:w="185"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February 28,</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1"/>
        </w:trPr>
        <w:tc>
          <w:tcPr>
            <w:tcW w:w="2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(in thousands)</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$14,828</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$9,795</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5,898</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3,581</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13,676</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11,438</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933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bl>
    <w:p>
      <w:pPr>
        <w:spacing w:after="0" w:line="1"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185"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$35,335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$25,482</w:t>
            </w:r>
          </w:p>
        </w:tc>
      </w:tr>
    </w:tbl>
    <w:p>
      <w:pPr>
        <w:spacing w:after="0" w:line="1"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435" w:right="3579" w:firstLine="435"/>
        <w:spacing w:after="0" w:line="238" w:lineRule="auto"/>
        <w:tabs>
          <w:tab w:leader="none" w:pos="2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February 28,</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May 31,</w:t>
            </w:r>
          </w:p>
        </w:tc>
        <w:tc>
          <w:tcPr>
            <w:tcW w:w="54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2003</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720" w:type="dxa"/>
            <w:vAlign w:val="bottom"/>
            <w:gridSpan w:val="2"/>
          </w:tcPr>
          <w:p>
            <w:pPr>
              <w:jc w:val="right"/>
              <w:ind w:right="986"/>
              <w:spacing w:after="0"/>
              <w:rPr>
                <w:sz w:val="20"/>
                <w:szCs w:val="20"/>
                <w:color w:val="auto"/>
              </w:rPr>
            </w:pPr>
            <w:r>
              <w:rPr>
                <w:rFonts w:ascii="Courier New" w:cs="Courier New" w:eastAsia="Courier New" w:hAnsi="Courier New"/>
                <w:sz w:val="15"/>
                <w:szCs w:val="15"/>
                <w:color w:val="auto"/>
              </w:rPr>
              <w:t>(in thousands)</w:t>
            </w:r>
          </w:p>
        </w:tc>
        <w:tc>
          <w:tcPr>
            <w:tcW w:w="540" w:type="dxa"/>
            <w:vAlign w:val="bottom"/>
          </w:tcPr>
          <w:p>
            <w:pPr>
              <w:spacing w:after="0"/>
              <w:rPr>
                <w:sz w:val="14"/>
                <w:szCs w:val="14"/>
                <w:color w:val="auto"/>
              </w:rPr>
            </w:pPr>
          </w:p>
        </w:tc>
      </w:tr>
      <w:tr>
        <w:trPr>
          <w:trHeight w:val="17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Central laboratory</w:t>
            </w:r>
          </w:p>
        </w:tc>
        <w:tc>
          <w:tcPr>
            <w:tcW w:w="112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$3,303</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$2,721</w:t>
            </w:r>
          </w:p>
        </w:tc>
        <w:tc>
          <w:tcPr>
            <w:tcW w:w="540" w:type="dxa"/>
            <w:vAlign w:val="bottom"/>
          </w:tcPr>
          <w:p>
            <w:pPr>
              <w:spacing w:after="0"/>
              <w:rPr>
                <w:sz w:val="14"/>
                <w:szCs w:val="14"/>
                <w:color w:val="auto"/>
              </w:rPr>
            </w:pPr>
          </w:p>
        </w:tc>
      </w:tr>
      <w:tr>
        <w:trPr>
          <w:trHeight w:val="17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Clinical research</w:t>
            </w:r>
          </w:p>
        </w:tc>
        <w:tc>
          <w:tcPr>
            <w:tcW w:w="1120" w:type="dxa"/>
            <w:vAlign w:val="bottom"/>
          </w:tcPr>
          <w:p>
            <w:pPr>
              <w:spacing w:after="0"/>
              <w:rPr>
                <w:sz w:val="14"/>
                <w:szCs w:val="1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32,032</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22,761</w:t>
            </w:r>
          </w:p>
        </w:tc>
        <w:tc>
          <w:tcPr>
            <w:tcW w:w="540" w:type="dxa"/>
            <w:vAlign w:val="bottom"/>
          </w:tcPr>
          <w:p>
            <w:pPr>
              <w:spacing w:after="0"/>
              <w:rPr>
                <w:sz w:val="14"/>
                <w:szCs w:val="14"/>
                <w:color w:val="auto"/>
              </w:rPr>
            </w:pPr>
          </w:p>
        </w:tc>
      </w:tr>
      <w:tr>
        <w:trPr>
          <w:trHeight w:val="171"/>
        </w:trPr>
        <w:tc>
          <w:tcPr>
            <w:tcW w:w="736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34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spacing w:after="0"/>
              <w:rPr>
                <w:sz w:val="24"/>
                <w:szCs w:val="24"/>
                <w:color w:val="auto"/>
              </w:rPr>
            </w:pP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$35,335</w:t>
            </w:r>
          </w:p>
        </w:tc>
        <w:tc>
          <w:tcPr>
            <w:tcW w:w="19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$25,482</w:t>
            </w:r>
          </w:p>
        </w:tc>
        <w:tc>
          <w:tcPr>
            <w:tcW w:w="540" w:type="dxa"/>
            <w:vAlign w:val="bottom"/>
          </w:tcPr>
          <w:p>
            <w:pPr>
              <w:spacing w:after="0"/>
              <w:rPr>
                <w:sz w:val="24"/>
                <w:szCs w:val="24"/>
                <w:color w:val="auto"/>
              </w:rPr>
            </w:pPr>
          </w:p>
        </w:tc>
      </w:tr>
      <w:tr>
        <w:trPr>
          <w:trHeight w:val="171"/>
        </w:trPr>
        <w:tc>
          <w:tcPr>
            <w:tcW w:w="736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512"/>
        </w:trPr>
        <w:tc>
          <w:tcPr>
            <w:tcW w:w="7360" w:type="dxa"/>
            <w:vAlign w:val="bottom"/>
            <w:gridSpan w:val="4"/>
          </w:tcPr>
          <w:p>
            <w:pPr>
              <w:jc w:val="right"/>
              <w:ind w:right="906"/>
              <w:spacing w:after="0"/>
              <w:rPr>
                <w:sz w:val="20"/>
                <w:szCs w:val="20"/>
                <w:color w:val="auto"/>
              </w:rPr>
            </w:pPr>
            <w:r>
              <w:rPr>
                <w:rFonts w:ascii="Courier New" w:cs="Courier New" w:eastAsia="Courier New" w:hAnsi="Courier New"/>
                <w:sz w:val="15"/>
                <w:szCs w:val="15"/>
                <w:color w:val="auto"/>
                <w:w w:val="98"/>
              </w:rPr>
              <w:t>g) The distribution of depreciation by geographical area was as follows:</w:t>
            </w:r>
          </w:p>
        </w:tc>
        <w:tc>
          <w:tcPr>
            <w:tcW w:w="540" w:type="dxa"/>
            <w:vAlign w:val="bottom"/>
          </w:tcPr>
          <w:p>
            <w:pPr>
              <w:spacing w:after="0"/>
              <w:rPr>
                <w:sz w:val="24"/>
                <w:szCs w:val="24"/>
                <w:color w:val="auto"/>
              </w:rPr>
            </w:pPr>
          </w:p>
        </w:tc>
      </w:tr>
      <w:tr>
        <w:trPr>
          <w:trHeight w:val="853"/>
        </w:trPr>
        <w:tc>
          <w:tcPr>
            <w:tcW w:w="2520" w:type="dxa"/>
            <w:vAlign w:val="bottom"/>
          </w:tcPr>
          <w:p>
            <w:pPr>
              <w:spacing w:after="0"/>
              <w:rPr>
                <w:sz w:val="24"/>
                <w:szCs w:val="24"/>
                <w:color w:val="auto"/>
              </w:rPr>
            </w:pPr>
          </w:p>
        </w:tc>
        <w:tc>
          <w:tcPr>
            <w:tcW w:w="2880" w:type="dxa"/>
            <w:vAlign w:val="bottom"/>
            <w:gridSpan w:val="2"/>
          </w:tcPr>
          <w:p>
            <w:pPr>
              <w:jc w:val="center"/>
              <w:ind w:left="326"/>
              <w:spacing w:after="0"/>
              <w:rPr>
                <w:sz w:val="20"/>
                <w:szCs w:val="20"/>
                <w:color w:val="auto"/>
              </w:rPr>
            </w:pPr>
            <w:r>
              <w:rPr>
                <w:rFonts w:ascii="Courier New" w:cs="Courier New" w:eastAsia="Courier New" w:hAnsi="Courier New"/>
                <w:sz w:val="15"/>
                <w:szCs w:val="15"/>
                <w:color w:val="auto"/>
                <w:w w:val="98"/>
              </w:rPr>
              <w:t>Three months ended</w:t>
            </w:r>
          </w:p>
        </w:tc>
        <w:tc>
          <w:tcPr>
            <w:tcW w:w="25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2520" w:type="dxa"/>
            <w:vAlign w:val="bottom"/>
          </w:tcPr>
          <w:p>
            <w:pPr>
              <w:spacing w:after="0"/>
              <w:rPr>
                <w:sz w:val="14"/>
                <w:szCs w:val="14"/>
                <w:color w:val="auto"/>
              </w:rPr>
            </w:pPr>
          </w:p>
        </w:tc>
        <w:tc>
          <w:tcPr>
            <w:tcW w:w="28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February 28,</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February 28,</w:t>
            </w:r>
          </w:p>
        </w:tc>
        <w:tc>
          <w:tcPr>
            <w:tcW w:w="54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19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2880" w:type="dxa"/>
            <w:vAlign w:val="bottom"/>
            <w:gridSpan w:val="2"/>
          </w:tcPr>
          <w:p>
            <w:pPr>
              <w:jc w:val="center"/>
              <w:ind w:left="326"/>
              <w:spacing w:after="0"/>
              <w:rPr>
                <w:sz w:val="20"/>
                <w:szCs w:val="20"/>
                <w:color w:val="auto"/>
              </w:rPr>
            </w:pPr>
            <w:r>
              <w:rPr>
                <w:rFonts w:ascii="Courier New" w:cs="Courier New" w:eastAsia="Courier New" w:hAnsi="Courier New"/>
                <w:sz w:val="15"/>
                <w:szCs w:val="15"/>
                <w:color w:val="auto"/>
                <w:w w:val="98"/>
              </w:rPr>
              <w:t>(in thousands)</w:t>
            </w:r>
          </w:p>
        </w:tc>
        <w:tc>
          <w:tcPr>
            <w:tcW w:w="25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Ireland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$382</w:t>
            </w:r>
          </w:p>
        </w:tc>
        <w:tc>
          <w:tcPr>
            <w:tcW w:w="19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$1,599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$1,001</w:t>
            </w:r>
          </w:p>
        </w:tc>
      </w:tr>
      <w:tr>
        <w:trPr>
          <w:trHeight w:val="17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Rest of Europe</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133</w:t>
            </w:r>
          </w:p>
        </w:tc>
        <w:tc>
          <w:tcPr>
            <w:tcW w:w="19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719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532</w:t>
            </w:r>
          </w:p>
        </w:tc>
      </w:tr>
      <w:tr>
        <w:trPr>
          <w:trHeight w:val="17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U.S.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902</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957</w:t>
            </w:r>
          </w:p>
        </w:tc>
        <w:tc>
          <w:tcPr>
            <w:tcW w:w="19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2,512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2,714</w:t>
            </w:r>
          </w:p>
        </w:tc>
      </w:tr>
      <w:tr>
        <w:trPr>
          <w:trHeight w:val="171"/>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w:t>
            </w:r>
          </w:p>
        </w:tc>
        <w:tc>
          <w:tcPr>
            <w:tcW w:w="19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187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bl>
    <w:p>
      <w:pPr>
        <w:spacing w:after="0" w:line="3"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185"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$1,869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$1,538</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$5,017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$4,416</w:t>
            </w:r>
          </w:p>
        </w:tc>
      </w:tr>
    </w:tbl>
    <w:p>
      <w:pPr>
        <w:spacing w:after="0" w:line="3"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85"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3020" w:type="dxa"/>
            <w:vAlign w:val="bottom"/>
            <w:gridSpan w:val="2"/>
          </w:tcPr>
          <w:p>
            <w:pPr>
              <w:jc w:val="center"/>
              <w:ind w:left="186"/>
              <w:spacing w:after="0"/>
              <w:rPr>
                <w:sz w:val="20"/>
                <w:szCs w:val="20"/>
                <w:color w:val="auto"/>
              </w:rPr>
            </w:pPr>
            <w:r>
              <w:rPr>
                <w:rFonts w:ascii="Courier New" w:cs="Courier New" w:eastAsia="Courier New" w:hAnsi="Courier New"/>
                <w:sz w:val="15"/>
                <w:szCs w:val="15"/>
                <w:color w:val="auto"/>
                <w:w w:val="98"/>
              </w:rPr>
              <w:t>Three months ended</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Nine months ended</w:t>
            </w:r>
          </w:p>
        </w:tc>
        <w:tc>
          <w:tcPr>
            <w:tcW w:w="48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30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2260" w:type="dxa"/>
            <w:vAlign w:val="bottom"/>
          </w:tcPr>
          <w:p>
            <w:pPr>
              <w:jc w:val="center"/>
              <w:ind w:left="966"/>
              <w:spacing w:after="0"/>
              <w:rPr>
                <w:sz w:val="20"/>
                <w:szCs w:val="20"/>
                <w:color w:val="auto"/>
              </w:rPr>
            </w:pPr>
            <w:r>
              <w:rPr>
                <w:rFonts w:ascii="Courier New" w:cs="Courier New" w:eastAsia="Courier New" w:hAnsi="Courier New"/>
                <w:sz w:val="15"/>
                <w:szCs w:val="15"/>
                <w:color w:val="auto"/>
                <w:w w:val="98"/>
              </w:rPr>
              <w:t>February 28,</w:t>
            </w:r>
          </w:p>
        </w:tc>
        <w:tc>
          <w:tcPr>
            <w:tcW w:w="760" w:type="dxa"/>
            <w:vAlign w:val="bottom"/>
          </w:tcPr>
          <w:p>
            <w:pPr>
              <w:spacing w:after="0"/>
              <w:rPr>
                <w:sz w:val="14"/>
                <w:szCs w:val="14"/>
                <w:color w:val="auto"/>
              </w:rPr>
            </w:pPr>
          </w:p>
        </w:tc>
        <w:tc>
          <w:tcPr>
            <w:tcW w:w="196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8"/>
              </w:rPr>
              <w:t>February 28,</w:t>
            </w:r>
          </w:p>
        </w:tc>
        <w:tc>
          <w:tcPr>
            <w:tcW w:w="48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2260" w:type="dxa"/>
            <w:vAlign w:val="bottom"/>
          </w:tcPr>
          <w:p>
            <w:pPr>
              <w:jc w:val="center"/>
              <w:ind w:left="96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spacing w:after="0"/>
              <w:rPr>
                <w:sz w:val="14"/>
                <w:szCs w:val="14"/>
                <w:color w:val="auto"/>
              </w:rPr>
            </w:pPr>
          </w:p>
        </w:tc>
        <w:tc>
          <w:tcPr>
            <w:tcW w:w="1960" w:type="dxa"/>
            <w:vAlign w:val="bottom"/>
          </w:tcPr>
          <w:p>
            <w:pPr>
              <w:jc w:val="center"/>
              <w:ind w:left="54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2003</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2003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340" w:type="dxa"/>
            <w:vAlign w:val="bottom"/>
          </w:tcPr>
          <w:p>
            <w:pPr>
              <w:spacing w:after="0"/>
              <w:rPr>
                <w:sz w:val="14"/>
                <w:szCs w:val="14"/>
                <w:color w:val="auto"/>
              </w:rPr>
            </w:pP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340" w:type="dxa"/>
            <w:vAlign w:val="bottom"/>
          </w:tcPr>
          <w:p>
            <w:pPr>
              <w:spacing w:after="0"/>
              <w:rPr>
                <w:sz w:val="14"/>
                <w:szCs w:val="14"/>
                <w:color w:val="auto"/>
              </w:rPr>
            </w:pPr>
          </w:p>
        </w:tc>
        <w:tc>
          <w:tcPr>
            <w:tcW w:w="2260" w:type="dxa"/>
            <w:vAlign w:val="bottom"/>
          </w:tcPr>
          <w:p>
            <w:pPr>
              <w:jc w:val="center"/>
              <w:ind w:left="946"/>
              <w:spacing w:after="0"/>
              <w:rPr>
                <w:sz w:val="20"/>
                <w:szCs w:val="20"/>
                <w:color w:val="auto"/>
              </w:rPr>
            </w:pPr>
            <w:r>
              <w:rPr>
                <w:rFonts w:ascii="Courier New" w:cs="Courier New" w:eastAsia="Courier New" w:hAnsi="Courier New"/>
                <w:sz w:val="15"/>
                <w:szCs w:val="15"/>
                <w:color w:val="auto"/>
                <w:w w:val="98"/>
              </w:rPr>
              <w:t>(in thousands)</w:t>
            </w:r>
          </w:p>
        </w:tc>
        <w:tc>
          <w:tcPr>
            <w:tcW w:w="760" w:type="dxa"/>
            <w:vAlign w:val="bottom"/>
          </w:tcPr>
          <w:p>
            <w:pPr>
              <w:spacing w:after="0"/>
              <w:rPr>
                <w:sz w:val="14"/>
                <w:szCs w:val="14"/>
                <w:color w:val="auto"/>
              </w:rPr>
            </w:pPr>
          </w:p>
        </w:tc>
        <w:tc>
          <w:tcPr>
            <w:tcW w:w="1960" w:type="dxa"/>
            <w:vAlign w:val="bottom"/>
          </w:tcPr>
          <w:p>
            <w:pPr>
              <w:jc w:val="center"/>
              <w:ind w:left="526"/>
              <w:spacing w:after="0"/>
              <w:rPr>
                <w:sz w:val="20"/>
                <w:szCs w:val="20"/>
                <w:color w:val="auto"/>
              </w:rPr>
            </w:pPr>
            <w:r>
              <w:rPr>
                <w:rFonts w:ascii="Courier New" w:cs="Courier New" w:eastAsia="Courier New" w:hAnsi="Courier New"/>
                <w:sz w:val="15"/>
                <w:szCs w:val="15"/>
                <w:color w:val="auto"/>
                <w:w w:val="98"/>
              </w:rPr>
              <w:t>(in thousands)</w:t>
            </w:r>
          </w:p>
        </w:tc>
        <w:tc>
          <w:tcPr>
            <w:tcW w:w="480" w:type="dxa"/>
            <w:vAlign w:val="bottom"/>
          </w:tcPr>
          <w:p>
            <w:pPr>
              <w:spacing w:after="0"/>
              <w:rPr>
                <w:sz w:val="14"/>
                <w:szCs w:val="14"/>
                <w:color w:val="auto"/>
              </w:rPr>
            </w:pP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260" w:type="dxa"/>
            <w:vAlign w:val="bottom"/>
          </w:tcPr>
          <w:p>
            <w:pPr>
              <w:ind w:left="840"/>
              <w:spacing w:after="0"/>
              <w:rPr>
                <w:sz w:val="20"/>
                <w:szCs w:val="20"/>
                <w:color w:val="auto"/>
              </w:rPr>
            </w:pPr>
            <w:r>
              <w:rPr>
                <w:rFonts w:ascii="Courier New" w:cs="Courier New" w:eastAsia="Courier New" w:hAnsi="Courier New"/>
                <w:sz w:val="15"/>
                <w:szCs w:val="15"/>
                <w:color w:val="auto"/>
              </w:rPr>
              <w:t>$160</w:t>
            </w: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$230</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$490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260" w:type="dxa"/>
            <w:vAlign w:val="bottom"/>
          </w:tcPr>
          <w:p>
            <w:pPr>
              <w:ind w:left="760"/>
              <w:spacing w:after="0"/>
              <w:rPr>
                <w:sz w:val="20"/>
                <w:szCs w:val="20"/>
                <w:color w:val="auto"/>
              </w:rPr>
            </w:pPr>
            <w:r>
              <w:rPr>
                <w:rFonts w:ascii="Courier New" w:cs="Courier New" w:eastAsia="Courier New" w:hAnsi="Courier New"/>
                <w:sz w:val="15"/>
                <w:szCs w:val="15"/>
                <w:color w:val="auto"/>
              </w:rPr>
              <w:t>1,709</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1,308</w:t>
            </w: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4,527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3,870</w:t>
            </w:r>
          </w:p>
        </w:tc>
      </w:tr>
    </w:tbl>
    <w:p>
      <w:pPr>
        <w:spacing w:after="0" w:line="3"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185"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$1,869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$1,538</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$5,017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$4,416</w:t>
            </w:r>
          </w:p>
        </w:tc>
      </w:tr>
    </w:tbl>
    <w:p>
      <w:pPr>
        <w:spacing w:after="0" w:line="3" w:lineRule="exact"/>
        <w:rPr>
          <w:sz w:val="20"/>
          <w:szCs w:val="20"/>
          <w:color w:val="auto"/>
        </w:rPr>
      </w:pPr>
    </w:p>
    <w:p>
      <w:pPr>
        <w:ind w:left="185"/>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84"/>
          </w:cols>
          <w:pgMar w:left="675" w:top="63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February 28,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1"/>
        </w:trPr>
        <w:tc>
          <w:tcPr>
            <w:tcW w:w="2380" w:type="dxa"/>
            <w:vAlign w:val="bottom"/>
          </w:tcPr>
          <w:p>
            <w:pPr>
              <w:spacing w:after="0"/>
              <w:rPr>
                <w:sz w:val="14"/>
                <w:szCs w:val="14"/>
                <w:color w:val="auto"/>
              </w:rPr>
            </w:pP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380" w:type="dxa"/>
            <w:vAlign w:val="bottom"/>
          </w:tcPr>
          <w:p>
            <w:pPr>
              <w:spacing w:after="0"/>
              <w:rPr>
                <w:sz w:val="14"/>
                <w:szCs w:val="14"/>
                <w:color w:val="auto"/>
              </w:rPr>
            </w:pP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39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$57,202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$36,549</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43,606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66,719</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111,389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60,789</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7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1,737</w:t>
            </w:r>
          </w:p>
        </w:tc>
      </w:tr>
    </w:tbl>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$215,044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$165,794</w:t>
            </w:r>
          </w:p>
        </w:tc>
      </w:tr>
    </w:tbl>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 The distribution of total assets by business segment was as follows:</w:t>
      </w:r>
    </w:p>
    <w:p>
      <w:pPr>
        <w:spacing w:after="0" w:line="180" w:lineRule="exact"/>
        <w:rPr>
          <w:sz w:val="20"/>
          <w:szCs w:val="20"/>
          <w:color w:val="auto"/>
        </w:rPr>
      </w:pPr>
    </w:p>
    <w:p>
      <w:pPr>
        <w:ind w:left="3720"/>
        <w:spacing w:after="0"/>
        <w:tabs>
          <w:tab w:leader="none" w:pos="5840" w:val="left"/>
        </w:tabs>
        <w:rPr>
          <w:sz w:val="20"/>
          <w:szCs w:val="20"/>
          <w:color w:val="auto"/>
        </w:rPr>
      </w:pPr>
      <w:r>
        <w:rPr>
          <w:rFonts w:ascii="Courier New" w:cs="Courier New" w:eastAsia="Courier New" w:hAnsi="Courier New"/>
          <w:sz w:val="15"/>
          <w:szCs w:val="15"/>
          <w:color w:val="auto"/>
        </w:rPr>
        <w:t>February 28,</w:t>
      </w:r>
      <w:r>
        <w:rPr>
          <w:sz w:val="20"/>
          <w:szCs w:val="20"/>
          <w:color w:val="auto"/>
        </w:rPr>
        <w:tab/>
      </w:r>
      <w:r>
        <w:rPr>
          <w:rFonts w:ascii="Courier New" w:cs="Courier New" w:eastAsia="Courier New" w:hAnsi="Courier New"/>
          <w:sz w:val="14"/>
          <w:szCs w:val="14"/>
          <w:color w:val="auto"/>
        </w:rPr>
        <w:t>May 31,</w:t>
      </w:r>
    </w:p>
    <w:p>
      <w:pPr>
        <w:spacing w:after="0" w:line="1" w:lineRule="exact"/>
        <w:rPr>
          <w:sz w:val="20"/>
          <w:szCs w:val="20"/>
          <w:color w:val="auto"/>
        </w:rPr>
      </w:pPr>
    </w:p>
    <w:p>
      <w:pPr>
        <w:ind w:left="3720"/>
        <w:spacing w:after="0"/>
        <w:tabs>
          <w:tab w:leader="none" w:pos="5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440"/>
        <w:spacing w:after="0"/>
        <w:tabs>
          <w:tab w:leader="none" w:pos="610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1" w:lineRule="exact"/>
        <w:rPr>
          <w:sz w:val="20"/>
          <w:szCs w:val="20"/>
          <w:color w:val="auto"/>
        </w:rPr>
      </w:pPr>
    </w:p>
    <w:p>
      <w:pPr>
        <w:ind w:left="4440"/>
        <w:spacing w:after="0"/>
        <w:tabs>
          <w:tab w:leader="none" w:pos="6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p>
      <w:pPr>
        <w:ind w:left="180"/>
        <w:spacing w:after="0"/>
        <w:tabs>
          <w:tab w:leader="none" w:pos="4320" w:val="left"/>
          <w:tab w:leader="none" w:pos="600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$17,911</w:t>
      </w:r>
      <w:r>
        <w:rPr>
          <w:sz w:val="20"/>
          <w:szCs w:val="20"/>
          <w:color w:val="auto"/>
        </w:rPr>
        <w:tab/>
      </w:r>
      <w:r>
        <w:rPr>
          <w:rFonts w:ascii="Courier New" w:cs="Courier New" w:eastAsia="Courier New" w:hAnsi="Courier New"/>
          <w:sz w:val="15"/>
          <w:szCs w:val="15"/>
          <w:color w:val="auto"/>
        </w:rPr>
        <w:t>$16,566</w:t>
      </w:r>
    </w:p>
    <w:p>
      <w:pPr>
        <w:spacing w:after="0" w:line="1" w:lineRule="exact"/>
        <w:rPr>
          <w:sz w:val="20"/>
          <w:szCs w:val="20"/>
          <w:color w:val="auto"/>
        </w:rPr>
      </w:pPr>
    </w:p>
    <w:p>
      <w:pPr>
        <w:ind w:left="180"/>
        <w:spacing w:after="0"/>
        <w:tabs>
          <w:tab w:leader="none" w:pos="4320" w:val="left"/>
          <w:tab w:leader="none" w:pos="600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197,133</w:t>
      </w:r>
      <w:r>
        <w:rPr>
          <w:sz w:val="20"/>
          <w:szCs w:val="20"/>
          <w:color w:val="auto"/>
        </w:rPr>
        <w:tab/>
      </w:r>
      <w:r>
        <w:rPr>
          <w:rFonts w:ascii="Courier New" w:cs="Courier New" w:eastAsia="Courier New" w:hAnsi="Courier New"/>
          <w:sz w:val="15"/>
          <w:szCs w:val="15"/>
          <w:color w:val="auto"/>
        </w:rPr>
        <w:t>149,228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$215,044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$165,794</w:t>
            </w:r>
          </w:p>
        </w:tc>
      </w:tr>
    </w:tbl>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79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ICON plc</w:t>
      </w:r>
    </w:p>
    <w:p>
      <w:pPr>
        <w:spacing w:after="0" w:line="34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2002. The Consolidated Financial Statements have been prepared in accordance with accounting principles generally accepted in the United States.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2,300 employees and operations in 28 locations in 16 countries. Our main operations are in the United States, South America, Europe and the Rest of the World. For the nine months ended February 28, 2003, we derived approximately 71.0%, 26.4% and 2.6% of our net revenue in the United States, Europe and Rest of World, respectively.</w:t>
      </w:r>
    </w:p>
    <w:p>
      <w:pPr>
        <w:spacing w:after="0" w:line="18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5"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399"/>
        <w:spacing w:after="0" w:line="262" w:lineRule="auto"/>
        <w:rPr>
          <w:sz w:val="20"/>
          <w:szCs w:val="20"/>
          <w:color w:val="auto"/>
        </w:rPr>
      </w:pPr>
      <w:r>
        <w:rPr>
          <w:rFonts w:ascii="Courier New" w:cs="Courier New" w:eastAsia="Courier New" w:hAnsi="Courier New"/>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6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twelve operations trading in U.S. dollars, four trading in Euros, three in pounds sterling, and one each in Australian dollars, Singapore dollars, Japanese yen, Israeli New shekels, Latvian lats, Swedish krona, South African rand, Argentine peso, Indian rupee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69" w:right="1440" w:bottom="116"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February 28, 2003, we have received $1,244,195 and $1,551,433 under the capital grants and operating grants, respectively. Pursuant to the terms of the grant agreements we are restricted from distributing some of these amounts by way of dividend or otherwise.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180"/>
        <w:spacing w:after="0" w:line="238" w:lineRule="auto"/>
        <w:rPr>
          <w:sz w:val="20"/>
          <w:szCs w:val="20"/>
          <w:color w:val="auto"/>
        </w:rPr>
      </w:pPr>
      <w:r>
        <w:rPr>
          <w:rFonts w:ascii="Courier New" w:cs="Courier New" w:eastAsia="Courier New" w:hAnsi="Courier New"/>
          <w:sz w:val="15"/>
          <w:szCs w:val="15"/>
          <w:color w:val="auto"/>
        </w:rPr>
        <w:t>Three Months Ended February 28, 2003 Compared with Three Months Ended February 28, 2002</w:t>
      </w:r>
    </w:p>
    <w:p>
      <w:pPr>
        <w:spacing w:after="0" w:line="175"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340"/>
        <w:spacing w:after="0"/>
        <w:tabs>
          <w:tab w:leader="none" w:pos="5920" w:val="left"/>
        </w:tabs>
        <w:rPr>
          <w:sz w:val="20"/>
          <w:szCs w:val="20"/>
          <w:color w:val="auto"/>
        </w:rPr>
      </w:pPr>
      <w:r>
        <w:rPr>
          <w:rFonts w:ascii="Courier New" w:cs="Courier New" w:eastAsia="Courier New" w:hAnsi="Courier New"/>
          <w:sz w:val="15"/>
          <w:szCs w:val="15"/>
          <w:color w:val="auto"/>
        </w:rPr>
        <w:t>February 28,</w:t>
      </w:r>
      <w:r>
        <w:rPr>
          <w:sz w:val="20"/>
          <w:szCs w:val="20"/>
          <w:color w:val="auto"/>
        </w:rPr>
        <w:tab/>
      </w:r>
      <w:r>
        <w:rPr>
          <w:rFonts w:ascii="Courier New" w:cs="Courier New" w:eastAsia="Courier New" w:hAnsi="Courier New"/>
          <w:sz w:val="14"/>
          <w:szCs w:val="14"/>
          <w:color w:val="auto"/>
        </w:rPr>
        <w:t>February 28,</w:t>
      </w:r>
    </w:p>
    <w:p>
      <w:pPr>
        <w:spacing w:after="0" w:line="1" w:lineRule="exact"/>
        <w:rPr>
          <w:sz w:val="20"/>
          <w:szCs w:val="20"/>
          <w:color w:val="auto"/>
        </w:rPr>
      </w:pPr>
    </w:p>
    <w:p>
      <w:pPr>
        <w:ind w:left="4340"/>
        <w:spacing w:after="0"/>
        <w:tabs>
          <w:tab w:leader="none" w:pos="5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600"/>
        <w:spacing w:after="0"/>
        <w:tabs>
          <w:tab w:leader="none" w:pos="62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1" w:lineRule="exact"/>
        <w:rPr>
          <w:sz w:val="20"/>
          <w:szCs w:val="20"/>
          <w:color w:val="auto"/>
        </w:rPr>
      </w:pPr>
    </w:p>
    <w:p>
      <w:pPr>
        <w:ind w:left="4600"/>
        <w:spacing w:after="0"/>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Percentage of Net Revenue</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spacing w:after="0"/>
        <w:tabs>
          <w:tab w:leader="none" w:pos="4580" w:val="left"/>
          <w:tab w:leader="none" w:pos="6280" w:val="left"/>
        </w:tabs>
        <w:rPr>
          <w:sz w:val="20"/>
          <w:szCs w:val="20"/>
          <w:color w:val="auto"/>
        </w:rPr>
      </w:pPr>
      <w:r>
        <w:rPr>
          <w:rFonts w:ascii="Courier New" w:cs="Courier New" w:eastAsia="Courier New" w:hAnsi="Courier New"/>
          <w:sz w:val="15"/>
          <w:szCs w:val="15"/>
          <w:color w:val="auto"/>
        </w:rPr>
        <w:t>Net revenue............................</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4"/>
          <w:szCs w:val="14"/>
          <w:color w:val="auto"/>
        </w:rPr>
        <w:t>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 w:lineRule="exact"/>
        <w:rPr>
          <w:sz w:val="20"/>
          <w:szCs w:val="20"/>
          <w:color w:val="auto"/>
        </w:rPr>
      </w:pPr>
    </w:p>
    <w:p>
      <w:pPr>
        <w:spacing w:after="0"/>
        <w:tabs>
          <w:tab w:leader="none" w:pos="4680" w:val="left"/>
          <w:tab w:leader="none" w:pos="6360" w:val="left"/>
        </w:tabs>
        <w:rPr>
          <w:sz w:val="20"/>
          <w:szCs w:val="20"/>
          <w:color w:val="auto"/>
        </w:rPr>
      </w:pPr>
      <w:r>
        <w:rPr>
          <w:rFonts w:ascii="Courier New" w:cs="Courier New" w:eastAsia="Courier New" w:hAnsi="Courier New"/>
          <w:sz w:val="15"/>
          <w:szCs w:val="15"/>
          <w:color w:val="auto"/>
        </w:rPr>
        <w:t>Direct costs...........................</w:t>
      </w:r>
      <w:r>
        <w:rPr>
          <w:sz w:val="20"/>
          <w:szCs w:val="20"/>
          <w:color w:val="auto"/>
        </w:rPr>
        <w:tab/>
      </w:r>
      <w:r>
        <w:rPr>
          <w:rFonts w:ascii="Courier New" w:cs="Courier New" w:eastAsia="Courier New" w:hAnsi="Courier New"/>
          <w:sz w:val="15"/>
          <w:szCs w:val="15"/>
          <w:color w:val="auto"/>
        </w:rPr>
        <w:t>56.3%</w:t>
      </w:r>
      <w:r>
        <w:rPr>
          <w:sz w:val="20"/>
          <w:szCs w:val="20"/>
          <w:color w:val="auto"/>
        </w:rPr>
        <w:tab/>
      </w:r>
      <w:r>
        <w:rPr>
          <w:rFonts w:ascii="Courier New" w:cs="Courier New" w:eastAsia="Courier New" w:hAnsi="Courier New"/>
          <w:sz w:val="14"/>
          <w:szCs w:val="14"/>
          <w:color w:val="auto"/>
        </w:rPr>
        <w:t>52.9%</w:t>
      </w:r>
    </w:p>
    <w:p>
      <w:pPr>
        <w:spacing w:after="0" w:line="1" w:lineRule="exact"/>
        <w:rPr>
          <w:sz w:val="20"/>
          <w:szCs w:val="20"/>
          <w:color w:val="auto"/>
        </w:rPr>
      </w:pPr>
    </w:p>
    <w:p>
      <w:pPr>
        <w:spacing w:after="0"/>
        <w:tabs>
          <w:tab w:leader="none" w:pos="4680" w:val="left"/>
          <w:tab w:leader="none" w:pos="636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4"/>
          <w:szCs w:val="14"/>
          <w:color w:val="auto"/>
        </w:rPr>
        <w:t>31.5%</w:t>
      </w:r>
    </w:p>
    <w:p>
      <w:pPr>
        <w:spacing w:after="0" w:line="1" w:lineRule="exact"/>
        <w:rPr>
          <w:sz w:val="20"/>
          <w:szCs w:val="20"/>
          <w:color w:val="auto"/>
        </w:rPr>
      </w:pPr>
    </w:p>
    <w:p>
      <w:pPr>
        <w:spacing w:after="0"/>
        <w:tabs>
          <w:tab w:leader="none" w:pos="4760" w:val="left"/>
          <w:tab w:leader="none" w:pos="6440" w:val="left"/>
        </w:tabs>
        <w:rPr>
          <w:sz w:val="20"/>
          <w:szCs w:val="20"/>
          <w:color w:val="auto"/>
        </w:rPr>
      </w:pPr>
      <w:r>
        <w:rPr>
          <w:rFonts w:ascii="Courier New" w:cs="Courier New" w:eastAsia="Courier New" w:hAnsi="Courier New"/>
          <w:sz w:val="15"/>
          <w:szCs w:val="15"/>
          <w:color w:val="auto"/>
        </w:rPr>
        <w:t>Depreciation and amortization..........</w:t>
      </w:r>
      <w:r>
        <w:rPr>
          <w:sz w:val="20"/>
          <w:szCs w:val="20"/>
          <w:color w:val="auto"/>
        </w:rPr>
        <w:tab/>
      </w: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tabs>
          <w:tab w:leader="none" w:pos="4680" w:val="left"/>
          <w:tab w:leader="none" w:pos="6360" w:val="left"/>
        </w:tabs>
        <w:rPr>
          <w:sz w:val="20"/>
          <w:szCs w:val="20"/>
          <w:color w:val="auto"/>
        </w:rPr>
      </w:pPr>
      <w:r>
        <w:rPr>
          <w:rFonts w:ascii="Courier New" w:cs="Courier New" w:eastAsia="Courier New" w:hAnsi="Courier New"/>
          <w:sz w:val="15"/>
          <w:szCs w:val="15"/>
          <w:color w:val="auto"/>
        </w:rPr>
        <w:t>Income from operations.................</w:t>
      </w:r>
      <w:r>
        <w:rPr>
          <w:sz w:val="20"/>
          <w:szCs w:val="20"/>
          <w:color w:val="auto"/>
        </w:rPr>
        <w:tab/>
      </w: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11.7%</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9" w:lineRule="auto"/>
        <w:rPr>
          <w:sz w:val="20"/>
          <w:szCs w:val="20"/>
          <w:color w:val="auto"/>
        </w:rPr>
      </w:pPr>
      <w:r>
        <w:rPr>
          <w:rFonts w:ascii="Courier New" w:cs="Courier New" w:eastAsia="Courier New" w:hAnsi="Courier New"/>
          <w:sz w:val="14"/>
          <w:szCs w:val="14"/>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334" w:lineRule="exact"/>
        <w:rPr>
          <w:sz w:val="20"/>
          <w:szCs w:val="20"/>
          <w:color w:val="auto"/>
        </w:rPr>
      </w:pPr>
    </w:p>
    <w:p>
      <w:pPr>
        <w:ind w:right="180"/>
        <w:spacing w:after="0"/>
        <w:rPr>
          <w:sz w:val="20"/>
          <w:szCs w:val="20"/>
          <w:color w:val="auto"/>
        </w:rPr>
      </w:pPr>
      <w:r>
        <w:rPr>
          <w:rFonts w:ascii="Courier New" w:cs="Courier New" w:eastAsia="Courier New" w:hAnsi="Courier New"/>
          <w:sz w:val="15"/>
          <w:szCs w:val="15"/>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$5.4 million, or</w:t>
      </w:r>
    </w:p>
    <w:p>
      <w:pPr>
        <w:spacing w:after="0" w:line="3" w:lineRule="exact"/>
        <w:rPr>
          <w:sz w:val="20"/>
          <w:szCs w:val="20"/>
          <w:color w:val="auto"/>
        </w:rPr>
      </w:pPr>
    </w:p>
    <w:p>
      <w:pPr>
        <w:ind w:right="100"/>
        <w:spacing w:after="0" w:line="239" w:lineRule="auto"/>
        <w:rPr>
          <w:sz w:val="20"/>
          <w:szCs w:val="20"/>
          <w:color w:val="auto"/>
        </w:rPr>
      </w:pPr>
      <w:r>
        <w:rPr>
          <w:rFonts w:ascii="Courier New" w:cs="Courier New" w:eastAsia="Courier New" w:hAnsi="Courier New"/>
          <w:sz w:val="15"/>
          <w:szCs w:val="15"/>
          <w:color w:val="auto"/>
        </w:rPr>
        <w:t>43.6%, from $12.5 million to $17.9 million. The increase in costs is due to the continued expansion of our operations and additional selling, general and administrative costs from acquisitions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2003</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 2002</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Increase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49.9%</w:t>
      </w:r>
    </w:p>
    <w:p>
      <w:pPr>
        <w:spacing w:after="0" w:line="17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59.4%</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43.6%</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21.5%</w:t>
      </w:r>
    </w:p>
    <w:p>
      <w:pPr>
        <w:spacing w:after="0" w:line="1"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5"/>
          <w:szCs w:val="15"/>
          <w:color w:val="auto"/>
        </w:rPr>
        <w:t>33.4%</w:t>
      </w:r>
    </w:p>
    <w:p>
      <w:pPr>
        <w:sectPr>
          <w:pgSz w:w="11900" w:h="16838" w:orient="portrait"/>
          <w:cols w:equalWidth="0" w:num="2">
            <w:col w:w="7100" w:space="620"/>
            <w:col w:w="2499"/>
          </w:cols>
          <w:pgMar w:left="240" w:top="631" w:right="1440" w:bottom="0" w:gutter="0" w:footer="0" w:header="0"/>
        </w:sectPr>
      </w:pPr>
    </w:p>
    <w:bookmarkStart w:id="16" w:name="page17"/>
    <w:bookmarkEnd w:id="16"/>
    <w:p>
      <w:pPr>
        <w:ind w:left="22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9019"/>
          </w:cols>
          <w:pgMar w:left="1440" w:top="312" w:right="1440" w:bottom="1440" w:gutter="0" w:footer="0" w:header="0"/>
        </w:sectPr>
      </w:pPr>
    </w:p>
    <w:bookmarkStart w:id="17" w:name="page18"/>
    <w:bookmarkEnd w:id="17"/>
    <w:p>
      <w:pPr>
        <w:ind w:right="180"/>
        <w:spacing w:after="0" w:line="262" w:lineRule="auto"/>
        <w:rPr>
          <w:sz w:val="20"/>
          <w:szCs w:val="20"/>
          <w:color w:val="auto"/>
        </w:rPr>
      </w:pPr>
      <w:r>
        <w:rPr>
          <w:rFonts w:ascii="Courier New" w:cs="Courier New" w:eastAsia="Courier New" w:hAnsi="Courier New"/>
          <w:sz w:val="14"/>
          <w:szCs w:val="14"/>
          <w:color w:val="auto"/>
        </w:rPr>
        <w:t>$1.6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 effect of acquisitions, income from operations decreased from 11.7% for 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175" w:lineRule="exact"/>
        <w:rPr>
          <w:sz w:val="20"/>
          <w:szCs w:val="20"/>
          <w:color w:val="auto"/>
        </w:rPr>
      </w:pPr>
    </w:p>
    <w:p>
      <w:pPr>
        <w:ind w:right="360"/>
        <w:spacing w:after="0" w:line="239" w:lineRule="auto"/>
        <w:rPr>
          <w:sz w:val="20"/>
          <w:szCs w:val="20"/>
          <w:color w:val="auto"/>
        </w:rPr>
      </w:pPr>
      <w:r>
        <w:rPr>
          <w:rFonts w:ascii="Courier New" w:cs="Courier New" w:eastAsia="Courier New" w:hAnsi="Courier New"/>
          <w:sz w:val="15"/>
          <w:szCs w:val="15"/>
          <w:color w:val="auto"/>
        </w:rPr>
        <w:t>Our effective tax rate for the nine months ended February 28, 2003 was 27.1% compared to 26.9% for the comparable period last year. The increase in the effective rate was due to a change in the geographic distribution of pre-tax earnings and the impact of acquisitions.</w:t>
      </w:r>
    </w:p>
    <w:p>
      <w:pPr>
        <w:spacing w:after="0" w:line="347"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Nine Months Ended February 28, 2003 Compared with Nine Months Ended February 28, 2002</w:t>
      </w:r>
    </w:p>
    <w:p>
      <w:pPr>
        <w:spacing w:after="0" w:line="175"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Nine Months Ended</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tabs>
          <w:tab w:leader="none" w:pos="5920" w:val="left"/>
        </w:tabs>
        <w:rPr>
          <w:sz w:val="20"/>
          <w:szCs w:val="20"/>
          <w:color w:val="auto"/>
        </w:rPr>
      </w:pPr>
      <w:r>
        <w:rPr>
          <w:rFonts w:ascii="Courier New" w:cs="Courier New" w:eastAsia="Courier New" w:hAnsi="Courier New"/>
          <w:sz w:val="15"/>
          <w:szCs w:val="15"/>
          <w:color w:val="auto"/>
        </w:rPr>
        <w:t>February 28,</w:t>
      </w:r>
      <w:r>
        <w:rPr>
          <w:sz w:val="20"/>
          <w:szCs w:val="20"/>
          <w:color w:val="auto"/>
        </w:rPr>
        <w:tab/>
      </w:r>
      <w:r>
        <w:rPr>
          <w:rFonts w:ascii="Courier New" w:cs="Courier New" w:eastAsia="Courier New" w:hAnsi="Courier New"/>
          <w:sz w:val="14"/>
          <w:szCs w:val="14"/>
          <w:color w:val="auto"/>
        </w:rPr>
        <w:t>February 28,</w:t>
      </w:r>
    </w:p>
    <w:p>
      <w:pPr>
        <w:spacing w:after="0" w:line="1" w:lineRule="exact"/>
        <w:rPr>
          <w:sz w:val="20"/>
          <w:szCs w:val="20"/>
          <w:color w:val="auto"/>
        </w:rPr>
      </w:pPr>
    </w:p>
    <w:p>
      <w:pPr>
        <w:ind w:left="4260"/>
        <w:spacing w:after="0"/>
        <w:tabs>
          <w:tab w:leader="none" w:pos="5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600"/>
        <w:spacing w:after="0"/>
        <w:tabs>
          <w:tab w:leader="none" w:pos="62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1" w:lineRule="exact"/>
        <w:rPr>
          <w:sz w:val="20"/>
          <w:szCs w:val="20"/>
          <w:color w:val="auto"/>
        </w:rPr>
      </w:pPr>
    </w:p>
    <w:p>
      <w:pPr>
        <w:ind w:left="4600"/>
        <w:spacing w:after="0"/>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Percentage of Net Revenue</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none" w:pos="4580" w:val="left"/>
          <w:tab w:leader="none" w:pos="6280" w:val="left"/>
        </w:tabs>
        <w:rPr>
          <w:sz w:val="20"/>
          <w:szCs w:val="20"/>
          <w:color w:val="auto"/>
        </w:rPr>
      </w:pPr>
      <w:r>
        <w:rPr>
          <w:rFonts w:ascii="Courier New" w:cs="Courier New" w:eastAsia="Courier New" w:hAnsi="Courier New"/>
          <w:sz w:val="15"/>
          <w:szCs w:val="15"/>
          <w:color w:val="auto"/>
        </w:rPr>
        <w:t>Net revenue............................</w:t>
      </w:r>
      <w:r>
        <w:rPr>
          <w:sz w:val="20"/>
          <w:szCs w:val="20"/>
          <w:color w:val="auto"/>
        </w:rPr>
        <w:tab/>
      </w:r>
      <w:r>
        <w:rPr>
          <w:rFonts w:ascii="Courier New" w:cs="Courier New" w:eastAsia="Courier New" w:hAnsi="Courier New"/>
          <w:sz w:val="15"/>
          <w:szCs w:val="15"/>
          <w:color w:val="auto"/>
        </w:rPr>
        <w:t>100.0%</w:t>
      </w:r>
      <w:r>
        <w:rPr>
          <w:sz w:val="20"/>
          <w:szCs w:val="20"/>
          <w:color w:val="auto"/>
        </w:rPr>
        <w:tab/>
      </w:r>
      <w:r>
        <w:rPr>
          <w:rFonts w:ascii="Courier New" w:cs="Courier New" w:eastAsia="Courier New" w:hAnsi="Courier New"/>
          <w:sz w:val="14"/>
          <w:szCs w:val="14"/>
          <w:color w:val="auto"/>
        </w:rPr>
        <w:t>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 w:lineRule="exact"/>
        <w:rPr>
          <w:sz w:val="20"/>
          <w:szCs w:val="20"/>
          <w:color w:val="auto"/>
        </w:rPr>
      </w:pPr>
    </w:p>
    <w:p>
      <w:pPr>
        <w:spacing w:after="0"/>
        <w:tabs>
          <w:tab w:leader="none" w:pos="4680" w:val="left"/>
          <w:tab w:leader="none" w:pos="6360" w:val="left"/>
        </w:tabs>
        <w:rPr>
          <w:sz w:val="20"/>
          <w:szCs w:val="20"/>
          <w:color w:val="auto"/>
        </w:rPr>
      </w:pPr>
      <w:r>
        <w:rPr>
          <w:rFonts w:ascii="Courier New" w:cs="Courier New" w:eastAsia="Courier New" w:hAnsi="Courier New"/>
          <w:sz w:val="15"/>
          <w:szCs w:val="15"/>
          <w:color w:val="auto"/>
        </w:rPr>
        <w:t>Direct costs...........................</w:t>
      </w:r>
      <w:r>
        <w:rPr>
          <w:sz w:val="20"/>
          <w:szCs w:val="20"/>
          <w:color w:val="auto"/>
        </w:rPr>
        <w:tab/>
      </w:r>
      <w:r>
        <w:rPr>
          <w:rFonts w:ascii="Courier New" w:cs="Courier New" w:eastAsia="Courier New" w:hAnsi="Courier New"/>
          <w:sz w:val="15"/>
          <w:szCs w:val="15"/>
          <w:color w:val="auto"/>
        </w:rPr>
        <w:t>54.8%</w:t>
      </w:r>
      <w:r>
        <w:rPr>
          <w:sz w:val="20"/>
          <w:szCs w:val="20"/>
          <w:color w:val="auto"/>
        </w:rPr>
        <w:tab/>
      </w:r>
      <w:r>
        <w:rPr>
          <w:rFonts w:ascii="Courier New" w:cs="Courier New" w:eastAsia="Courier New" w:hAnsi="Courier New"/>
          <w:sz w:val="14"/>
          <w:szCs w:val="14"/>
          <w:color w:val="auto"/>
        </w:rPr>
        <w:t>53.2%</w:t>
      </w:r>
    </w:p>
    <w:p>
      <w:pPr>
        <w:spacing w:after="0" w:line="1" w:lineRule="exact"/>
        <w:rPr>
          <w:sz w:val="20"/>
          <w:szCs w:val="20"/>
          <w:color w:val="auto"/>
        </w:rPr>
      </w:pPr>
    </w:p>
    <w:p>
      <w:pPr>
        <w:spacing w:after="0"/>
        <w:tabs>
          <w:tab w:leader="none" w:pos="4680" w:val="left"/>
          <w:tab w:leader="none" w:pos="636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4"/>
          <w:szCs w:val="14"/>
          <w:color w:val="auto"/>
        </w:rPr>
        <w:t>31.3%</w:t>
      </w:r>
    </w:p>
    <w:p>
      <w:pPr>
        <w:spacing w:after="0" w:line="1" w:lineRule="exact"/>
        <w:rPr>
          <w:sz w:val="20"/>
          <w:szCs w:val="20"/>
          <w:color w:val="auto"/>
        </w:rPr>
      </w:pPr>
    </w:p>
    <w:p>
      <w:pPr>
        <w:spacing w:after="0"/>
        <w:tabs>
          <w:tab w:leader="none" w:pos="4760" w:val="left"/>
          <w:tab w:leader="none" w:pos="6440" w:val="left"/>
        </w:tabs>
        <w:rPr>
          <w:sz w:val="20"/>
          <w:szCs w:val="20"/>
          <w:color w:val="auto"/>
        </w:rPr>
      </w:pPr>
      <w:r>
        <w:rPr>
          <w:rFonts w:ascii="Courier New" w:cs="Courier New" w:eastAsia="Courier New" w:hAnsi="Courier New"/>
          <w:sz w:val="15"/>
          <w:szCs w:val="15"/>
          <w:color w:val="auto"/>
        </w:rPr>
        <w:t>Depreciation and amortization..........</w:t>
      </w:r>
      <w:r>
        <w:rPr>
          <w:sz w:val="20"/>
          <w:szCs w:val="20"/>
          <w:color w:val="auto"/>
        </w:rPr>
        <w:tab/>
      </w: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spacing w:after="0"/>
        <w:tabs>
          <w:tab w:leader="none" w:pos="4680" w:val="left"/>
          <w:tab w:leader="none" w:pos="6360" w:val="left"/>
        </w:tabs>
        <w:rPr>
          <w:sz w:val="20"/>
          <w:szCs w:val="20"/>
          <w:color w:val="auto"/>
        </w:rPr>
      </w:pPr>
      <w:r>
        <w:rPr>
          <w:rFonts w:ascii="Courier New" w:cs="Courier New" w:eastAsia="Courier New" w:hAnsi="Courier New"/>
          <w:sz w:val="15"/>
          <w:szCs w:val="15"/>
          <w:color w:val="auto"/>
        </w:rPr>
        <w:t>Income from operations.................</w:t>
      </w:r>
      <w:r>
        <w:rPr>
          <w:sz w:val="20"/>
          <w:szCs w:val="20"/>
          <w:color w:val="auto"/>
        </w:rPr>
        <w:tab/>
      </w: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11.6%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w:t>
      </w:r>
    </w:p>
    <w:p>
      <w:pPr>
        <w:spacing w:after="0" w:line="200" w:lineRule="exact"/>
        <w:rPr>
          <w:sz w:val="20"/>
          <w:szCs w:val="20"/>
          <w:color w:val="auto"/>
        </w:rPr>
      </w:pP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to 2002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Increase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40.6%</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44.8%</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39.2%</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13.6%</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34.6%</w:t>
      </w:r>
    </w:p>
    <w:p>
      <w:pPr>
        <w:sectPr>
          <w:pgSz w:w="11900" w:h="16838" w:orient="portrait"/>
          <w:cols w:equalWidth="0" w:num="2">
            <w:col w:w="7100" w:space="620"/>
            <w:col w:w="2499"/>
          </w:cols>
          <w:pgMar w:left="240" w:top="631" w:right="1440" w:bottom="628" w:gutter="0" w:footer="0" w:header="0"/>
        </w:sectPr>
      </w:pPr>
    </w:p>
    <w:bookmarkStart w:id="18" w:name="page19"/>
    <w:bookmarkEnd w:id="18"/>
    <w:p>
      <w:pPr>
        <w:ind w:right="3399"/>
        <w:spacing w:after="0" w:line="239" w:lineRule="auto"/>
        <w:rPr>
          <w:sz w:val="20"/>
          <w:szCs w:val="20"/>
          <w:color w:val="auto"/>
        </w:rPr>
      </w:pPr>
      <w:r>
        <w:rPr>
          <w:rFonts w:ascii="Courier New" w:cs="Courier New" w:eastAsia="Courier New" w:hAnsi="Courier New"/>
          <w:sz w:val="15"/>
          <w:szCs w:val="15"/>
          <w:color w:val="auto"/>
        </w:rPr>
        <w:t>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amortisation decreased from 3.9% of net revenues in the nine months to February 28, 2002 to 3.1% for the nine months ended February 28, 2003 or 3.3% when the effect of acquisitions has been excluded.</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Operating margins for our clinical research segment increased from 11.0% in the nine months ended February 28, 2002 to 12.4% for the nine months ended February 28, 2003 primarily due to improved staff utilization.</w:t>
      </w:r>
    </w:p>
    <w:p>
      <w:pPr>
        <w:spacing w:after="0" w:line="33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163"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Our effective tax rate for the nine months ended February 28, 2003 was 28.2% compared to 25.9% for the comparable period last year. The increase in the effective rate was due to a change in the geographic distribution of pre-tax earnings and the impact of acquisitions.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and the net proceeds of $49.1 million raised in our initial public offering in May 1998. Our principal cash needs are payment of salaries, office rents, travel expenditures and payments to subcontractors. The aggregate amount of employee compensation, excluding stock compensation expense, paid by us and our subsidiaries in the nine months ended February 28, 2002 and February 28, 2003 amounted to $63.6 million and $96.0 million, respectively. Investing activities primarily reflect capital expenditures for facilities and for information systems enhancements, the sale and purchase of short term investments and acquisitions.</w:t>
      </w:r>
    </w:p>
    <w:p>
      <w:pPr>
        <w:spacing w:after="0" w:line="17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77"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As of February 28, 2003, our working capital amounted to $50.5 million, compared to $72.9 million at May 31, 2002. The most significant influence on our operating cash flow is revenue outstanding, which comprises accounts receivable and unbilled revenue, less</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286" w:gutter="0" w:footer="0" w:header="0"/>
        </w:sectPr>
      </w:pPr>
    </w:p>
    <w:bookmarkStart w:id="19" w:name="page20"/>
    <w:bookmarkEnd w:id="19"/>
    <w:p>
      <w:pPr>
        <w:ind w:right="3219"/>
        <w:spacing w:after="0"/>
        <w:rPr>
          <w:sz w:val="20"/>
          <w:szCs w:val="20"/>
          <w:color w:val="auto"/>
        </w:rPr>
      </w:pPr>
      <w:r>
        <w:rPr>
          <w:rFonts w:ascii="Courier New" w:cs="Courier New" w:eastAsia="Courier New" w:hAnsi="Courier New"/>
          <w:sz w:val="15"/>
          <w:szCs w:val="15"/>
          <w:color w:val="auto"/>
        </w:rPr>
        <w:t>payments on account. The dollar values of these amounts and the related days revenue outstanding can vary due to the achievement of contractual milestones, including contract signing, and the timing of cash receipts. The number of days revenue outstanding was 69 days at February 28, 2003 compared to 67 days at May 31, 2002.</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Net cash provided by operating activities was $16.6 million in the nine months ended February 28, 2003, compared to $16.3 million in the nine months ended February 28, 2002.</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Net cash used in investing activities was $29.5 million in the nine months ended February 28, 2003, compared to $4.1 million provided by investing activities in the nine months ended February 28, 2002.</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Net cash used in financing activities was $1.6 million in the nine months ended February 28, 2003, compared with $0.9 million provided by financing activities in the nine months ended February 28, 2002.</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As a result of these cash flows, cash and cash equivalents decreased by $14.4 million in the nine months ended February 28, 2003, compared to an increase of $21.5 million in the nine months ended February 28, 2002.</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(U.S.$2,731,710) with Allied Irish Banks plc ("A.I.B."). This facility bears interest at an annual rate equal to A.I.B. Bank's Prime Rate plus one-quarter of a percent. The full sum of the unpaid principal and interest is due and repayable on demand. This A.I.B. facility will be reviewed on June 30, 2003. As at February 28, 2003, (euro)2,056,227 (U.S.$2,212,295) of this facility was available to be drawn down.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July 29, 2002, we entered into an additional A.I.B. facility for STG(pound)50,000 (U.S.$79,006) This facility bears interest at an annual rate equal to A.I.B. Bank's Prime Rate plus two percent. The full sum of the unpaid principal and interest is due and repayable on demand. This A.I.B. facility will be reviewed on June 30, 2003. As at February 28, 2003, the full facility was available to be drawn down.</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U.S. subsidiary, ICON Clinical Research, Inc. (the "Borrower"), has a $12 million secured line of credit (the "PNC Facility") with PNC Bank N.A ("P.N.C."). Borrowings under the PNC Facility must be the lesser of (a) $12 million and (b) the sum of (i) 80% of the borrower's gross accounts receivables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 an annual rate equal to PNC's Prime Rate less three-quarters of a percent. The full sum of the unpaid principal and interest is due and payable on demand. The PNC Facility is secured by a first priority security interest in certain assets of the Borrower. This facility will expire on December 31, 2002. As of February 28, 2003, $8.9 million was drawn down of the available $12 million.</w:t>
      </w:r>
    </w:p>
    <w:p>
      <w:pPr>
        <w:spacing w:after="0" w:line="18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We have entered into an overdraft agreement with A.I.B., whereby we guarantee any overdrafts of our subsidiaries, ICON Clinical Research GmbH and ICON Clinical Research Israel Ltd., up to an amount (euro)112,484 (U.S.$121,022) and U.S.$250,000 (ILS 1,209,499), respectively. As of February 28, 2003, the full German facility and Israeli facility were available to be drawn down.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expect to spend approximately U.S.$15.0 million in the next twelve months on further investments in information technology, the expansion of existing facilities and the addition of new offices, and expect an increased level of spending in subsequent years. We believe that we will be able to fund our additional foreseeable cash needs for the next twelve months from cash flow from operations and existing cash balances. In the future, we will consider acquiring further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179"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On October 9, 2002 we completed the acquisition of Barton &amp; Polansky Associates, Inc. and its sister company, Managed Clinical Solutions, Inc., contract research organisations in New York, for an initial cash consideration of $15.7 million and a further U.S.$3.7 million in an earn-out payment on December 20, 2002.</w:t>
      </w:r>
    </w:p>
    <w:p>
      <w:pPr>
        <w:spacing w:after="0" w:line="16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During the quarter, we completed the acquisition of Medeval Group Limited, or Medeval, a specialist provider of Phase I clinical trials to the pharmaceutical and biotechnology industries, for an initial cash consideration of sterling (pound)9.5 million (U.S.$15.5 million).</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July 2001 the Financial Accounting Standards Board ("FASB") issued two new statements: SFAS No. 141, "Business Combinations", and Statement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July 2001 the FASB issued SFAS No. 143, "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August 2001, the Financial Accounting Standards Board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No.144 did not have a material impact on our results of operations and financial position.</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November 2001, the Emerging Issues Task Force ("EITF") released EITF Issue 01-14 "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April 2002, the FASB issued SFAS No.145, "Rescission of FASB Statements No.4, 44 and 64, Amendment of FASB Statement No.13, and Technical Corrections". SFAS No.145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No.13, which was adopted for the transactions occurring subsequent to May 15, 2002. Adoption of SFAS No.145 did not have a material impact on our results of operations and financial position.</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No. 146 addresses financial accounting and reporting for costs associated with exit or disposal activities and nullifies Emerging Issues Task Force (EITF) Issue 94-3, "Liability Recognition for Certain Costs Incurred in a Restructuring". The statement also establishes that fair value is the objective for initial measurement of the liability. The statement is also effective for exit or disposal activities initiated after December 31, 2002. Adoption of SFAS No.146 had no impact on our consolidated financial statements.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457"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22" w:name="page23"/>
    <w:bookmarkEnd w:id="22"/>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19"/>
          </w:cols>
          <w:pgMar w:left="240" w:top="9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2920" w:space="620"/>
            <w:col w:w="6679"/>
          </w:cols>
          <w:pgMar w:left="240" w:top="9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19</w:t>
      </w:r>
    </w:p>
    <w:sectPr>
      <w:pgSz w:w="11900" w:h="16838" w:orient="portrait"/>
      <w:cols w:equalWidth="0" w:num="1">
        <w:col w:w="10219"/>
      </w:cols>
      <w:pgMar w:left="240" w:top="96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2019-12-14T20:46:52Z</dcterms:created>
  <dcterms:modified xsi:type="dcterms:W3CDTF">2019-12-14T20:46:52Z</dcterms:modified>
</cp:coreProperties>
</file>