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38"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November, 2011</w:t>
      </w:r>
    </w:p>
    <w:p>
      <w:pPr>
        <w:spacing w:after="0" w:line="234"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2400"/>
        <w:spacing w:after="0"/>
        <w:tabs>
          <w:tab w:leader="none" w:pos="57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2460"/>
        <w:spacing w:after="0"/>
        <w:tabs>
          <w:tab w:leader="none" w:pos="57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2460"/>
        <w:spacing w:after="0"/>
        <w:tabs>
          <w:tab w:leader="none" w:pos="57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2460"/>
        <w:spacing w:after="0"/>
        <w:tabs>
          <w:tab w:leader="none" w:pos="57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capability and expertise to conduct clinical trials in most major therapeutic areas on a global basis. At September 30, 2011 we had approximately 8,350 employees, in 79 locations in 39 countries, providing Phase I - IV Clinical Trial Management, Drug Development Support Services, Data Management and Biostatistical, Central Laboratory, Imaging and Contract Staffing services. We have the operational flexibility to provide development services on a stand-alone basis or as part of an integrated “full service” solution.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ICON plc’s principal executive office is located at: South County Business Park, Leopardstown, Dublin 18, Republic of Ireland. The contact telephone number of this office is 353 (1) 291 2000. For the three months ended September 30, 2011 we derived approximately 43.2%, 43.8% and 13.0% of our net revenue in the United States, Europe and Rest of World,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Management Changes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7, 2011 the Company announced the retirement of Mr. Peter Gray as CEO. Mr. Gray will take on the role of Vice-Chairman to facilitate a smooth transition and to assist the Board in continuing strategic development. On the same day the Company announced the appointment of Mr. Ciaran Murray, previously CFO of the Company, as CEO. Following Mr. Murray’s appointment, Mr. Brendan Brennan, Senior Vice President of Corporate Finance, will assume the role of acting CFO, while Mr. Diarmaid Cunningham, General Counsel, will assume the additional responsibility of Company Secretary. The Company have commenced a process for the recruitment of Mr. Murray’s successor as CFO, a process they anticipate finalizing in early 2012. All of the above management changes are effective October 1, 2011.</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 2011 the Company announced the appointment of Dr. Steve Cutler as Group President, Clinical Research Services. Dr. Cutler has over 23 years’ experience within the pharmaceutical and CRO industry and joins ICON from Kendle where he held the position of Chief Executive Officer, having previously served as Kendle’s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He holds a B.Sc. and a PhD from the University of Sydney and a Masters of Business Administration from the University of Birmingham (UK).</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 2011 the Company also announced that Mr. Alan Morgan, the former Group President, Clinical Research Services, has resigned from his position and will leave the organization at the end of April 2012 to pursue other opportunities.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14, 2011 the Company acquired Firecrest Clinical, a market leading provider of technology solutions that boost investigator site performance and study management, headquartered in Limerick, Ireland. Firecrest Clinical provides a comprehensive site performance management system that is used to improve compliance consistency and execution of activities at investigative sites.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14, 2011 the Company acquired Oxford Outcomes, a leading international health outcomes consultancy, headquartered in Oxford, UK, and with offices in the USA and Canada. Oxford Outcomes provides specialist services in the areas of patient reported outcomes (PRO), health economics, epidemiology and translation and linguistic validation.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facilities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20, 2011 the Company agreed a three year committed multi currency revolving credit facility for $150 million with Citibank, JP Morgan, Ulster Bank, Deutsche Bank and Barclays Bank. Each bank subject to the agreement has committed an equal amount of $30 million to the facility, with equal terms and conditions in place with all institutions. The facility bears interest at LIBOR plus a margin and is secured by certain composite guarantees, indemnities and pledges in favor of the banks. This facility replaced all facilities previously in place with Bank of Ireland, AIB, Citibank and JP Morgan.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SEPTEMBER 30, 2011 AND DECEMBER 31,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rPr>
              <w:t>(Audited)</w:t>
            </w: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11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440" w:type="dxa"/>
            <w:vAlign w:val="bottom"/>
            <w:gridSpan w:val="4"/>
          </w:tcPr>
          <w:p>
            <w:pPr>
              <w:jc w:val="right"/>
              <w:ind w:right="80"/>
              <w:spacing w:after="0" w:line="196" w:lineRule="exact"/>
              <w:rPr>
                <w:sz w:val="20"/>
                <w:szCs w:val="20"/>
                <w:color w:val="auto"/>
              </w:rPr>
            </w:pPr>
            <w:r>
              <w:rPr>
                <w:rFonts w:ascii="Arial" w:cs="Arial" w:eastAsia="Arial" w:hAnsi="Arial"/>
                <w:sz w:val="18"/>
                <w:szCs w:val="18"/>
                <w:b w:val="1"/>
                <w:bCs w:val="1"/>
                <w:color w:val="auto"/>
                <w:w w:val="84"/>
              </w:rPr>
              <w:t>2010</w:t>
            </w:r>
          </w:p>
        </w:tc>
      </w:tr>
      <w:tr>
        <w:trPr>
          <w:trHeight w:val="20"/>
        </w:trPr>
        <w:tc>
          <w:tcPr>
            <w:tcW w:w="8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00" w:type="dxa"/>
            <w:vAlign w:val="bottom"/>
            <w:gridSpan w:val="10"/>
          </w:tcPr>
          <w:p>
            <w:pPr>
              <w:jc w:val="right"/>
              <w:ind w:right="98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126,787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255,706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196,810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164,907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133,211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101,431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12,451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Deferred tax asset</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13,677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5,623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20,592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16,378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18,966</w:t>
            </w:r>
          </w:p>
        </w:tc>
        <w:tc>
          <w:tcPr>
            <w:tcW w:w="8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567,648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579,676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170,861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282,948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175,860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4,353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Non-current income taxes receivable</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Non-current deferred tax asset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10,028</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6,706</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8,278</w:t>
            </w:r>
          </w:p>
        </w:tc>
        <w:tc>
          <w:tcPr>
            <w:tcW w:w="80" w:type="dxa"/>
            <w:vAlign w:val="bottom"/>
            <w:tcBorders>
              <w:bottom w:val="single" w:sz="8" w:color="auto"/>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1,045,655</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949,538</w:t>
            </w:r>
          </w:p>
        </w:tc>
        <w:tc>
          <w:tcPr>
            <w:tcW w:w="8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3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4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12,314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134,240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143,684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100,182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2,634</w:t>
            </w:r>
          </w:p>
        </w:tc>
        <w:tc>
          <w:tcPr>
            <w:tcW w:w="8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290,570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250,326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Non-current other liabilities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3,676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Non-current government grants</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Non-current income taxes payable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10,205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Non-current deferred tax liability</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13,862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60,496,900 shares issued and outstanding at September 30, 2011 and</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60,247,092 shares issued and outstanding at December 31, 2010</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5,063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206,703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196,960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6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486,347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467,580</w:t>
            </w:r>
          </w:p>
        </w:tc>
        <w:tc>
          <w:tcPr>
            <w:tcW w:w="8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697,442</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669,999</w:t>
            </w:r>
          </w:p>
        </w:tc>
        <w:tc>
          <w:tcPr>
            <w:tcW w:w="80" w:type="dxa"/>
            <w:vAlign w:val="bottom"/>
            <w:tcBorders>
              <w:bottom w:val="single" w:sz="8" w:color="auto"/>
            </w:tcBorders>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1,045,655</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949,538</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7"/>
              </w:rPr>
              <w:t>ICON plc</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13"/>
          </w:tcPr>
          <w:p>
            <w:pPr>
              <w:jc w:val="center"/>
              <w:ind w:left="25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19"/>
          </w:tcPr>
          <w:p>
            <w:pPr>
              <w:jc w:val="center"/>
              <w:ind w:left="1250"/>
              <w:spacing w:after="0"/>
              <w:rPr>
                <w:sz w:val="20"/>
                <w:szCs w:val="20"/>
                <w:color w:val="auto"/>
              </w:rPr>
            </w:pPr>
            <w:r>
              <w:rPr>
                <w:rFonts w:ascii="Arial" w:cs="Arial" w:eastAsia="Arial" w:hAnsi="Arial"/>
                <w:sz w:val="18"/>
                <w:szCs w:val="18"/>
                <w:b w:val="1"/>
                <w:bCs w:val="1"/>
                <w:color w:val="auto"/>
                <w:w w:val="98"/>
              </w:rPr>
              <w:t>FOR THE THREE AND NINE MONTHS ENDED SEPTEMBER 30, 2011 AND SEPTEMBER 30, 2010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70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64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0"/>
              </w:rPr>
              <w:t>Three Months Ended</w:t>
            </w:r>
          </w:p>
        </w:tc>
        <w:tc>
          <w:tcPr>
            <w:tcW w:w="500" w:type="dxa"/>
            <w:vAlign w:val="bottom"/>
            <w:gridSpan w:val="3"/>
            <w:vMerge w:val="restart"/>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10"/>
            <w:vMerge w:val="restart"/>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6"/>
            <w:vMerge w:val="continue"/>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40" w:type="dxa"/>
            <w:vAlign w:val="bottom"/>
            <w:gridSpan w:val="20"/>
          </w:tcPr>
          <w:p>
            <w:pPr>
              <w:jc w:val="right"/>
              <w:ind w:right="880"/>
              <w:spacing w:after="0"/>
              <w:rPr>
                <w:sz w:val="20"/>
                <w:szCs w:val="20"/>
                <w:color w:val="auto"/>
              </w:rPr>
            </w:pPr>
            <w:r>
              <w:rPr>
                <w:rFonts w:ascii="Arial" w:cs="Arial" w:eastAsia="Arial" w:hAnsi="Arial"/>
                <w:sz w:val="18"/>
                <w:szCs w:val="18"/>
                <w:b w:val="1"/>
                <w:bCs w:val="1"/>
                <w:color w:val="auto"/>
                <w:w w:val="90"/>
              </w:rPr>
              <w:t>(in thousands except share and per share data)</w:t>
            </w: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335,332</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323,230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958,575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945,868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Reimbursable expenses</w:t>
            </w: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(94,560)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(98,135)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(255,461)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(277,910)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240,772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225,095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703,114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667,958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Costs and expenses: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costs</w:t>
            </w:r>
          </w:p>
        </w:tc>
        <w:tc>
          <w:tcPr>
            <w:tcW w:w="1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158,343</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139,460</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453,679</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71,629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60,008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188,856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171,225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8,002</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27,969</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4,815</w:t>
            </w: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9,817</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244,454</w:t>
            </w: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207,470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680,321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597,877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(3,682)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17,625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22,793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70,081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(3,551)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17,901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23,096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70,226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(4,329)</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(2,663)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19,899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18,767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per Ordinary Share:</w:t>
            </w:r>
          </w:p>
        </w:tc>
        <w:tc>
          <w:tcPr>
            <w:tcW w:w="1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0.33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0.31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8"/>
              </w:rPr>
              <w:t>Weighted average number of Ordinary Shares outstanding:</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Basic</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60,471,985</w:t>
            </w: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59,940,045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9"/>
              </w:rPr>
              <w:t>60,381,814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59,576,777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61,063,020</w:t>
            </w: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60,743,403</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9"/>
              </w:rPr>
              <w:t>61,096,464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60,576,058</w:t>
            </w:r>
          </w:p>
        </w:tc>
        <w:tc>
          <w:tcPr>
            <w:tcW w:w="0" w:type="dxa"/>
            <w:vAlign w:val="bottom"/>
          </w:tcPr>
          <w:p>
            <w:pPr>
              <w:spacing w:after="0"/>
              <w:rPr>
                <w:sz w:val="1"/>
                <w:szCs w:val="1"/>
                <w:color w:val="auto"/>
              </w:rPr>
            </w:pPr>
          </w:p>
        </w:tc>
      </w:tr>
      <w:tr>
        <w:trPr>
          <w:trHeight w:val="21"/>
        </w:trPr>
        <w:tc>
          <w:tcPr>
            <w:tcW w:w="6140" w:type="dxa"/>
            <w:vAlign w:val="bottom"/>
            <w:gridSpan w:val="3"/>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60" w:type="dxa"/>
            <w:vAlign w:val="bottom"/>
            <w:gridSpan w:val="8"/>
          </w:tcPr>
          <w:p>
            <w:pPr>
              <w:spacing w:after="0"/>
              <w:rPr>
                <w:sz w:val="20"/>
                <w:szCs w:val="20"/>
                <w:color w:val="auto"/>
              </w:rPr>
            </w:pPr>
            <w:r>
              <w:rPr>
                <w:rFonts w:ascii="Arial" w:cs="Arial" w:eastAsia="Arial" w:hAnsi="Arial"/>
                <w:sz w:val="18"/>
                <w:szCs w:val="18"/>
                <w:color w:val="auto"/>
                <w:w w:val="92"/>
              </w:rPr>
              <w:t>The accompanying notes are an integral part of these condensed consolidated financial statements.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60" w:type="dxa"/>
            <w:vAlign w:val="bottom"/>
          </w:tcPr>
          <w:p>
            <w:pPr>
              <w:jc w:val="center"/>
              <w:ind w:left="510"/>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jc w:val="center"/>
              <w:ind w:left="2690"/>
              <w:spacing w:after="0"/>
              <w:rPr>
                <w:sz w:val="20"/>
                <w:szCs w:val="20"/>
                <w:color w:val="auto"/>
              </w:rPr>
            </w:pPr>
            <w:r>
              <w:rPr>
                <w:rFonts w:ascii="Arial" w:cs="Arial" w:eastAsia="Arial" w:hAnsi="Arial"/>
                <w:sz w:val="18"/>
                <w:szCs w:val="18"/>
                <w:b w:val="1"/>
                <w:bCs w:val="1"/>
                <w:color w:val="auto"/>
                <w:w w:val="97"/>
              </w:rPr>
              <w:t>ICON plc</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jc w:val="center"/>
              <w:ind w:left="2130"/>
              <w:spacing w:after="0"/>
              <w:rPr>
                <w:sz w:val="20"/>
                <w:szCs w:val="20"/>
                <w:color w:val="auto"/>
              </w:rPr>
            </w:pPr>
            <w:r>
              <w:rPr>
                <w:rFonts w:ascii="Arial" w:cs="Arial" w:eastAsia="Arial" w:hAnsi="Arial"/>
                <w:sz w:val="18"/>
                <w:szCs w:val="18"/>
                <w:b w:val="1"/>
                <w:bCs w:val="1"/>
                <w:color w:val="auto"/>
                <w:w w:val="97"/>
              </w:rPr>
              <w:t>FOR THE SIX MONTHS ENDED SEPTEMBER 30, 2011 AND SEPTEMBER 30, 2010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Pr>
          <w:p>
            <w:pPr>
              <w:jc w:val="center"/>
              <w:ind w:left="269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9"/>
            <w:vMerge w:val="restart"/>
          </w:tcPr>
          <w:p>
            <w:pPr>
              <w:jc w:val="right"/>
              <w:ind w:right="54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27,969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grants</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Share compensation expense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(7,385)</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accounts receivable</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(22,682)</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Increase in unbilled revenue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(33,417)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other receivables</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(4,203)</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Increase in prepayments and other current assets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(4,389)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non current assets</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Decrease in payments on account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(5,234)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(20,075)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other current liabilities</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(Decrease)/increase in other non current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Decrease/(increase) in income taxes receivable</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(12,768)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Decrease in accounts payable</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(7,478)</w:t>
            </w: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cash (used in)/provided by operating activities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(17,628)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55,501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(24,608)</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(23,906)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Purchase of subsidiary undertakings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(62,777)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with subsidiary undertakings</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(30,260)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investing activities</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(118,704)</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21,910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Proceeds from the exercise of share options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Tax benefit from the exercise of share options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other liabilities</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13,677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movements on cash</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(128,919)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86,488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255,706</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144,801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126,787</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231,289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2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620" w:type="dxa"/>
            <w:vAlign w:val="bottom"/>
            <w:gridSpan w:val="2"/>
          </w:tcPr>
          <w:p>
            <w:pPr>
              <w:jc w:val="center"/>
              <w:ind w:left="2710"/>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1"/>
              </w:rPr>
              <w:t>Accumulated</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Paid-in</w:t>
            </w:r>
          </w:p>
        </w:tc>
        <w:tc>
          <w:tcPr>
            <w:tcW w:w="1400" w:type="dxa"/>
            <w:vAlign w:val="bottom"/>
            <w:gridSpan w:val="7"/>
          </w:tcPr>
          <w:p>
            <w:pPr>
              <w:ind w:left="80"/>
              <w:spacing w:after="0" w:line="196" w:lineRule="exact"/>
              <w:rPr>
                <w:sz w:val="20"/>
                <w:szCs w:val="20"/>
                <w:color w:val="auto"/>
              </w:rPr>
            </w:pPr>
            <w:r>
              <w:rPr>
                <w:rFonts w:ascii="Arial" w:cs="Arial" w:eastAsia="Arial" w:hAnsi="Arial"/>
                <w:sz w:val="18"/>
                <w:szCs w:val="18"/>
                <w:b w:val="1"/>
                <w:bCs w:val="1"/>
                <w:color w:val="auto"/>
                <w:w w:val="96"/>
              </w:rPr>
              <w:t>Comprehensive</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6"/>
              </w:rPr>
              <w:t>Retained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88"/>
              </w:rPr>
              <w:t>Income</w:t>
            </w:r>
          </w:p>
        </w:tc>
        <w:tc>
          <w:tcPr>
            <w:tcW w:w="360" w:type="dxa"/>
            <w:vAlign w:val="bottom"/>
          </w:tcPr>
          <w:p>
            <w:pPr>
              <w:spacing w:after="0"/>
              <w:rPr>
                <w:sz w:val="17"/>
                <w:szCs w:val="17"/>
                <w:color w:val="auto"/>
              </w:rPr>
            </w:pPr>
          </w:p>
        </w:tc>
        <w:tc>
          <w:tcPr>
            <w:tcW w:w="9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80" w:type="dxa"/>
            <w:vAlign w:val="bottom"/>
            <w:gridSpan w:val="15"/>
          </w:tcPr>
          <w:p>
            <w:pPr>
              <w:jc w:val="right"/>
              <w:ind w:right="90"/>
              <w:spacing w:after="0"/>
              <w:rPr>
                <w:sz w:val="20"/>
                <w:szCs w:val="20"/>
                <w:color w:val="auto"/>
              </w:rPr>
            </w:pPr>
            <w:r>
              <w:rPr>
                <w:rFonts w:ascii="Arial" w:cs="Arial" w:eastAsia="Arial" w:hAnsi="Arial"/>
                <w:sz w:val="18"/>
                <w:szCs w:val="18"/>
                <w:b w:val="1"/>
                <w:bCs w:val="1"/>
                <w:color w:val="auto"/>
              </w:rPr>
              <w:t>(dollars in thousands, except share data)</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60,247,092</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196,960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467,580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669,999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18,767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Currency impact of long term funding</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(1,710)</w:t>
            </w: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 term</w:t>
            </w: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7"/>
              </w:rPr>
              <w:t>Unrealized capital gain/(loss) - investments</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(319)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246,040</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2,988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Issue of ordinary shares</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3,768</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Share issuance costs</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 expense</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on exercise of options</w:t>
            </w: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2011</w:t>
            </w:r>
          </w:p>
        </w:tc>
        <w:tc>
          <w:tcPr>
            <w:tcW w:w="12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60,496,900</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206,703</w:t>
            </w:r>
          </w:p>
        </w:tc>
        <w:tc>
          <w:tcPr>
            <w:tcW w:w="1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(693)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486,347</w:t>
            </w: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697,442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2010. Operating results for the nine months ended September 30, 2011 are not necessarily indicative of the results that may be expected for the fiscal period ending December 31,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2. Goodwill</w:t>
            </w: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6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24"/>
                <w:szCs w:val="2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196"/>
        </w:trPr>
        <w:tc>
          <w:tcPr>
            <w:tcW w:w="6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r>
      <w:tr>
        <w:trPr>
          <w:trHeight w:val="21"/>
        </w:trPr>
        <w:tc>
          <w:tcPr>
            <w:tcW w:w="6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Opening balance</w:t>
            </w:r>
          </w:p>
        </w:tc>
        <w:tc>
          <w:tcPr>
            <w:tcW w:w="22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175,860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173,568</w:t>
            </w: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Current period acquisitions</w:t>
            </w: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107,278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3,505</w:t>
            </w: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period acquisitions</w:t>
            </w: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2,539</w:t>
            </w:r>
          </w:p>
        </w:tc>
      </w:tr>
      <w:tr>
        <w:trPr>
          <w:trHeight w:val="223"/>
        </w:trPr>
        <w:tc>
          <w:tcPr>
            <w:tcW w:w="6920" w:type="dxa"/>
            <w:vAlign w:val="bottom"/>
          </w:tcPr>
          <w:p>
            <w:pPr>
              <w:ind w:left="180"/>
              <w:spacing w:after="0"/>
              <w:rPr>
                <w:sz w:val="20"/>
                <w:szCs w:val="20"/>
                <w:color w:val="auto"/>
              </w:rPr>
            </w:pPr>
            <w:r>
              <w:rPr>
                <w:rFonts w:ascii="Arial" w:cs="Arial" w:eastAsia="Arial" w:hAnsi="Arial"/>
                <w:sz w:val="18"/>
                <w:szCs w:val="18"/>
                <w:color w:val="auto"/>
              </w:rPr>
              <w:t>Foreign exchange movement</w:t>
            </w:r>
          </w:p>
        </w:tc>
        <w:tc>
          <w:tcPr>
            <w:tcW w:w="19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(190)</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(3,752)</w:t>
            </w:r>
          </w:p>
        </w:tc>
      </w:tr>
      <w:tr>
        <w:trPr>
          <w:trHeight w:val="439"/>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Closing balance</w:t>
            </w:r>
          </w:p>
        </w:tc>
        <w:tc>
          <w:tcPr>
            <w:tcW w:w="22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282,948</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175,860</w:t>
            </w:r>
          </w:p>
        </w:tc>
      </w:tr>
      <w:tr>
        <w:trPr>
          <w:trHeight w:val="459"/>
        </w:trPr>
        <w:tc>
          <w:tcPr>
            <w:tcW w:w="6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goodwill balance relates entirely to the clinical research segment.</w:t>
            </w:r>
          </w:p>
        </w:tc>
        <w:tc>
          <w:tcPr>
            <w:tcW w:w="190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Firecrest Clinical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14, 2011 the Company acquired 100% of the common stock of Firecrest Clinical Limited (“Firecrest”), a market leading provider of technology solutions that boost investigator site performance and study management, for an initial cash consideration of €17.0 million ($24.4 million). Headquartered in Limerick, Ireland, Firecrest Clinical provides a comprehensive site performance management system that is used to improve compliance consistency and execution of activities at investigative sites. Further consideration of up to €33.0 million ($44.9 million) may become payable if certain performance milestones are achieved in the period to June 30, 2013. At September 30, 2011 the Company has accrued €32.7 million ($44.4 million) in relation to these performance milestones.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 xml:space="preserve">The acquisition of Firecrest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July 14</w:t>
            </w:r>
          </w:p>
        </w:tc>
        <w:tc>
          <w:tcPr>
            <w:tcW w:w="100" w:type="dxa"/>
            <w:vAlign w:val="bottom"/>
          </w:tcPr>
          <w:p>
            <w:pPr>
              <w:spacing w:after="0"/>
              <w:rPr>
                <w:sz w:val="17"/>
                <w:szCs w:val="17"/>
                <w:color w:val="auto"/>
              </w:rPr>
            </w:pPr>
          </w:p>
        </w:tc>
      </w:tr>
      <w:tr>
        <w:trPr>
          <w:trHeight w:val="196"/>
        </w:trPr>
        <w:tc>
          <w:tcPr>
            <w:tcW w:w="62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r>
      <w:tr>
        <w:trPr>
          <w:trHeight w:val="237"/>
        </w:trPr>
        <w:tc>
          <w:tcPr>
            <w:tcW w:w="6260" w:type="dxa"/>
            <w:vAlign w:val="bottom"/>
          </w:tcPr>
          <w:p>
            <w:pPr>
              <w:spacing w:after="0"/>
              <w:rPr>
                <w:sz w:val="20"/>
                <w:szCs w:val="20"/>
                <w:color w:val="auto"/>
              </w:rPr>
            </w:pPr>
          </w:p>
        </w:tc>
        <w:tc>
          <w:tcPr>
            <w:tcW w:w="51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4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5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67,560</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45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8"/>
                <w:szCs w:val="18"/>
                <w:color w:val="auto"/>
              </w:rPr>
            </w:pPr>
          </w:p>
        </w:tc>
      </w:tr>
      <w:tr>
        <w:trPr>
          <w:trHeight w:val="223"/>
        </w:trPr>
        <w:tc>
          <w:tcPr>
            <w:tcW w:w="6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45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(2,545)</w:t>
            </w:r>
          </w:p>
        </w:tc>
      </w:tr>
      <w:tr>
        <w:trPr>
          <w:trHeight w:val="216"/>
        </w:trPr>
        <w:tc>
          <w:tcPr>
            <w:tcW w:w="6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Purchase price</w:t>
            </w:r>
          </w:p>
        </w:tc>
        <w:tc>
          <w:tcPr>
            <w:tcW w:w="4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71,225</w:t>
            </w:r>
          </w:p>
        </w:tc>
        <w:tc>
          <w:tcPr>
            <w:tcW w:w="100" w:type="dxa"/>
            <w:vAlign w:val="bottom"/>
            <w:tcBorders>
              <w:bottom w:val="single" w:sz="8" w:color="auto"/>
            </w:tcBorders>
          </w:tcPr>
          <w:p>
            <w:pPr>
              <w:spacing w:after="0"/>
              <w:rPr>
                <w:sz w:val="18"/>
                <w:szCs w:val="18"/>
                <w:color w:val="auto"/>
              </w:rPr>
            </w:pPr>
          </w:p>
        </w:tc>
      </w:tr>
      <w:tr>
        <w:trPr>
          <w:trHeight w:val="21"/>
        </w:trPr>
        <w:tc>
          <w:tcPr>
            <w:tcW w:w="626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finalized the acquisition accounting in respect of the Firecrest acquisition as at the date of this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Oxford Outcomes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14, 2011 the Company acquired approximately 80% of the common stock of Oxford Outcomes Limited, a leading international health outcomes consultancy business, headquartered in Oxford, United Kingdom, and with offices in the USA and Canada, for an initial cash consideration of £17.8 million ($27.7 million). Oxford Outcomes provides specialist services in the areas of patient reported outcomes (PRO), health economics, epidemiology and translation and linguistic validation. Further consideration of up to £6.5 million ($10.2 million) may become payable during the period to March 31, 2012 if certain performance milestones are achieved. In July 2011 the Company paid £3.3 million ($5.2 million) in respect of the first element of this additional consideration. £3.2 million ($5.0 million) was accrued at September 30, 2011 in respect of the remaining performance milestones. In addition, the acquisition agreement provided for certain working capital targets to be achieved by Oxford Outcomes Limited on completion. In May 2011 the Company paid an additional £3.3 million ($5.5 million) on completion of this review.</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14, 2011 a put and call option was also agreed between the Company and the selling shareholders for the acquisition of the remaining common stock of Oxford Outcomes Limited during the year ended December 31, 2011 for cash consideration of £3.8 million ($6.0 million). Further consideration of up to £1.5 million ($2.3 million) relating to this remaining common stock may become payable during the period to March 31, 2012 if certain performance milestones are achieved. £3.8 million ($6.0 million) was accrued at September 30, 2011 in respect of the additional consideration payable relating to this option and a further £1.5 million ($2.3 million) was accrued relating to the potential additional consideration payable in respect of the performance milestones. On October 20, 2011 this option was exercised and £3.8 million ($6.0 million) was paid by the Company to the selling shareholders together with a further £0.7 million ($1.1 million) in respect of the first element of amounts due in respect of the performance milestones.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Oxford Outcomes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January 14</w:t>
            </w:r>
          </w:p>
        </w:tc>
        <w:tc>
          <w:tcPr>
            <w:tcW w:w="100" w:type="dxa"/>
            <w:vAlign w:val="bottom"/>
          </w:tcPr>
          <w:p>
            <w:pPr>
              <w:spacing w:after="0"/>
              <w:rPr>
                <w:sz w:val="18"/>
                <w:szCs w:val="18"/>
                <w:color w:val="auto"/>
              </w:rPr>
            </w:pPr>
          </w:p>
        </w:tc>
      </w:tr>
      <w:tr>
        <w:trPr>
          <w:trHeight w:val="196"/>
        </w:trPr>
        <w:tc>
          <w:tcPr>
            <w:tcW w:w="626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r>
      <w:tr>
        <w:trPr>
          <w:trHeight w:val="237"/>
        </w:trPr>
        <w:tc>
          <w:tcPr>
            <w:tcW w:w="6260" w:type="dxa"/>
            <w:vAlign w:val="bottom"/>
          </w:tcPr>
          <w:p>
            <w:pPr>
              <w:spacing w:after="0"/>
              <w:rPr>
                <w:sz w:val="20"/>
                <w:szCs w:val="20"/>
                <w:color w:val="auto"/>
              </w:rPr>
            </w:pPr>
          </w:p>
        </w:tc>
        <w:tc>
          <w:tcPr>
            <w:tcW w:w="51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4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39,718</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4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r>
      <w:tr>
        <w:trPr>
          <w:trHeight w:val="223"/>
        </w:trPr>
        <w:tc>
          <w:tcPr>
            <w:tcW w:w="6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4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(1,995)</w:t>
            </w:r>
          </w:p>
        </w:tc>
      </w:tr>
      <w:tr>
        <w:trPr>
          <w:trHeight w:val="216"/>
        </w:trPr>
        <w:tc>
          <w:tcPr>
            <w:tcW w:w="6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Purchase price</w:t>
            </w:r>
          </w:p>
        </w:tc>
        <w:tc>
          <w:tcPr>
            <w:tcW w:w="4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51,227</w:t>
            </w:r>
          </w:p>
        </w:tc>
        <w:tc>
          <w:tcPr>
            <w:tcW w:w="100" w:type="dxa"/>
            <w:vAlign w:val="bottom"/>
            <w:tcBorders>
              <w:bottom w:val="single" w:sz="8" w:color="auto"/>
            </w:tcBorders>
          </w:tcPr>
          <w:p>
            <w:pPr>
              <w:spacing w:after="0"/>
              <w:rPr>
                <w:sz w:val="18"/>
                <w:szCs w:val="18"/>
                <w:color w:val="auto"/>
              </w:rPr>
            </w:pPr>
          </w:p>
        </w:tc>
      </w:tr>
      <w:tr>
        <w:trPr>
          <w:trHeight w:val="21"/>
        </w:trPr>
        <w:tc>
          <w:tcPr>
            <w:tcW w:w="62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finalized the acquisition accounting in respect of the Oxford Outcomes acquisition as at the date of this report.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Prior Period Acquisitions - Acquisition of Timaq Medical Imaging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17, 2010 the Company acquired Timaq Medical Imaging (“Timaq”), a European provider of advanced imaging services to the pharmaceutical and biotechnology industry, located in Zurich, Switzerland for an initial cash consideration of CHF 1.3 million ($1.2 million). Certain performance milestones were built into the acquisition agreement requiring potential additional consideration of up to CHF 2.9 million ($3.1 million) if these milestones are achieved during the years ended December 31, 2010 to December 31, 2013. On December 31, 2010 CHF 0.3 million ($0.3 million) was paid to the former shareholders in respect of certain milestones for the year ended December 31, 2010. CHF 2.6 million ($2.9 million) has been accrued in relation to the remaining milestones at September 30, 2011.</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Timaq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fair values of the assets acquired and the liabilities assumed: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May 17</w:t>
            </w:r>
          </w:p>
        </w:tc>
      </w:tr>
      <w:tr>
        <w:trPr>
          <w:trHeight w:val="196"/>
        </w:trPr>
        <w:tc>
          <w:tcPr>
            <w:tcW w:w="62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260" w:type="dxa"/>
            <w:vAlign w:val="bottom"/>
          </w:tcPr>
          <w:p>
            <w:pPr>
              <w:spacing w:after="0"/>
              <w:rPr>
                <w:sz w:val="20"/>
                <w:szCs w:val="20"/>
                <w:color w:val="auto"/>
              </w:rPr>
            </w:pPr>
          </w:p>
        </w:tc>
        <w:tc>
          <w:tcPr>
            <w:tcW w:w="516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4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4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r>
      <w:tr>
        <w:trPr>
          <w:trHeight w:val="223"/>
        </w:trPr>
        <w:tc>
          <w:tcPr>
            <w:tcW w:w="6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4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r>
      <w:tr>
        <w:trPr>
          <w:trHeight w:val="216"/>
        </w:trPr>
        <w:tc>
          <w:tcPr>
            <w:tcW w:w="6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Purchase price</w:t>
            </w:r>
          </w:p>
        </w:tc>
        <w:tc>
          <w:tcPr>
            <w:tcW w:w="4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auto"/>
            </w:tcBorders>
          </w:tcPr>
          <w:p>
            <w:pPr>
              <w:spacing w:after="0"/>
              <w:rPr>
                <w:sz w:val="18"/>
                <w:szCs w:val="18"/>
                <w:color w:val="auto"/>
              </w:rPr>
            </w:pPr>
          </w:p>
        </w:tc>
      </w:tr>
      <w:tr>
        <w:trPr>
          <w:trHeight w:val="21"/>
        </w:trPr>
        <w:tc>
          <w:tcPr>
            <w:tcW w:w="62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advanced imaging services to pharmaceutical and biotechnology customers in the European market.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auto"/>
              </w:rPr>
              <w:t>3. Restructuring charges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40" w:type="dxa"/>
            <w:vAlign w:val="bottom"/>
            <w:gridSpan w:val="9"/>
          </w:tcPr>
          <w:p>
            <w:pPr>
              <w:spacing w:after="0"/>
              <w:rPr>
                <w:sz w:val="20"/>
                <w:szCs w:val="20"/>
                <w:color w:val="auto"/>
              </w:rPr>
            </w:pPr>
            <w:r>
              <w:rPr>
                <w:rFonts w:ascii="Arial" w:cs="Arial" w:eastAsia="Arial" w:hAnsi="Arial"/>
                <w:sz w:val="18"/>
                <w:szCs w:val="18"/>
                <w:color w:val="auto"/>
                <w:w w:val="94"/>
              </w:rPr>
              <w:t>Restructuring charges recognized during the three and nine months ended September 30, 2011 comprise: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Three Months Ended</w:t>
            </w:r>
          </w:p>
        </w:tc>
        <w:tc>
          <w:tcPr>
            <w:tcW w:w="214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Nine Months Ended</w:t>
            </w:r>
          </w:p>
        </w:tc>
        <w:tc>
          <w:tcPr>
            <w:tcW w:w="10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180" w:type="dxa"/>
            <w:vAlign w:val="bottom"/>
          </w:tcPr>
          <w:p>
            <w:pPr>
              <w:spacing w:after="0"/>
              <w:rPr>
                <w:sz w:val="17"/>
                <w:szCs w:val="17"/>
                <w:color w:val="auto"/>
              </w:rPr>
            </w:pPr>
          </w:p>
        </w:tc>
        <w:tc>
          <w:tcPr>
            <w:tcW w:w="112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89"/>
              </w:rPr>
              <w:t>September 30,</w:t>
            </w:r>
          </w:p>
        </w:tc>
        <w:tc>
          <w:tcPr>
            <w:tcW w:w="1160" w:type="dxa"/>
            <w:vAlign w:val="bottom"/>
          </w:tcPr>
          <w:p>
            <w:pPr>
              <w:spacing w:after="0"/>
              <w:rPr>
                <w:sz w:val="17"/>
                <w:szCs w:val="17"/>
                <w:color w:val="auto"/>
              </w:rPr>
            </w:pPr>
          </w:p>
        </w:tc>
        <w:tc>
          <w:tcPr>
            <w:tcW w:w="11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180" w:type="dxa"/>
            <w:vAlign w:val="bottom"/>
          </w:tcPr>
          <w:p>
            <w:pPr>
              <w:spacing w:after="0"/>
              <w:rPr>
                <w:sz w:val="17"/>
                <w:szCs w:val="17"/>
                <w:color w:val="auto"/>
              </w:rPr>
            </w:pPr>
          </w:p>
        </w:tc>
        <w:tc>
          <w:tcPr>
            <w:tcW w:w="11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4"/>
              </w:rPr>
              <w:t>2011</w:t>
            </w:r>
          </w:p>
        </w:tc>
        <w:tc>
          <w:tcPr>
            <w:tcW w:w="3460" w:type="dxa"/>
            <w:vAlign w:val="bottom"/>
            <w:gridSpan w:val="6"/>
          </w:tcPr>
          <w:p>
            <w:pPr>
              <w:jc w:val="right"/>
              <w:ind w:right="1180"/>
              <w:spacing w:after="0" w:line="196" w:lineRule="exact"/>
              <w:rPr>
                <w:sz w:val="20"/>
                <w:szCs w:val="20"/>
                <w:color w:val="auto"/>
              </w:rPr>
            </w:pPr>
            <w:r>
              <w:rPr>
                <w:rFonts w:ascii="Arial" w:cs="Arial" w:eastAsia="Arial" w:hAnsi="Arial"/>
                <w:sz w:val="18"/>
                <w:szCs w:val="18"/>
                <w:b w:val="1"/>
                <w:bCs w:val="1"/>
                <w:color w:val="auto"/>
              </w:rPr>
              <w:t>2010</w:t>
            </w:r>
          </w:p>
        </w:tc>
        <w:tc>
          <w:tcPr>
            <w:tcW w:w="2280" w:type="dxa"/>
            <w:vAlign w:val="bottom"/>
            <w:gridSpan w:val="4"/>
          </w:tcPr>
          <w:p>
            <w:pPr>
              <w:jc w:val="right"/>
              <w:ind w:right="1180"/>
              <w:spacing w:after="0" w:line="196" w:lineRule="exact"/>
              <w:rPr>
                <w:sz w:val="20"/>
                <w:szCs w:val="20"/>
                <w:color w:val="auto"/>
              </w:rPr>
            </w:pPr>
            <w:r>
              <w:rPr>
                <w:rFonts w:ascii="Arial" w:cs="Arial" w:eastAsia="Arial" w:hAnsi="Arial"/>
                <w:sz w:val="18"/>
                <w:szCs w:val="18"/>
                <w:b w:val="1"/>
                <w:bCs w:val="1"/>
                <w:color w:val="auto"/>
              </w:rPr>
              <w:t>2011</w:t>
            </w:r>
          </w:p>
        </w:tc>
        <w:tc>
          <w:tcPr>
            <w:tcW w:w="112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4"/>
          </w:tcPr>
          <w:p>
            <w:pPr>
              <w:ind w:left="40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3460" w:type="dxa"/>
            <w:vAlign w:val="bottom"/>
            <w:tcBorders>
              <w:bottom w:val="single" w:sz="8" w:color="auto"/>
            </w:tcBorders>
            <w:gridSpan w:val="6"/>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gridSpan w:val="4"/>
            <w:shd w:val="clear" w:color="auto" w:fill="CCEEFF"/>
          </w:tcPr>
          <w:p>
            <w:pPr>
              <w:jc w:val="right"/>
              <w:ind w:right="1180"/>
              <w:spacing w:after="0"/>
              <w:rPr>
                <w:sz w:val="20"/>
                <w:szCs w:val="20"/>
                <w:color w:val="auto"/>
              </w:rPr>
            </w:pPr>
            <w:r>
              <w:rPr>
                <w:rFonts w:ascii="Arial" w:cs="Arial" w:eastAsia="Arial" w:hAnsi="Arial"/>
                <w:sz w:val="18"/>
                <w:szCs w:val="18"/>
                <w:color w:val="auto"/>
              </w:rPr>
              <w:t>$9,817</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an initial restructuring plan (the “Q1 Restructuring Plan”), which resulted in the closure of the Company’s facility in Edinburgh, United Kingdom and resource rationalizations in certain of the more mature markets in which it operates. A restructuring charge of $5.0 million in respect of this plan was recognized during the three months ended March 31, 2011, $1.0 million in respect of lease termination and exit costs associated with the closure of the Edinburgh facility and $4.0 million in respect of workforce reductions. $3.5 million of costs recognised under the Q1 Restructuring Plan related to the clinical research segment, while $1.5 million related to our central laboratory business. During the three months ended September 30, 2011 the Company implemented a further restructuring plan (the “Q3 Restructuring Plan”) which resulted in the relocation of the Company’s facility in Maryland, USA; and further resource rationalizations. A restructuring charge of $4.8 million was recognized during the three months ended September 30, 2011 in respect of this plan, $0.9 million in respect of lease termination and exit costs associated with the closure of the existing Maryland facility and $3.9 million in respect of workforce reductions. All costs recognised under the Q3 Restructuring Plan related to the clinical research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movement in the Q1 Restructuring Plan recognised during the nine months ended September 30, 2011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9"/>
              </w:rPr>
              <w:t>Workforce</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18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95"/>
              </w:rPr>
              <w:t>Reductions</w:t>
            </w:r>
          </w:p>
        </w:tc>
        <w:tc>
          <w:tcPr>
            <w:tcW w:w="128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96"/>
              </w:rPr>
              <w:t>Consolidations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1"/>
              </w:rPr>
              <w:t>(in thousands)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recognised</w:t>
            </w:r>
          </w:p>
        </w:tc>
        <w:tc>
          <w:tcPr>
            <w:tcW w:w="3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7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(3,175)</w:t>
            </w: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P,P&amp;E write-off</w:t>
            </w:r>
          </w:p>
        </w:tc>
        <w:tc>
          <w:tcPr>
            <w:tcW w:w="37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7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3860" w:type="dxa"/>
            <w:vAlign w:val="bottom"/>
            <w:gridSpan w:val="2"/>
          </w:tcPr>
          <w:p>
            <w:pPr>
              <w:spacing w:after="0"/>
              <w:rPr>
                <w:sz w:val="20"/>
                <w:szCs w:val="20"/>
                <w:color w:val="auto"/>
              </w:rPr>
            </w:pPr>
            <w:r>
              <w:rPr>
                <w:rFonts w:ascii="Arial" w:cs="Arial" w:eastAsia="Arial" w:hAnsi="Arial"/>
                <w:sz w:val="18"/>
                <w:szCs w:val="18"/>
                <w:color w:val="auto"/>
              </w:rPr>
              <w:t>Closing provision</w:t>
            </w:r>
          </w:p>
        </w:tc>
        <w:tc>
          <w:tcPr>
            <w:tcW w:w="3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24"/>
                <w:szCs w:val="24"/>
                <w:color w:val="auto"/>
              </w:rPr>
            </w:pP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3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780" w:type="dxa"/>
            <w:vAlign w:val="bottom"/>
          </w:tcPr>
          <w:p>
            <w:pPr>
              <w:jc w:val="right"/>
              <w:ind w:right="175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Details of the movement in the Q3 Restructuring Plan recognised during the three months ended September 30, 2011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9"/>
              </w:rPr>
              <w:t>Workforce</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3"/>
          </w:tcPr>
          <w:p>
            <w:pPr>
              <w:ind w:left="300"/>
              <w:spacing w:after="0"/>
              <w:rPr>
                <w:sz w:val="20"/>
                <w:szCs w:val="20"/>
                <w:color w:val="auto"/>
              </w:rPr>
            </w:pPr>
            <w:r>
              <w:rPr>
                <w:rFonts w:ascii="Arial" w:cs="Arial" w:eastAsia="Arial" w:hAnsi="Arial"/>
                <w:sz w:val="18"/>
                <w:szCs w:val="18"/>
                <w:b w:val="1"/>
                <w:bCs w:val="1"/>
                <w:color w:val="auto"/>
              </w:rPr>
              <w:t>Office</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8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95"/>
              </w:rPr>
              <w:t>Reductions</w:t>
            </w:r>
          </w:p>
        </w:tc>
        <w:tc>
          <w:tcPr>
            <w:tcW w:w="126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95"/>
              </w:rPr>
              <w:t>Consolidations</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(in thousands)</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recognised</w:t>
            </w:r>
          </w:p>
        </w:tc>
        <w:tc>
          <w:tcPr>
            <w:tcW w:w="2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8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(1,013)</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2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(106)</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provision</w:t>
            </w:r>
          </w:p>
        </w:tc>
        <w:tc>
          <w:tcPr>
            <w:tcW w:w="2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September 30, 2011 the Company maintains a $8.3 million liability (December 31, 2010: $9.7 million) for unrecognized tax benefit, which is comprised of $6.7 million (December 31, 2010: $8.1 million) related to items generating unrecognized tax benefits and $1.6 million (December 31, 2010: $1.8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2006 through 2010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640" w:type="dxa"/>
            <w:vAlign w:val="bottom"/>
            <w:gridSpan w:val="3"/>
          </w:tcPr>
          <w:p>
            <w:pPr>
              <w:spacing w:after="0"/>
              <w:rPr>
                <w:sz w:val="18"/>
                <w:szCs w:val="18"/>
                <w:color w:val="auto"/>
              </w:rPr>
            </w:pPr>
          </w:p>
        </w:tc>
        <w:tc>
          <w:tcPr>
            <w:tcW w:w="2560" w:type="dxa"/>
            <w:vAlign w:val="bottom"/>
            <w:gridSpan w:val="9"/>
          </w:tcPr>
          <w:p>
            <w:pPr>
              <w:ind w:left="5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7"/>
                <w:szCs w:val="17"/>
                <w:color w:val="auto"/>
              </w:rPr>
            </w:pPr>
          </w:p>
        </w:tc>
        <w:tc>
          <w:tcPr>
            <w:tcW w:w="1480" w:type="dxa"/>
            <w:vAlign w:val="bottom"/>
            <w:gridSpan w:val="5"/>
          </w:tcPr>
          <w:p>
            <w:pPr>
              <w:ind w:left="140"/>
              <w:spacing w:after="0" w:line="196" w:lineRule="exact"/>
              <w:rPr>
                <w:sz w:val="20"/>
                <w:szCs w:val="20"/>
                <w:color w:val="auto"/>
              </w:rPr>
            </w:pPr>
            <w:r>
              <w:rPr>
                <w:rFonts w:ascii="Arial" w:cs="Arial" w:eastAsia="Arial" w:hAnsi="Arial"/>
                <w:sz w:val="18"/>
                <w:szCs w:val="18"/>
                <w:b w:val="1"/>
                <w:bCs w:val="1"/>
                <w:color w:val="auto"/>
              </w:rPr>
              <w:t>September 30,</w:t>
            </w:r>
          </w:p>
        </w:tc>
        <w:tc>
          <w:tcPr>
            <w:tcW w:w="12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40" w:type="dxa"/>
            <w:vAlign w:val="bottom"/>
            <w:gridSpan w:val="5"/>
          </w:tcPr>
          <w:p>
            <w:pPr>
              <w:ind w:left="14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7"/>
                <w:szCs w:val="17"/>
                <w:color w:val="auto"/>
              </w:rPr>
            </w:pPr>
          </w:p>
        </w:tc>
        <w:tc>
          <w:tcPr>
            <w:tcW w:w="122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2011</w:t>
            </w:r>
          </w:p>
        </w:tc>
        <w:tc>
          <w:tcPr>
            <w:tcW w:w="13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ordinary shares outstanding for basic net income per</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60,471,985</w:t>
            </w:r>
          </w:p>
        </w:tc>
        <w:tc>
          <w:tcPr>
            <w:tcW w:w="140" w:type="dxa"/>
            <w:vAlign w:val="bottom"/>
            <w:shd w:val="clear" w:color="auto" w:fill="CCEEFF"/>
          </w:tcPr>
          <w:p>
            <w:pPr>
              <w:spacing w:after="0"/>
              <w:rPr>
                <w:sz w:val="20"/>
                <w:szCs w:val="20"/>
                <w:color w:val="auto"/>
              </w:rPr>
            </w:pPr>
          </w:p>
        </w:tc>
        <w:tc>
          <w:tcPr>
            <w:tcW w:w="14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59,940,045</w:t>
            </w: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60,381,814</w:t>
            </w:r>
          </w:p>
        </w:tc>
        <w:tc>
          <w:tcPr>
            <w:tcW w:w="13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59,576,777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Effect of dilutive share options outstanding</w:t>
            </w: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591,035</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803,358</w:t>
            </w:r>
          </w:p>
        </w:tc>
        <w:tc>
          <w:tcPr>
            <w:tcW w:w="12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714,650</w:t>
            </w:r>
          </w:p>
        </w:tc>
        <w:tc>
          <w:tcPr>
            <w:tcW w:w="13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999,281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number of ordinary shares for diluted net income per ordinary</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61,063,020</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60,743,403</w:t>
            </w:r>
          </w:p>
        </w:tc>
        <w:tc>
          <w:tcPr>
            <w:tcW w:w="12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61,096,464</w:t>
            </w:r>
          </w:p>
        </w:tc>
        <w:tc>
          <w:tcPr>
            <w:tcW w:w="13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60,576,058</w:t>
            </w:r>
          </w:p>
        </w:tc>
        <w:tc>
          <w:tcPr>
            <w:tcW w:w="0" w:type="dxa"/>
            <w:vAlign w:val="bottom"/>
          </w:tcPr>
          <w:p>
            <w:pPr>
              <w:spacing w:after="0"/>
              <w:rPr>
                <w:sz w:val="1"/>
                <w:szCs w:val="1"/>
                <w:color w:val="auto"/>
              </w:rPr>
            </w:pPr>
          </w:p>
        </w:tc>
      </w:tr>
      <w:tr>
        <w:trPr>
          <w:trHeight w:val="601"/>
        </w:trPr>
        <w:tc>
          <w:tcPr>
            <w:tcW w:w="6080" w:type="dxa"/>
            <w:vAlign w:val="bottom"/>
            <w:gridSpan w:val="2"/>
          </w:tcPr>
          <w:p>
            <w:pPr>
              <w:jc w:val="right"/>
              <w:ind w:right="19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Stock Options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may grant options to officers and other employees of the Company or its subsidiaries for the purchase of ordinary shares. Each grant of an option under the 2003 Share Option Plan will be evidenced by a stock option agreement between the employee and the Company. The exercise price will be specified in each Stock Option Agreement.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aggregate of 6.0 million ordinary shares have been reserved under the 2003 Share Option Plan; and, in no event will the number of ordinary shares that may be issued pursuant to options awarded under the 2003 Share Option Plan exceed 10% of the outstanding shares, as defined in the 2003 Share Option Plan, at the time of the grant, unless the Board expressly determines otherwise. Further, the maximum number of ordinary shares with respect to which options may be granted under the 2003 Share Option Plan during any calendar year to any employee shall be 400,000 ordinary shares. No options can be granted after January 17, 2013.</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2011 is eight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80" w:type="dxa"/>
            <w:vAlign w:val="bottom"/>
            <w:gridSpan w:val="8"/>
          </w:tcPr>
          <w:p>
            <w:pPr>
              <w:spacing w:after="0"/>
              <w:rPr>
                <w:sz w:val="20"/>
                <w:szCs w:val="20"/>
                <w:color w:val="auto"/>
              </w:rPr>
            </w:pPr>
            <w:r>
              <w:rPr>
                <w:rFonts w:ascii="Arial" w:cs="Arial" w:eastAsia="Arial" w:hAnsi="Arial"/>
                <w:sz w:val="18"/>
                <w:szCs w:val="18"/>
                <w:color w:val="auto"/>
                <w:w w:val="94"/>
              </w:rPr>
              <w:t>The following table summarizes option activity during the nine months ended September 30, 2011: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6"/>
          </w:tcPr>
          <w:p>
            <w:pPr>
              <w:jc w:val="right"/>
              <w:ind w:right="420"/>
              <w:spacing w:after="0" w:line="196" w:lineRule="exact"/>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Outstanding</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5"/>
          </w:tcPr>
          <w:p>
            <w:pPr>
              <w:jc w:val="right"/>
              <w:ind w:right="420"/>
              <w:spacing w:after="0" w:line="196" w:lineRule="exact"/>
              <w:rPr>
                <w:sz w:val="20"/>
                <w:szCs w:val="20"/>
                <w:color w:val="auto"/>
              </w:rPr>
            </w:pPr>
            <w:r>
              <w:rPr>
                <w:rFonts w:ascii="Arial" w:cs="Arial" w:eastAsia="Arial" w:hAnsi="Arial"/>
                <w:sz w:val="18"/>
                <w:szCs w:val="18"/>
                <w:b w:val="1"/>
                <w:bCs w:val="1"/>
                <w:color w:val="auto"/>
                <w:w w:val="98"/>
              </w:rPr>
              <w:t>Average</w:t>
            </w: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9"/>
              </w:rPr>
              <w:t>Remaining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3"/>
              </w:rPr>
              <w:t>Exercise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b w:val="1"/>
                <w:bCs w:val="1"/>
                <w:color w:val="auto"/>
                <w:w w:val="90"/>
              </w:rPr>
              <w:t>Fair</w:t>
            </w: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3"/>
              </w:rPr>
              <w:t>Shares</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Price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jc w:val="right"/>
              <w:ind w:right="420"/>
              <w:spacing w:after="0" w:line="196" w:lineRule="exact"/>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93"/>
              </w:rPr>
              <w:t>Life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1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4,798,677</w:t>
            </w: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21.71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809,449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6"/>
          </w:tcPr>
          <w:p>
            <w:pPr>
              <w:jc w:val="right"/>
              <w:ind w:right="80"/>
              <w:spacing w:after="0"/>
              <w:rPr>
                <w:sz w:val="20"/>
                <w:szCs w:val="20"/>
                <w:color w:val="auto"/>
              </w:rPr>
            </w:pPr>
            <w:r>
              <w:rPr>
                <w:rFonts w:ascii="Arial" w:cs="Arial" w:eastAsia="Arial" w:hAnsi="Arial"/>
                <w:sz w:val="18"/>
                <w:szCs w:val="18"/>
                <w:color w:val="auto"/>
              </w:rPr>
              <w:t>(246,040)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12.23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6"/>
          </w:tcPr>
          <w:p>
            <w:pPr>
              <w:jc w:val="right"/>
              <w:ind w:right="42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(379,523)</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25.70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2011</w:t>
            </w:r>
          </w:p>
        </w:tc>
        <w:tc>
          <w:tcPr>
            <w:tcW w:w="11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4,982,563</w:t>
            </w:r>
          </w:p>
        </w:tc>
        <w:tc>
          <w:tcPr>
            <w:tcW w:w="1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8.54</w:t>
            </w:r>
          </w:p>
        </w:tc>
        <w:tc>
          <w:tcPr>
            <w:tcW w:w="9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September 30, 2011</w:t>
            </w:r>
          </w:p>
        </w:tc>
        <w:tc>
          <w:tcPr>
            <w:tcW w:w="11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2,553,258</w:t>
            </w:r>
          </w:p>
        </w:tc>
        <w:tc>
          <w:tcPr>
            <w:tcW w:w="1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19.64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7.83</w:t>
            </w:r>
          </w:p>
        </w:tc>
        <w:tc>
          <w:tcPr>
            <w:tcW w:w="9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granted options with fair values ranging from $3.68 to $13.93 per option or a weighted average fair value of $7.15 per option. The Company issues new ordinary shares for all options exercised. The total amount of fully vested share options which remained outstanding at September 30, 2011 was 2,553,258. Fully vested share options at September 30, 2011 have an average remaining contractual term of 3.6 years, an average exercise price of $19.64 and a total intrinsic value of $7.7 million. The total intrinsic value of options exercised during the nine months ended September 30, 2011 was $1.5 million (September 30, 2010: $11.4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during the nine months ended September 30, 2011: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300" w:type="dxa"/>
            <w:vAlign w:val="bottom"/>
            <w:gridSpan w:val="6"/>
          </w:tcPr>
          <w:p>
            <w:pPr>
              <w:jc w:val="right"/>
              <w:ind w:right="140"/>
              <w:spacing w:after="0" w:line="196" w:lineRule="exact"/>
              <w:rPr>
                <w:sz w:val="20"/>
                <w:szCs w:val="20"/>
                <w:color w:val="auto"/>
              </w:rPr>
            </w:pPr>
            <w:r>
              <w:rPr>
                <w:rFonts w:ascii="Arial" w:cs="Arial" w:eastAsia="Arial" w:hAnsi="Arial"/>
                <w:sz w:val="18"/>
                <w:szCs w:val="18"/>
                <w:b w:val="1"/>
                <w:bCs w:val="1"/>
                <w:color w:val="auto"/>
              </w:rPr>
              <w:t>Outstanding</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7"/>
                <w:szCs w:val="17"/>
                <w:color w:val="auto"/>
              </w:rPr>
            </w:pPr>
          </w:p>
        </w:tc>
        <w:tc>
          <w:tcPr>
            <w:tcW w:w="11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3"/>
              </w:rPr>
              <w:t>Average Fair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3"/>
              </w:rPr>
              <w:t>Shares</w:t>
            </w:r>
          </w:p>
        </w:tc>
        <w:tc>
          <w:tcPr>
            <w:tcW w:w="140" w:type="dxa"/>
            <w:vAlign w:val="bottom"/>
          </w:tcPr>
          <w:p>
            <w:pPr>
              <w:spacing w:after="0"/>
              <w:rPr>
                <w:sz w:val="17"/>
                <w:szCs w:val="17"/>
                <w:color w:val="auto"/>
              </w:rPr>
            </w:pPr>
          </w:p>
        </w:tc>
        <w:tc>
          <w:tcPr>
            <w:tcW w:w="132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7"/>
              </w:rPr>
              <w:t>Exercise Price</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December 31, 2010</w:t>
            </w:r>
          </w:p>
        </w:tc>
        <w:tc>
          <w:tcPr>
            <w:tcW w:w="4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2,673,674</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4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809,449</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Vested</w:t>
            </w:r>
          </w:p>
        </w:tc>
        <w:tc>
          <w:tcPr>
            <w:tcW w:w="4240" w:type="dxa"/>
            <w:vAlign w:val="bottom"/>
            <w:gridSpan w:val="7"/>
          </w:tcPr>
          <w:p>
            <w:pPr>
              <w:jc w:val="right"/>
              <w:ind w:right="80"/>
              <w:spacing w:after="0"/>
              <w:rPr>
                <w:sz w:val="20"/>
                <w:szCs w:val="20"/>
                <w:color w:val="auto"/>
              </w:rPr>
            </w:pPr>
            <w:r>
              <w:rPr>
                <w:rFonts w:ascii="Arial" w:cs="Arial" w:eastAsia="Arial" w:hAnsi="Arial"/>
                <w:sz w:val="18"/>
                <w:szCs w:val="18"/>
                <w:color w:val="auto"/>
              </w:rPr>
              <w:t>(807,537)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23.16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6"/>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24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(246,281)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September 30, 2011</w:t>
            </w:r>
          </w:p>
        </w:tc>
        <w:tc>
          <w:tcPr>
            <w:tcW w:w="4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2,429,305</w:t>
            </w:r>
          </w:p>
        </w:tc>
        <w:tc>
          <w:tcPr>
            <w:tcW w:w="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480" w:type="dxa"/>
            <w:vAlign w:val="bottom"/>
            <w:tcBorders>
              <w:top w:val="single" w:sz="8" w:color="CCEEFF"/>
            </w:tcBorders>
          </w:tcPr>
          <w:p>
            <w:pPr>
              <w:spacing w:after="0"/>
              <w:rPr>
                <w:sz w:val="24"/>
                <w:szCs w:val="24"/>
                <w:color w:val="auto"/>
              </w:rPr>
            </w:pPr>
          </w:p>
        </w:tc>
        <w:tc>
          <w:tcPr>
            <w:tcW w:w="2940" w:type="dxa"/>
            <w:vAlign w:val="bottom"/>
            <w:tcBorders>
              <w:top w:val="single" w:sz="8" w:color="CCEEFF"/>
            </w:tcBorders>
          </w:tcPr>
          <w:p>
            <w:pPr>
              <w:jc w:val="right"/>
              <w:ind w:right="155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Stock Option Fair Values and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period ended September 30, 2011 and September 30, 2010 was calculated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weighted average fair values and assumptions used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7"/>
                <w:szCs w:val="17"/>
                <w:color w:val="auto"/>
              </w:rPr>
            </w:pPr>
          </w:p>
        </w:tc>
        <w:tc>
          <w:tcPr>
            <w:tcW w:w="1120" w:type="dxa"/>
            <w:vAlign w:val="bottom"/>
            <w:gridSpan w:val="5"/>
          </w:tcPr>
          <w:p>
            <w:pPr>
              <w:jc w:val="right"/>
              <w:ind w:right="2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shd w:val="clear" w:color="auto" w:fill="CCEEFF"/>
          </w:tcPr>
          <w:p>
            <w:pPr>
              <w:spacing w:after="0"/>
              <w:rPr>
                <w:sz w:val="19"/>
                <w:szCs w:val="19"/>
                <w:color w:val="auto"/>
              </w:rPr>
            </w:pPr>
          </w:p>
        </w:tc>
        <w:tc>
          <w:tcPr>
            <w:tcW w:w="5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3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5440" w:type="dxa"/>
            <w:vAlign w:val="bottom"/>
            <w:gridSpan w:val="2"/>
          </w:tcPr>
          <w:p>
            <w:pPr>
              <w:spacing w:after="0" w:line="176" w:lineRule="exact"/>
              <w:rPr>
                <w:sz w:val="20"/>
                <w:szCs w:val="20"/>
                <w:color w:val="auto"/>
              </w:rPr>
            </w:pPr>
            <w:r>
              <w:rPr>
                <w:rFonts w:ascii="Arial" w:cs="Arial" w:eastAsia="Arial" w:hAnsi="Arial"/>
                <w:sz w:val="18"/>
                <w:szCs w:val="18"/>
                <w:color w:val="auto"/>
              </w:rPr>
              <w:t>Assumptions:</w:t>
            </w: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1.5% - 2.3%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3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 years</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4.05 years</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awarded restricted Share Units (“RSU’s”) to certain key executives of the Group. Details of RSU’s granted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Market Price on Date</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20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RSU’s Awarded</w:t>
            </w:r>
          </w:p>
        </w:tc>
        <w:tc>
          <w:tcPr>
            <w:tcW w:w="2840" w:type="dxa"/>
            <w:vAlign w:val="bottom"/>
            <w:gridSpan w:val="4"/>
          </w:tcPr>
          <w:p>
            <w:pPr>
              <w:jc w:val="right"/>
              <w:ind w:right="760"/>
              <w:spacing w:after="0" w:line="196" w:lineRule="exact"/>
              <w:rPr>
                <w:sz w:val="20"/>
                <w:szCs w:val="20"/>
                <w:color w:val="auto"/>
              </w:rPr>
            </w:pPr>
            <w:r>
              <w:rPr>
                <w:rFonts w:ascii="Arial" w:cs="Arial" w:eastAsia="Arial" w:hAnsi="Arial"/>
                <w:sz w:val="18"/>
                <w:szCs w:val="18"/>
                <w:b w:val="1"/>
                <w:bCs w:val="1"/>
                <w:color w:val="auto"/>
              </w:rPr>
              <w:t>Date of Award</w:t>
            </w:r>
          </w:p>
        </w:tc>
        <w:tc>
          <w:tcPr>
            <w:tcW w:w="1120" w:type="dxa"/>
            <w:vAlign w:val="bottom"/>
          </w:tcPr>
          <w:p>
            <w:pPr>
              <w:spacing w:after="0"/>
              <w:rPr>
                <w:sz w:val="17"/>
                <w:szCs w:val="17"/>
                <w:color w:val="auto"/>
              </w:rPr>
            </w:pPr>
          </w:p>
        </w:tc>
        <w:tc>
          <w:tcPr>
            <w:tcW w:w="1560" w:type="dxa"/>
            <w:vAlign w:val="bottom"/>
            <w:gridSpan w:val="3"/>
          </w:tcPr>
          <w:p>
            <w:pPr>
              <w:jc w:val="right"/>
              <w:ind w:right="580"/>
              <w:spacing w:after="0" w:line="196" w:lineRule="exact"/>
              <w:rPr>
                <w:sz w:val="20"/>
                <w:szCs w:val="20"/>
                <w:color w:val="auto"/>
              </w:rPr>
            </w:pPr>
            <w:r>
              <w:rPr>
                <w:rFonts w:ascii="Arial" w:cs="Arial" w:eastAsia="Arial" w:hAnsi="Arial"/>
                <w:sz w:val="18"/>
                <w:szCs w:val="18"/>
                <w:b w:val="1"/>
                <w:bCs w:val="1"/>
                <w:color w:val="auto"/>
                <w:w w:val="88"/>
              </w:rPr>
              <w:t>Vesting Date</w:t>
            </w:r>
          </w:p>
        </w:tc>
        <w:tc>
          <w:tcPr>
            <w:tcW w:w="6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0"/>
              </w:rPr>
              <w:t>of Award</w:t>
            </w:r>
          </w:p>
        </w:tc>
        <w:tc>
          <w:tcPr>
            <w:tcW w:w="0" w:type="dxa"/>
            <w:vAlign w:val="bottom"/>
          </w:tcPr>
          <w:p>
            <w:pPr>
              <w:spacing w:after="0"/>
              <w:rPr>
                <w:sz w:val="1"/>
                <w:szCs w:val="1"/>
                <w:color w:val="auto"/>
              </w:rPr>
            </w:pPr>
          </w:p>
        </w:tc>
      </w:tr>
      <w:tr>
        <w:trPr>
          <w:trHeight w:val="453"/>
        </w:trPr>
        <w:tc>
          <w:tcPr>
            <w:tcW w:w="16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100,000</w:t>
            </w:r>
          </w:p>
        </w:tc>
        <w:tc>
          <w:tcPr>
            <w:tcW w:w="284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February 10, 2011</w:t>
            </w:r>
          </w:p>
        </w:tc>
        <w:tc>
          <w:tcPr>
            <w:tcW w:w="26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February 10, 2016</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120,000</w:t>
            </w: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March 3,</w:t>
            </w: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9"/>
              </w:rPr>
              <w:t>2011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March 3,</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2014</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10,000</w:t>
            </w: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7,</w:t>
            </w: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9"/>
              </w:rPr>
              <w:t>2011</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June 7,</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2014</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awarded RSU’s in prior periods. On August 7, 2008 the Company awarded 6,280 RSU’s to certain key employees of the Group. These RSU’s vested over periods ranging from February 26, 2009 to February 26, 2011. The market value of the Company’s ordinary shares on date of award was $41.95. On August 16, 2010 the Company issued 2,512 ordinary shares relating to certain of these RSU awards. On May 20, 2011 the Company issued a further 3,768 ordinary shares relating to the remaining RSU awards.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movement in non-vested RSU’s during the nine months ended September 30, 2011: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7"/>
                <w:szCs w:val="17"/>
                <w:color w:val="auto"/>
              </w:rPr>
            </w:pPr>
          </w:p>
        </w:tc>
        <w:tc>
          <w:tcPr>
            <w:tcW w:w="11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3"/>
              </w:rPr>
              <w:t>Average Fair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4"/>
              </w:rPr>
              <w:t>Units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2010</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(1,256)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 vested outstanding at September 30, 2011</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230,000</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awards vested for the nine months ended September 30, 2011 totaled $0.1 million (2010: $0.1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Non-cash stock compensation expense for the nine months ended September 30, 2011 has been allocated to direct costs and selling, general and administrative expenses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5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6"/>
          </w:tcPr>
          <w:p>
            <w:pPr>
              <w:jc w:val="right"/>
              <w:spacing w:after="0"/>
              <w:rPr>
                <w:sz w:val="20"/>
                <w:szCs w:val="20"/>
                <w:color w:val="auto"/>
              </w:rPr>
            </w:pPr>
            <w:r>
              <w:rPr>
                <w:rFonts w:ascii="Arial" w:cs="Arial" w:eastAsia="Arial" w:hAnsi="Arial"/>
                <w:sz w:val="18"/>
                <w:szCs w:val="18"/>
                <w:b w:val="1"/>
                <w:bCs w:val="1"/>
                <w:color w:val="auto"/>
              </w:rPr>
              <w:t>Nine Months Ended</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80" w:type="dxa"/>
            <w:vAlign w:val="bottom"/>
            <w:gridSpan w:val="6"/>
          </w:tcPr>
          <w:p>
            <w:pPr>
              <w:ind w:left="28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14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5"/>
          </w:tcPr>
          <w:p>
            <w:pPr>
              <w:ind w:left="160"/>
              <w:spacing w:after="0" w:line="196"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6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99"/>
              </w:rPr>
              <w:t>2010</w:t>
            </w:r>
          </w:p>
        </w:tc>
      </w:tr>
      <w:tr>
        <w:trPr>
          <w:trHeight w:val="20"/>
        </w:trPr>
        <w:tc>
          <w:tcPr>
            <w:tcW w:w="6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500" w:type="dxa"/>
            <w:vAlign w:val="bottom"/>
            <w:gridSpan w:val="2"/>
            <w:shd w:val="clear" w:color="auto" w:fill="CCEEFF"/>
          </w:tcPr>
          <w:p>
            <w:pPr>
              <w:jc w:val="right"/>
              <w:ind w:right="33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3,502</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3,025</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996</w:t>
            </w:r>
          </w:p>
        </w:tc>
        <w:tc>
          <w:tcPr>
            <w:tcW w:w="8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829</w:t>
            </w:r>
          </w:p>
        </w:tc>
        <w:tc>
          <w:tcPr>
            <w:tcW w:w="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2,853</w:t>
            </w:r>
          </w:p>
        </w:tc>
        <w:tc>
          <w:tcPr>
            <w:tcW w:w="8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88"/>
              </w:rPr>
              <w:t>2,524</w:t>
            </w:r>
          </w:p>
        </w:tc>
      </w:tr>
      <w:tr>
        <w:trPr>
          <w:trHeight w:val="216"/>
        </w:trPr>
        <w:tc>
          <w:tcPr>
            <w:tcW w:w="6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5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2,218</w:t>
            </w:r>
          </w:p>
        </w:tc>
        <w:tc>
          <w:tcPr>
            <w:tcW w:w="8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1,847</w:t>
            </w:r>
          </w:p>
        </w:tc>
        <w:tc>
          <w:tcPr>
            <w:tcW w:w="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6,355</w:t>
            </w:r>
          </w:p>
        </w:tc>
        <w:tc>
          <w:tcPr>
            <w:tcW w:w="8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88"/>
              </w:rPr>
              <w:t>5,549</w:t>
            </w:r>
          </w:p>
        </w:tc>
      </w:tr>
      <w:tr>
        <w:trPr>
          <w:trHeight w:val="21"/>
        </w:trPr>
        <w:tc>
          <w:tcPr>
            <w:tcW w:w="6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September 30, 2011 amounted to $15.5 million. The weighted average period over which this is expected to be recognized is 3.0 years. Total tax benefit recognized in additional paid in capital related to the non-cash compensation expense amounted to $0.5 million for the nine months ended September 30, 2011 (2010: $2.2 million).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7. Segment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Enterprises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operates predominantly in the contract clinical research industry providing a broad range of clinical research and integrated product development services on a global basis for the pharmaceutical and biotechnology industries. Historically, the Company organized, operated and assessed its business in two segments, the clinical research segment and the central laboratory segment, which includes the Company’s central laboratories located in Dublin, New York, India, Singapore and China. During the year ended December 31, 2009 management determined that its clinical research and central laboratory businesses operate in the same clinical research market, have a similar customer profile, are subject to the same regulatory environment, support the development of new clinical therapies and are so economically similar, reporting their results on an aggregated basis would be more useful to users of the Company’s financial statements. In addition, the central laboratory division did not reach the thresholds of net revenue, income from operations and total assets as a requirement for being reported as a separate segment. Accordingly, the Company consolidated and reclassified the results of the former central laboratory segment into the clinical research segment for the three and nine months ended September 30, 2010.</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During the year ended December 31, 2010 the Company incurred losses in its central laboratory business, which in accordance with FASB ASC 280-10 </w:t>
      </w:r>
      <w:r>
        <w:rPr>
          <w:rFonts w:ascii="Arial" w:cs="Arial" w:eastAsia="Arial" w:hAnsi="Arial"/>
          <w:sz w:val="17"/>
          <w:szCs w:val="17"/>
          <w:i w:val="1"/>
          <w:iCs w:val="1"/>
          <w:color w:val="auto"/>
        </w:rPr>
        <w:t xml:space="preserve">Disclosures about Segments of an Enterprises and Related Information </w:t>
      </w:r>
      <w:r>
        <w:rPr>
          <w:rFonts w:ascii="Arial" w:cs="Arial" w:eastAsia="Arial" w:hAnsi="Arial"/>
          <w:sz w:val="17"/>
          <w:szCs w:val="17"/>
          <w:color w:val="auto"/>
        </w:rPr>
        <w:t>requires it to be reported as a separate segment. Accordingly the Company has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disclosed two reportable segments for the three and nine months ended September 30, 2011. The Company has reclassified the results of the central laboratory segment from the clinical research segment for three and nine months ended September 30, 2011.</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areas of operation outside of Ireland principally include the United States, United Kingdom, France, Germany, Italy, Spain, The Netherlands, Sweden, Finland, Switzerland, Poland, Czech Republic, Lithuania, Latvia, Russia, Ukraine, Hungary, Israel, Romania, Canada, Mexico, Brazil, Colombia, Argentina, Chile, Peru, India, China, Hong Kong, South Korea, Japan, Thailand, Taiwan, Singapore, The Philippines, Australia, New Zealand, and South Africa. Segment information as at September 30, 2011 and December 31, 2010 and for the three and nine months ended September 30, 2011 and September 30, 2010 is as follows: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distribution of net revenue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5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10"/>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20"/>
        </w:trPr>
        <w:tc>
          <w:tcPr>
            <w:tcW w:w="4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80" w:type="dxa"/>
            <w:vAlign w:val="bottom"/>
            <w:gridSpan w:val="6"/>
          </w:tcPr>
          <w:p>
            <w:pPr>
              <w:ind w:left="28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14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6"/>
          </w:tcPr>
          <w:p>
            <w:pPr>
              <w:ind w:left="160"/>
              <w:spacing w:after="0" w:line="196"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4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4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20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13,872</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28,118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67,305</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90,996</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91,696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72,897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258,641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213,747</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103,992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100,038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290,382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294,369</w:t>
            </w:r>
          </w:p>
        </w:tc>
      </w:tr>
      <w:tr>
        <w:trPr>
          <w:trHeight w:val="223"/>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31,212</w:t>
            </w: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24,042</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86,786</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68,846</w:t>
            </w:r>
          </w:p>
        </w:tc>
      </w:tr>
      <w:tr>
        <w:trPr>
          <w:trHeight w:val="473"/>
        </w:trPr>
        <w:tc>
          <w:tcPr>
            <w:tcW w:w="4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240,772</w:t>
            </w:r>
          </w:p>
        </w:tc>
        <w:tc>
          <w:tcPr>
            <w:tcW w:w="74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225,095</w:t>
            </w:r>
          </w:p>
        </w:tc>
        <w:tc>
          <w:tcPr>
            <w:tcW w:w="4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703,114</w:t>
            </w:r>
          </w:p>
        </w:tc>
        <w:tc>
          <w:tcPr>
            <w:tcW w:w="6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667,958</w:t>
            </w:r>
          </w:p>
        </w:tc>
      </w:tr>
      <w:tr>
        <w:trPr>
          <w:trHeight w:val="426"/>
        </w:trPr>
        <w:tc>
          <w:tcPr>
            <w:tcW w:w="4540" w:type="dxa"/>
            <w:vAlign w:val="bottom"/>
          </w:tcPr>
          <w:p>
            <w:pPr>
              <w:ind w:left="180"/>
              <w:spacing w:after="0"/>
              <w:rPr>
                <w:sz w:val="20"/>
                <w:szCs w:val="20"/>
                <w:color w:val="auto"/>
              </w:rPr>
            </w:pPr>
            <w:r>
              <w:rPr>
                <w:rFonts w:ascii="Arial" w:cs="Arial" w:eastAsia="Arial" w:hAnsi="Arial"/>
                <w:sz w:val="18"/>
                <w:szCs w:val="18"/>
                <w:color w:val="auto"/>
              </w:rPr>
              <w:t>* All sales shown for Ireland are export sales.</w:t>
            </w: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4540" w:type="dxa"/>
            <w:vAlign w:val="bottom"/>
          </w:tcPr>
          <w:p>
            <w:pPr>
              <w:spacing w:after="0"/>
              <w:rPr>
                <w:sz w:val="24"/>
                <w:szCs w:val="24"/>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5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w w:val="97"/>
              </w:rPr>
              <w:t>b) The distribution of net revenue by business segment was as follows:</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5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5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10"/>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20"/>
        </w:trPr>
        <w:tc>
          <w:tcPr>
            <w:tcW w:w="5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80" w:type="dxa"/>
            <w:vAlign w:val="bottom"/>
            <w:gridSpan w:val="6"/>
          </w:tcPr>
          <w:p>
            <w:pPr>
              <w:ind w:left="28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140" w:type="dxa"/>
            <w:vAlign w:val="bottom"/>
          </w:tcPr>
          <w:p>
            <w:pPr>
              <w:spacing w:after="0"/>
              <w:rPr>
                <w:sz w:val="17"/>
                <w:szCs w:val="17"/>
                <w:color w:val="auto"/>
              </w:rPr>
            </w:pPr>
          </w:p>
        </w:tc>
        <w:tc>
          <w:tcPr>
            <w:tcW w:w="12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6"/>
          </w:tcPr>
          <w:p>
            <w:pPr>
              <w:ind w:left="160"/>
              <w:spacing w:after="0" w:line="196"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5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5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8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221,226</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210,191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650,233</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621,200</w:t>
            </w:r>
          </w:p>
        </w:tc>
      </w:tr>
      <w:tr>
        <w:trPr>
          <w:trHeight w:val="223"/>
        </w:trPr>
        <w:tc>
          <w:tcPr>
            <w:tcW w:w="5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19,546</w:t>
            </w: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14,904</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52,881</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46,758</w:t>
            </w:r>
          </w:p>
        </w:tc>
      </w:tr>
      <w:tr>
        <w:trPr>
          <w:trHeight w:val="473"/>
        </w:trPr>
        <w:tc>
          <w:tcPr>
            <w:tcW w:w="5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240,772</w:t>
            </w:r>
          </w:p>
        </w:tc>
        <w:tc>
          <w:tcPr>
            <w:tcW w:w="74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225,095</w:t>
            </w:r>
          </w:p>
        </w:tc>
        <w:tc>
          <w:tcPr>
            <w:tcW w:w="4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703,114</w:t>
            </w:r>
          </w:p>
        </w:tc>
        <w:tc>
          <w:tcPr>
            <w:tcW w:w="64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667,958</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 The distribution of income from operations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2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7"/>
                <w:szCs w:val="17"/>
                <w:color w:val="auto"/>
              </w:rPr>
            </w:pPr>
          </w:p>
        </w:tc>
        <w:tc>
          <w:tcPr>
            <w:tcW w:w="136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7"/>
                <w:szCs w:val="17"/>
                <w:color w:val="auto"/>
              </w:rPr>
            </w:pPr>
          </w:p>
        </w:tc>
        <w:tc>
          <w:tcPr>
            <w:tcW w:w="124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20" w:type="dxa"/>
            <w:vAlign w:val="bottom"/>
            <w:gridSpan w:val="5"/>
          </w:tcPr>
          <w:p>
            <w:pPr>
              <w:ind w:left="120"/>
              <w:spacing w:after="0" w:line="196"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3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3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Excluding</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Including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1"/>
              </w:rPr>
              <w:t>Restructuring</w:t>
            </w:r>
          </w:p>
        </w:tc>
        <w:tc>
          <w:tcPr>
            <w:tcW w:w="120" w:type="dxa"/>
            <w:vAlign w:val="bottom"/>
          </w:tcPr>
          <w:p>
            <w:pPr>
              <w:spacing w:after="0"/>
              <w:rPr>
                <w:sz w:val="18"/>
                <w:szCs w:val="18"/>
                <w:color w:val="auto"/>
              </w:rPr>
            </w:pPr>
          </w:p>
        </w:tc>
        <w:tc>
          <w:tcPr>
            <w:tcW w:w="12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1"/>
              </w:rPr>
              <w:t>Restructuring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6"/>
              </w:rPr>
              <w:t>Charges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Charges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20" w:type="dxa"/>
            <w:vAlign w:val="bottom"/>
            <w:gridSpan w:val="9"/>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2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(17,389)</w:t>
            </w:r>
          </w:p>
        </w:tc>
        <w:tc>
          <w:tcPr>
            <w:tcW w:w="600" w:type="dxa"/>
            <w:vAlign w:val="bottom"/>
            <w:tcBorders>
              <w:right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(1,479)</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(18,868)</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4,410</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6,338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4,987</w:t>
            </w: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6,591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6,569</w:t>
            </w:r>
          </w:p>
        </w:tc>
      </w:tr>
      <w:tr>
        <w:trPr>
          <w:trHeight w:val="223"/>
        </w:trPr>
        <w:tc>
          <w:tcPr>
            <w:tcW w:w="3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2,257</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2,257</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1,659</w:t>
            </w:r>
          </w:p>
        </w:tc>
      </w:tr>
      <w:tr>
        <w:trPr>
          <w:trHeight w:val="473"/>
        </w:trPr>
        <w:tc>
          <w:tcPr>
            <w:tcW w:w="3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right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(4,815)</w:t>
            </w:r>
          </w:p>
        </w:tc>
        <w:tc>
          <w:tcPr>
            <w:tcW w:w="3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(3,682)</w:t>
            </w:r>
          </w:p>
        </w:tc>
        <w:tc>
          <w:tcPr>
            <w:tcW w:w="4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17,625</w:t>
            </w:r>
          </w:p>
        </w:tc>
      </w:tr>
      <w:tr>
        <w:trPr>
          <w:trHeight w:val="655"/>
        </w:trPr>
        <w:tc>
          <w:tcPr>
            <w:tcW w:w="3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5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7"/>
                <w:szCs w:val="17"/>
                <w:color w:val="auto"/>
              </w:rPr>
            </w:pPr>
          </w:p>
        </w:tc>
        <w:tc>
          <w:tcPr>
            <w:tcW w:w="136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7"/>
                <w:szCs w:val="17"/>
                <w:color w:val="auto"/>
              </w:rPr>
            </w:pPr>
          </w:p>
        </w:tc>
        <w:tc>
          <w:tcPr>
            <w:tcW w:w="124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20" w:type="dxa"/>
            <w:vAlign w:val="bottom"/>
            <w:gridSpan w:val="5"/>
          </w:tcPr>
          <w:p>
            <w:pPr>
              <w:ind w:left="120"/>
              <w:spacing w:after="0" w:line="196"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3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3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3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Excluding</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Including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1"/>
              </w:rPr>
              <w:t>Restructuring</w:t>
            </w:r>
          </w:p>
        </w:tc>
        <w:tc>
          <w:tcPr>
            <w:tcW w:w="120" w:type="dxa"/>
            <w:vAlign w:val="bottom"/>
          </w:tcPr>
          <w:p>
            <w:pPr>
              <w:spacing w:after="0"/>
              <w:rPr>
                <w:sz w:val="18"/>
                <w:szCs w:val="18"/>
                <w:color w:val="auto"/>
              </w:rPr>
            </w:pPr>
          </w:p>
        </w:tc>
        <w:tc>
          <w:tcPr>
            <w:tcW w:w="12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1"/>
              </w:rPr>
              <w:t>Restructuring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6"/>
              </w:rPr>
              <w:t>Charges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Charges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20" w:type="dxa"/>
            <w:vAlign w:val="bottom"/>
            <w:gridSpan w:val="9"/>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2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(19,186)</w:t>
            </w:r>
          </w:p>
        </w:tc>
        <w:tc>
          <w:tcPr>
            <w:tcW w:w="600" w:type="dxa"/>
            <w:vAlign w:val="bottom"/>
            <w:tcBorders>
              <w:right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(1,564)</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(20,750)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27,469</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24,376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21,376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17,919</w:t>
            </w: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16,368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20,001</w:t>
            </w:r>
          </w:p>
        </w:tc>
      </w:tr>
      <w:tr>
        <w:trPr>
          <w:trHeight w:val="223"/>
        </w:trPr>
        <w:tc>
          <w:tcPr>
            <w:tcW w:w="3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5,799</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5,799</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4,692</w:t>
            </w:r>
          </w:p>
        </w:tc>
      </w:tr>
      <w:tr>
        <w:trPr>
          <w:trHeight w:val="473"/>
        </w:trPr>
        <w:tc>
          <w:tcPr>
            <w:tcW w:w="3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32,610</w:t>
            </w:r>
          </w:p>
        </w:tc>
        <w:tc>
          <w:tcPr>
            <w:tcW w:w="1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right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(9,817)</w:t>
            </w:r>
          </w:p>
        </w:tc>
        <w:tc>
          <w:tcPr>
            <w:tcW w:w="3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22,793</w:t>
            </w:r>
          </w:p>
        </w:tc>
        <w:tc>
          <w:tcPr>
            <w:tcW w:w="4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70,081</w:t>
            </w:r>
          </w:p>
        </w:tc>
      </w:tr>
      <w:tr>
        <w:trPr>
          <w:trHeight w:val="601"/>
        </w:trPr>
        <w:tc>
          <w:tcPr>
            <w:tcW w:w="3440" w:type="dxa"/>
            <w:vAlign w:val="bottom"/>
          </w:tcPr>
          <w:p>
            <w:pPr>
              <w:spacing w:after="0"/>
              <w:rPr>
                <w:sz w:val="24"/>
                <w:szCs w:val="24"/>
                <w:color w:val="auto"/>
              </w:rPr>
            </w:pPr>
          </w:p>
        </w:tc>
        <w:tc>
          <w:tcPr>
            <w:tcW w:w="270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44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left="180"/>
        <w:spacing w:after="0"/>
        <w:rPr>
          <w:sz w:val="20"/>
          <w:szCs w:val="20"/>
          <w:color w:val="auto"/>
        </w:rPr>
      </w:pPr>
      <w:r>
        <w:rPr>
          <w:rFonts w:ascii="Arial" w:cs="Arial" w:eastAsia="Arial" w:hAnsi="Arial"/>
          <w:sz w:val="18"/>
          <w:szCs w:val="18"/>
          <w:color w:val="auto"/>
        </w:rPr>
        <w:t>d) The distribution of income from operations by business segment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2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7"/>
                <w:szCs w:val="17"/>
                <w:color w:val="auto"/>
              </w:rPr>
            </w:pPr>
          </w:p>
        </w:tc>
        <w:tc>
          <w:tcPr>
            <w:tcW w:w="136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7"/>
                <w:szCs w:val="17"/>
                <w:color w:val="auto"/>
              </w:rPr>
            </w:pPr>
          </w:p>
        </w:tc>
        <w:tc>
          <w:tcPr>
            <w:tcW w:w="124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7"/>
              </w:rPr>
              <w:t>September 30,</w:t>
            </w:r>
          </w:p>
        </w:tc>
      </w:tr>
      <w:tr>
        <w:trPr>
          <w:trHeight w:val="20"/>
        </w:trPr>
        <w:tc>
          <w:tcPr>
            <w:tcW w:w="3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3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3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Excluding</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Including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1"/>
              </w:rPr>
              <w:t>Restructuring</w:t>
            </w:r>
          </w:p>
        </w:tc>
        <w:tc>
          <w:tcPr>
            <w:tcW w:w="120" w:type="dxa"/>
            <w:vAlign w:val="bottom"/>
          </w:tcPr>
          <w:p>
            <w:pPr>
              <w:spacing w:after="0"/>
              <w:rPr>
                <w:sz w:val="18"/>
                <w:szCs w:val="18"/>
                <w:color w:val="auto"/>
              </w:rPr>
            </w:pPr>
          </w:p>
        </w:tc>
        <w:tc>
          <w:tcPr>
            <w:tcW w:w="12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1"/>
              </w:rPr>
              <w:t>Restructuring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6"/>
              </w:rPr>
              <w:t>Charges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Charges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20" w:type="dxa"/>
            <w:vAlign w:val="bottom"/>
            <w:gridSpan w:val="9"/>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2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(4,815)</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(3,808)</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25,218</w:t>
            </w:r>
          </w:p>
        </w:tc>
      </w:tr>
      <w:tr>
        <w:trPr>
          <w:trHeight w:val="223"/>
        </w:trPr>
        <w:tc>
          <w:tcPr>
            <w:tcW w:w="3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2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(7,593)</w:t>
            </w:r>
          </w:p>
        </w:tc>
      </w:tr>
      <w:tr>
        <w:trPr>
          <w:trHeight w:val="473"/>
        </w:trPr>
        <w:tc>
          <w:tcPr>
            <w:tcW w:w="3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right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(4,815)</w:t>
            </w:r>
          </w:p>
        </w:tc>
        <w:tc>
          <w:tcPr>
            <w:tcW w:w="3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(3,682)</w:t>
            </w:r>
          </w:p>
        </w:tc>
        <w:tc>
          <w:tcPr>
            <w:tcW w:w="4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17,625</w:t>
            </w:r>
          </w:p>
        </w:tc>
      </w:tr>
      <w:tr>
        <w:trPr>
          <w:trHeight w:val="655"/>
        </w:trPr>
        <w:tc>
          <w:tcPr>
            <w:tcW w:w="3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5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7"/>
                <w:szCs w:val="17"/>
                <w:color w:val="auto"/>
              </w:rPr>
            </w:pPr>
          </w:p>
        </w:tc>
        <w:tc>
          <w:tcPr>
            <w:tcW w:w="136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7"/>
                <w:szCs w:val="17"/>
                <w:color w:val="auto"/>
              </w:rPr>
            </w:pPr>
          </w:p>
        </w:tc>
        <w:tc>
          <w:tcPr>
            <w:tcW w:w="124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3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7"/>
              </w:rPr>
              <w:t>September 30,</w:t>
            </w:r>
          </w:p>
        </w:tc>
      </w:tr>
      <w:tr>
        <w:trPr>
          <w:trHeight w:val="20"/>
        </w:trPr>
        <w:tc>
          <w:tcPr>
            <w:tcW w:w="3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3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3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Excluding</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Including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1"/>
              </w:rPr>
              <w:t>Restructuring</w:t>
            </w:r>
          </w:p>
        </w:tc>
        <w:tc>
          <w:tcPr>
            <w:tcW w:w="120" w:type="dxa"/>
            <w:vAlign w:val="bottom"/>
          </w:tcPr>
          <w:p>
            <w:pPr>
              <w:spacing w:after="0"/>
              <w:rPr>
                <w:sz w:val="18"/>
                <w:szCs w:val="18"/>
                <w:color w:val="auto"/>
              </w:rPr>
            </w:pPr>
          </w:p>
        </w:tc>
        <w:tc>
          <w:tcPr>
            <w:tcW w:w="12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1"/>
              </w:rPr>
              <w:t>Restructuring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6"/>
              </w:rPr>
              <w:t>Charges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Charges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20" w:type="dxa"/>
            <w:vAlign w:val="bottom"/>
            <w:gridSpan w:val="9"/>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2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34,623</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(8,272)</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26,351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78,748</w:t>
            </w:r>
          </w:p>
        </w:tc>
      </w:tr>
      <w:tr>
        <w:trPr>
          <w:trHeight w:val="223"/>
        </w:trPr>
        <w:tc>
          <w:tcPr>
            <w:tcW w:w="3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2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(1,545)</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(3,558)</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(8,667)</w:t>
            </w:r>
          </w:p>
        </w:tc>
      </w:tr>
      <w:tr>
        <w:trPr>
          <w:trHeight w:val="473"/>
        </w:trPr>
        <w:tc>
          <w:tcPr>
            <w:tcW w:w="3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32,610</w:t>
            </w:r>
          </w:p>
        </w:tc>
        <w:tc>
          <w:tcPr>
            <w:tcW w:w="1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right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(9,817)</w:t>
            </w:r>
          </w:p>
        </w:tc>
        <w:tc>
          <w:tcPr>
            <w:tcW w:w="3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22,793</w:t>
            </w:r>
          </w:p>
        </w:tc>
        <w:tc>
          <w:tcPr>
            <w:tcW w:w="4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70,081</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 The distribution of property, plant and equipment, net,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300" w:type="dxa"/>
            <w:vAlign w:val="bottom"/>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r>
      <w:tr>
        <w:trPr>
          <w:trHeight w:val="196"/>
        </w:trPr>
        <w:tc>
          <w:tcPr>
            <w:tcW w:w="34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34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5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113,394</w:t>
            </w:r>
          </w:p>
        </w:tc>
        <w:tc>
          <w:tcPr>
            <w:tcW w:w="7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109,919</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17,267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16,675</w:t>
            </w: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32,634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33,855</w:t>
            </w:r>
          </w:p>
        </w:tc>
      </w:tr>
      <w:tr>
        <w:trPr>
          <w:trHeight w:val="223"/>
        </w:trPr>
        <w:tc>
          <w:tcPr>
            <w:tcW w:w="3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5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8,908</w:t>
            </w: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10,412</w:t>
            </w:r>
          </w:p>
        </w:tc>
      </w:tr>
      <w:tr>
        <w:trPr>
          <w:trHeight w:val="473"/>
        </w:trPr>
        <w:tc>
          <w:tcPr>
            <w:tcW w:w="3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70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172,203</w:t>
            </w:r>
          </w:p>
        </w:tc>
        <w:tc>
          <w:tcPr>
            <w:tcW w:w="740" w:type="dxa"/>
            <w:vAlign w:val="bottom"/>
            <w:tcBorders>
              <w:bottom w:val="single" w:sz="8" w:color="auto"/>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170,861</w:t>
            </w:r>
          </w:p>
        </w:tc>
      </w:tr>
      <w:tr>
        <w:trPr>
          <w:trHeight w:val="601"/>
        </w:trPr>
        <w:tc>
          <w:tcPr>
            <w:tcW w:w="3440" w:type="dxa"/>
            <w:vAlign w:val="bottom"/>
          </w:tcPr>
          <w:p>
            <w:pPr>
              <w:spacing w:after="0"/>
              <w:rPr>
                <w:sz w:val="24"/>
                <w:szCs w:val="24"/>
                <w:color w:val="auto"/>
              </w:rPr>
            </w:pPr>
          </w:p>
        </w:tc>
        <w:tc>
          <w:tcPr>
            <w:tcW w:w="5420" w:type="dxa"/>
            <w:vAlign w:val="bottom"/>
          </w:tcPr>
          <w:p>
            <w:pPr>
              <w:jc w:val="right"/>
              <w:ind w:right="297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44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ind w:left="180"/>
        <w:spacing w:after="0"/>
        <w:rPr>
          <w:sz w:val="20"/>
          <w:szCs w:val="20"/>
          <w:color w:val="auto"/>
        </w:rPr>
      </w:pPr>
      <w:r>
        <w:rPr>
          <w:rFonts w:ascii="Arial" w:cs="Arial" w:eastAsia="Arial" w:hAnsi="Arial"/>
          <w:sz w:val="18"/>
          <w:szCs w:val="18"/>
          <w:color w:val="auto"/>
        </w:rPr>
        <w:t>f) The distribution of property, plant and equipment, net, by business segment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3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3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152,613</w:t>
            </w:r>
          </w:p>
        </w:tc>
        <w:tc>
          <w:tcPr>
            <w:tcW w:w="740" w:type="dxa"/>
            <w:vAlign w:val="bottom"/>
            <w:tcBorders>
              <w:left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149,755</w:t>
            </w:r>
          </w:p>
        </w:tc>
      </w:tr>
      <w:tr>
        <w:trPr>
          <w:trHeight w:val="223"/>
        </w:trPr>
        <w:tc>
          <w:tcPr>
            <w:tcW w:w="3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2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19,590</w:t>
            </w: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21,106</w:t>
            </w:r>
          </w:p>
        </w:tc>
      </w:tr>
      <w:tr>
        <w:trPr>
          <w:trHeight w:val="473"/>
        </w:trPr>
        <w:tc>
          <w:tcPr>
            <w:tcW w:w="3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172,203</w:t>
            </w:r>
          </w:p>
        </w:tc>
        <w:tc>
          <w:tcPr>
            <w:tcW w:w="740" w:type="dxa"/>
            <w:vAlign w:val="bottom"/>
            <w:tcBorders>
              <w:left w:val="single" w:sz="8" w:color="CCEEFF"/>
              <w:bottom w:val="single" w:sz="8" w:color="auto"/>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170,861</w:t>
            </w:r>
          </w:p>
        </w:tc>
      </w:tr>
      <w:tr>
        <w:trPr>
          <w:trHeight w:val="453"/>
        </w:trPr>
        <w:tc>
          <w:tcPr>
            <w:tcW w:w="7240" w:type="dxa"/>
            <w:vAlign w:val="bottom"/>
            <w:gridSpan w:val="5"/>
          </w:tcPr>
          <w:p>
            <w:pPr>
              <w:ind w:left="180"/>
              <w:spacing w:after="0"/>
              <w:rPr>
                <w:sz w:val="20"/>
                <w:szCs w:val="20"/>
                <w:color w:val="auto"/>
              </w:rPr>
            </w:pPr>
            <w:r>
              <w:rPr>
                <w:rFonts w:ascii="Arial" w:cs="Arial" w:eastAsia="Arial" w:hAnsi="Arial"/>
                <w:sz w:val="18"/>
                <w:szCs w:val="18"/>
                <w:color w:val="auto"/>
                <w:w w:val="99"/>
              </w:rPr>
              <w:t>g) The distribution of depreciation and amortization by geographical area was as follows:</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3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5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10"/>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20"/>
        </w:trPr>
        <w:tc>
          <w:tcPr>
            <w:tcW w:w="3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196"/>
        </w:trPr>
        <w:tc>
          <w:tcPr>
            <w:tcW w:w="3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80" w:type="dxa"/>
            <w:vAlign w:val="bottom"/>
            <w:gridSpan w:val="6"/>
          </w:tcPr>
          <w:p>
            <w:pPr>
              <w:ind w:left="28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140" w:type="dxa"/>
            <w:vAlign w:val="bottom"/>
          </w:tcPr>
          <w:p>
            <w:pPr>
              <w:spacing w:after="0"/>
              <w:rPr>
                <w:sz w:val="17"/>
                <w:szCs w:val="17"/>
                <w:color w:val="auto"/>
              </w:rPr>
            </w:pPr>
          </w:p>
        </w:tc>
        <w:tc>
          <w:tcPr>
            <w:tcW w:w="11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60" w:type="dxa"/>
            <w:vAlign w:val="bottom"/>
            <w:gridSpan w:val="7"/>
          </w:tcPr>
          <w:p>
            <w:pPr>
              <w:jc w:val="right"/>
              <w:ind w:right="100"/>
              <w:spacing w:after="0" w:line="196" w:lineRule="exact"/>
              <w:rPr>
                <w:sz w:val="20"/>
                <w:szCs w:val="20"/>
                <w:color w:val="auto"/>
              </w:rPr>
            </w:pPr>
            <w:r>
              <w:rPr>
                <w:rFonts w:ascii="Arial" w:cs="Arial" w:eastAsia="Arial" w:hAnsi="Arial"/>
                <w:sz w:val="18"/>
                <w:szCs w:val="18"/>
                <w:b w:val="1"/>
                <w:bCs w:val="1"/>
                <w:color w:val="auto"/>
              </w:rPr>
              <w:t>September 30,</w:t>
            </w:r>
          </w:p>
        </w:tc>
      </w:tr>
      <w:tr>
        <w:trPr>
          <w:trHeight w:val="196"/>
        </w:trPr>
        <w:tc>
          <w:tcPr>
            <w:tcW w:w="3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2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28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9,810</w:t>
            </w:r>
          </w:p>
        </w:tc>
        <w:tc>
          <w:tcPr>
            <w:tcW w:w="740" w:type="dxa"/>
            <w:vAlign w:val="bottom"/>
            <w:tcBorders>
              <w:left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2,121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5,557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4,195</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2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2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10,381</w:t>
            </w:r>
          </w:p>
        </w:tc>
      </w:tr>
      <w:tr>
        <w:trPr>
          <w:trHeight w:val="223"/>
        </w:trPr>
        <w:tc>
          <w:tcPr>
            <w:tcW w:w="3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923</w:t>
            </w: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1,030</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3,139</w:t>
            </w: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2,982</w:t>
            </w:r>
          </w:p>
        </w:tc>
      </w:tr>
      <w:tr>
        <w:trPr>
          <w:trHeight w:val="473"/>
        </w:trPr>
        <w:tc>
          <w:tcPr>
            <w:tcW w:w="3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84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8,002</w:t>
            </w:r>
          </w:p>
        </w:tc>
        <w:tc>
          <w:tcPr>
            <w:tcW w:w="4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27,969</w:t>
            </w:r>
          </w:p>
        </w:tc>
        <w:tc>
          <w:tcPr>
            <w:tcW w:w="740" w:type="dxa"/>
            <w:vAlign w:val="bottom"/>
            <w:tcBorders>
              <w:left w:val="single" w:sz="8" w:color="CCEEFF"/>
              <w:bottom w:val="single" w:sz="8" w:color="auto"/>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25,005</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 The distribution of depreciation and amortization by business segment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5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11"/>
          </w:tcPr>
          <w:p>
            <w:pPr>
              <w:ind w:left="280"/>
              <w:spacing w:after="0"/>
              <w:rPr>
                <w:sz w:val="20"/>
                <w:szCs w:val="20"/>
                <w:color w:val="auto"/>
              </w:rPr>
            </w:pPr>
            <w:r>
              <w:rPr>
                <w:rFonts w:ascii="Arial" w:cs="Arial" w:eastAsia="Arial" w:hAnsi="Arial"/>
                <w:sz w:val="18"/>
                <w:szCs w:val="18"/>
                <w:b w:val="1"/>
                <w:bCs w:val="1"/>
                <w:color w:val="auto"/>
              </w:rPr>
              <w:t>Nine Months Ended</w:t>
            </w:r>
          </w:p>
        </w:tc>
      </w:tr>
      <w:tr>
        <w:trPr>
          <w:trHeight w:val="20"/>
        </w:trPr>
        <w:tc>
          <w:tcPr>
            <w:tcW w:w="5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80" w:type="dxa"/>
            <w:vAlign w:val="bottom"/>
            <w:gridSpan w:val="6"/>
          </w:tcPr>
          <w:p>
            <w:pPr>
              <w:ind w:left="280"/>
              <w:spacing w:after="0" w:line="196" w:lineRule="exact"/>
              <w:rPr>
                <w:sz w:val="20"/>
                <w:szCs w:val="20"/>
                <w:color w:val="auto"/>
              </w:rPr>
            </w:pPr>
            <w:r>
              <w:rPr>
                <w:rFonts w:ascii="Arial" w:cs="Arial" w:eastAsia="Arial" w:hAnsi="Arial"/>
                <w:sz w:val="18"/>
                <w:szCs w:val="18"/>
                <w:b w:val="1"/>
                <w:bCs w:val="1"/>
                <w:color w:val="auto"/>
                <w:w w:val="95"/>
              </w:rPr>
              <w:t>September 30,</w:t>
            </w:r>
          </w:p>
        </w:tc>
        <w:tc>
          <w:tcPr>
            <w:tcW w:w="140" w:type="dxa"/>
            <w:vAlign w:val="bottom"/>
          </w:tcPr>
          <w:p>
            <w:pPr>
              <w:spacing w:after="0"/>
              <w:rPr>
                <w:sz w:val="17"/>
                <w:szCs w:val="17"/>
                <w:color w:val="auto"/>
              </w:rPr>
            </w:pPr>
          </w:p>
        </w:tc>
        <w:tc>
          <w:tcPr>
            <w:tcW w:w="1120" w:type="dxa"/>
            <w:vAlign w:val="bottom"/>
            <w:gridSpan w:val="5"/>
          </w:tcPr>
          <w:p>
            <w:pPr>
              <w:jc w:val="right"/>
              <w:ind w:right="2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440" w:type="dxa"/>
            <w:vAlign w:val="bottom"/>
            <w:gridSpan w:val="7"/>
          </w:tcPr>
          <w:p>
            <w:pPr>
              <w:jc w:val="right"/>
              <w:ind w:right="100"/>
              <w:spacing w:after="0" w:line="196" w:lineRule="exact"/>
              <w:rPr>
                <w:sz w:val="20"/>
                <w:szCs w:val="20"/>
                <w:color w:val="auto"/>
              </w:rPr>
            </w:pPr>
            <w:r>
              <w:rPr>
                <w:rFonts w:ascii="Arial" w:cs="Arial" w:eastAsia="Arial" w:hAnsi="Arial"/>
                <w:sz w:val="18"/>
                <w:szCs w:val="18"/>
                <w:b w:val="1"/>
                <w:bCs w:val="1"/>
                <w:color w:val="auto"/>
              </w:rPr>
              <w:t>September 30,</w:t>
            </w:r>
          </w:p>
        </w:tc>
      </w:tr>
      <w:tr>
        <w:trPr>
          <w:trHeight w:val="196"/>
        </w:trPr>
        <w:tc>
          <w:tcPr>
            <w:tcW w:w="5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2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6"/>
          </w:tcPr>
          <w:p>
            <w:pPr>
              <w:jc w:val="right"/>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11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6,805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24,193</w:t>
            </w:r>
          </w:p>
        </w:tc>
        <w:tc>
          <w:tcPr>
            <w:tcW w:w="7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21,330</w:t>
            </w:r>
          </w:p>
        </w:tc>
      </w:tr>
      <w:tr>
        <w:trPr>
          <w:trHeight w:val="223"/>
        </w:trPr>
        <w:tc>
          <w:tcPr>
            <w:tcW w:w="5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1,171</w:t>
            </w: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1,197</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3,776</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3,675</w:t>
            </w:r>
          </w:p>
        </w:tc>
      </w:tr>
      <w:tr>
        <w:trPr>
          <w:trHeight w:val="473"/>
        </w:trPr>
        <w:tc>
          <w:tcPr>
            <w:tcW w:w="5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84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8,002</w:t>
            </w: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27,969</w:t>
            </w:r>
          </w:p>
        </w:tc>
        <w:tc>
          <w:tcPr>
            <w:tcW w:w="720" w:type="dxa"/>
            <w:vAlign w:val="bottom"/>
            <w:tcBorders>
              <w:bottom w:val="single" w:sz="8" w:color="auto"/>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25,005</w:t>
            </w:r>
          </w:p>
        </w:tc>
      </w:tr>
      <w:tr>
        <w:trPr>
          <w:trHeight w:val="453"/>
        </w:trPr>
        <w:tc>
          <w:tcPr>
            <w:tcW w:w="5420" w:type="dxa"/>
            <w:vAlign w:val="bottom"/>
          </w:tcPr>
          <w:p>
            <w:pPr>
              <w:ind w:left="180"/>
              <w:spacing w:after="0"/>
              <w:rPr>
                <w:sz w:val="20"/>
                <w:szCs w:val="20"/>
                <w:color w:val="auto"/>
              </w:rPr>
            </w:pPr>
            <w:r>
              <w:rPr>
                <w:rFonts w:ascii="Arial" w:cs="Arial" w:eastAsia="Arial" w:hAnsi="Arial"/>
                <w:sz w:val="18"/>
                <w:szCs w:val="18"/>
                <w:color w:val="auto"/>
                <w:w w:val="94"/>
              </w:rPr>
              <w:t>i) The distribution of total assets by geographical area was as follows:</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5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196"/>
        </w:trPr>
        <w:tc>
          <w:tcPr>
            <w:tcW w:w="5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5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6"/>
          </w:tcPr>
          <w:p>
            <w:pPr>
              <w:jc w:val="right"/>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384,688</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418,098</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237,738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173,668</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388,274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329,971</w:t>
            </w:r>
          </w:p>
        </w:tc>
      </w:tr>
      <w:tr>
        <w:trPr>
          <w:trHeight w:val="223"/>
        </w:trPr>
        <w:tc>
          <w:tcPr>
            <w:tcW w:w="5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34,955</w:t>
            </w: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27,801</w:t>
            </w:r>
          </w:p>
        </w:tc>
      </w:tr>
      <w:tr>
        <w:trPr>
          <w:trHeight w:val="473"/>
        </w:trPr>
        <w:tc>
          <w:tcPr>
            <w:tcW w:w="5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1,045,655</w:t>
            </w:r>
          </w:p>
        </w:tc>
        <w:tc>
          <w:tcPr>
            <w:tcW w:w="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949,538</w:t>
            </w:r>
          </w:p>
        </w:tc>
      </w:tr>
      <w:tr>
        <w:trPr>
          <w:trHeight w:val="601"/>
        </w:trPr>
        <w:tc>
          <w:tcPr>
            <w:tcW w:w="5420" w:type="dxa"/>
            <w:vAlign w:val="bottom"/>
          </w:tcPr>
          <w:p>
            <w:pPr>
              <w:spacing w:after="0"/>
              <w:rPr>
                <w:sz w:val="24"/>
                <w:szCs w:val="24"/>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j) The distribution of total assets by business segment was as follows:</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7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300" w:type="dxa"/>
            <w:vAlign w:val="bottom"/>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196"/>
        </w:trPr>
        <w:tc>
          <w:tcPr>
            <w:tcW w:w="7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7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2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992,578</w:t>
            </w:r>
          </w:p>
        </w:tc>
        <w:tc>
          <w:tcPr>
            <w:tcW w:w="7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889,534</w:t>
            </w:r>
          </w:p>
        </w:tc>
      </w:tr>
      <w:tr>
        <w:trPr>
          <w:trHeight w:val="223"/>
        </w:trPr>
        <w:tc>
          <w:tcPr>
            <w:tcW w:w="7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1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53,077</w:t>
            </w: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60,004</w:t>
            </w:r>
          </w:p>
        </w:tc>
      </w:tr>
      <w:tr>
        <w:trPr>
          <w:trHeight w:val="473"/>
        </w:trPr>
        <w:tc>
          <w:tcPr>
            <w:tcW w:w="70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1,045,655</w:t>
            </w:r>
          </w:p>
        </w:tc>
        <w:tc>
          <w:tcPr>
            <w:tcW w:w="740" w:type="dxa"/>
            <w:vAlign w:val="bottom"/>
            <w:tcBorders>
              <w:bottom w:val="single" w:sz="8" w:color="auto"/>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949,538</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k) The following table sets forth the clients which represented 10% or more of the Company’s net revenue in each of the periods set out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6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gridSpan w:val="8"/>
          </w:tcPr>
          <w:p>
            <w:pPr>
              <w:spacing w:after="0"/>
              <w:rPr>
                <w:sz w:val="20"/>
                <w:szCs w:val="20"/>
                <w:color w:val="auto"/>
              </w:rPr>
            </w:pPr>
            <w:r>
              <w:rPr>
                <w:rFonts w:ascii="Arial" w:cs="Arial" w:eastAsia="Arial" w:hAnsi="Arial"/>
                <w:sz w:val="18"/>
                <w:szCs w:val="18"/>
                <w:b w:val="1"/>
                <w:bCs w:val="1"/>
                <w:color w:val="auto"/>
              </w:rPr>
              <w:t>Nine Months Ended</w:t>
            </w:r>
          </w:p>
        </w:tc>
      </w:tr>
      <w:tr>
        <w:trPr>
          <w:trHeight w:val="20"/>
        </w:trPr>
        <w:tc>
          <w:tcPr>
            <w:tcW w:w="4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40" w:type="dxa"/>
            <w:vAlign w:val="bottom"/>
          </w:tcPr>
          <w:p>
            <w:pPr>
              <w:spacing w:after="0"/>
              <w:rPr>
                <w:sz w:val="17"/>
                <w:szCs w:val="17"/>
                <w:color w:val="auto"/>
              </w:rPr>
            </w:pPr>
          </w:p>
        </w:tc>
        <w:tc>
          <w:tcPr>
            <w:tcW w:w="3240" w:type="dxa"/>
            <w:vAlign w:val="bottom"/>
            <w:gridSpan w:val="5"/>
          </w:tcPr>
          <w:p>
            <w:pPr>
              <w:jc w:val="right"/>
              <w:ind w:right="220"/>
              <w:spacing w:after="0" w:line="196" w:lineRule="exact"/>
              <w:rPr>
                <w:sz w:val="20"/>
                <w:szCs w:val="20"/>
                <w:color w:val="auto"/>
              </w:rPr>
            </w:pPr>
            <w:r>
              <w:rPr>
                <w:rFonts w:ascii="Arial" w:cs="Arial" w:eastAsia="Arial" w:hAnsi="Arial"/>
                <w:sz w:val="18"/>
                <w:szCs w:val="18"/>
                <w:b w:val="1"/>
                <w:bCs w:val="1"/>
                <w:color w:val="auto"/>
              </w:rPr>
              <w:t>September 30,</w:t>
            </w:r>
          </w:p>
        </w:tc>
        <w:tc>
          <w:tcPr>
            <w:tcW w:w="142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rPr>
              <w:t>September 30,</w:t>
            </w:r>
          </w:p>
        </w:tc>
        <w:tc>
          <w:tcPr>
            <w:tcW w:w="1340" w:type="dxa"/>
            <w:vAlign w:val="bottom"/>
            <w:gridSpan w:val="4"/>
          </w:tcPr>
          <w:p>
            <w:pPr>
              <w:jc w:val="right"/>
              <w:ind w:right="24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128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w w:val="95"/>
              </w:rPr>
              <w:t>September 30,</w:t>
            </w:r>
          </w:p>
        </w:tc>
      </w:tr>
      <w:tr>
        <w:trPr>
          <w:trHeight w:val="20"/>
        </w:trPr>
        <w:tc>
          <w:tcPr>
            <w:tcW w:w="4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7"/>
                <w:szCs w:val="17"/>
                <w:color w:val="auto"/>
              </w:rPr>
            </w:pPr>
          </w:p>
        </w:tc>
        <w:tc>
          <w:tcPr>
            <w:tcW w:w="1340" w:type="dxa"/>
            <w:vAlign w:val="bottom"/>
            <w:gridSpan w:val="4"/>
          </w:tcPr>
          <w:p>
            <w:pPr>
              <w:jc w:val="right"/>
              <w:ind w:right="240"/>
              <w:spacing w:after="0" w:line="196" w:lineRule="exact"/>
              <w:rPr>
                <w:sz w:val="20"/>
                <w:szCs w:val="20"/>
                <w:color w:val="auto"/>
              </w:rPr>
            </w:pPr>
            <w:r>
              <w:rPr>
                <w:rFonts w:ascii="Arial" w:cs="Arial" w:eastAsia="Arial" w:hAnsi="Arial"/>
                <w:sz w:val="18"/>
                <w:szCs w:val="18"/>
                <w:b w:val="1"/>
                <w:bCs w:val="1"/>
                <w:color w:val="auto"/>
              </w:rPr>
              <w:t>2011</w:t>
            </w:r>
          </w:p>
        </w:tc>
        <w:tc>
          <w:tcPr>
            <w:tcW w:w="12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r>
      <w:tr>
        <w:trPr>
          <w:trHeight w:val="21"/>
        </w:trPr>
        <w:tc>
          <w:tcPr>
            <w:tcW w:w="4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3"/>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Client A</w:t>
            </w:r>
          </w:p>
        </w:tc>
        <w:tc>
          <w:tcPr>
            <w:tcW w:w="324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142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12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53"/>
        </w:trPr>
        <w:tc>
          <w:tcPr>
            <w:tcW w:w="4140" w:type="dxa"/>
            <w:vAlign w:val="bottom"/>
          </w:tcPr>
          <w:p>
            <w:pPr>
              <w:ind w:left="180"/>
              <w:spacing w:after="0"/>
              <w:rPr>
                <w:sz w:val="20"/>
                <w:szCs w:val="20"/>
                <w:color w:val="auto"/>
              </w:rPr>
            </w:pPr>
            <w:r>
              <w:rPr>
                <w:rFonts w:ascii="Arial" w:cs="Arial" w:eastAsia="Arial" w:hAnsi="Arial"/>
                <w:sz w:val="18"/>
                <w:szCs w:val="18"/>
                <w:color w:val="auto"/>
              </w:rPr>
              <w:t>* Net revenue did not exceed 10%</w:t>
            </w: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4140" w:type="dxa"/>
            <w:vAlign w:val="bottom"/>
          </w:tcPr>
          <w:p>
            <w:pPr>
              <w:spacing w:after="0"/>
              <w:rPr>
                <w:sz w:val="24"/>
                <w:szCs w:val="24"/>
                <w:color w:val="auto"/>
              </w:rPr>
            </w:pP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1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2010.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preferred approach is to use dedicated teams to achieve optimum results, but we can implement a range of resourcing models to suit client requirements, and increasingly our teams are flexibly applied to minimize costs for our clients.</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 highly fragmented industry, we are one of a small number of companies with the capability and expertise to conduct clinical trials in all major therapeutic areas on a global basis. Currently, we have approximately 8,350 employees, in 79 locations in 39 countries, providing Phase I - IV Clinical Trial Management, Drug Development Support Services, Data Management, Biostatistics, Central Laboratory, Imaging and Contract Staffing services.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using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September 30, 2011 we had a backlog of approximately $2.2 billion, compared with approximately $1.9 billion at December 31, 2010.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costs consist primarily of compensation, associated fringe benefits and share based compensation expense for project-related employees and other direct project driven costs. Selling, general and administrative expenses comprise compensation, related fringe benefits and share based compensation expense for non project-related employees, recruitment expenditure, professional service costs, advertising costs and all costs related to facilities and information systems.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2011 compared with Three Months Ended September 30, 2010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7"/>
          </w:tcPr>
          <w:p>
            <w:pPr>
              <w:jc w:val="right"/>
              <w:ind w:right="1180"/>
              <w:spacing w:after="0"/>
              <w:rPr>
                <w:sz w:val="20"/>
                <w:szCs w:val="20"/>
                <w:color w:val="auto"/>
              </w:rPr>
            </w:pPr>
            <w:r>
              <w:rPr>
                <w:rFonts w:ascii="Arial" w:cs="Arial" w:eastAsia="Arial" w:hAnsi="Arial"/>
                <w:sz w:val="18"/>
                <w:szCs w:val="18"/>
                <w:b w:val="1"/>
                <w:bCs w:val="1"/>
                <w:color w:val="auto"/>
                <w:w w:val="90"/>
              </w:rPr>
              <w:t>Three Months Ended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380" w:type="dxa"/>
            <w:vAlign w:val="bottom"/>
          </w:tcPr>
          <w:p>
            <w:pPr>
              <w:spacing w:after="0"/>
              <w:rPr>
                <w:sz w:val="17"/>
                <w:szCs w:val="17"/>
                <w:color w:val="auto"/>
              </w:rPr>
            </w:pPr>
          </w:p>
        </w:tc>
        <w:tc>
          <w:tcPr>
            <w:tcW w:w="31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7"/>
                <w:szCs w:val="17"/>
                <w:color w:val="auto"/>
              </w:rPr>
            </w:pPr>
          </w:p>
        </w:tc>
        <w:tc>
          <w:tcPr>
            <w:tcW w:w="1720" w:type="dxa"/>
            <w:vAlign w:val="bottom"/>
            <w:gridSpan w:val="4"/>
          </w:tcPr>
          <w:p>
            <w:pPr>
              <w:jc w:val="right"/>
              <w:ind w:right="620"/>
              <w:spacing w:after="0" w:line="196" w:lineRule="exact"/>
              <w:rPr>
                <w:sz w:val="20"/>
                <w:szCs w:val="20"/>
                <w:color w:val="auto"/>
              </w:rPr>
            </w:pPr>
            <w:r>
              <w:rPr>
                <w:rFonts w:ascii="Arial" w:cs="Arial" w:eastAsia="Arial" w:hAnsi="Arial"/>
                <w:sz w:val="18"/>
                <w:szCs w:val="18"/>
                <w:b w:val="1"/>
                <w:bCs w:val="1"/>
                <w:color w:val="auto"/>
                <w:w w:val="87"/>
              </w:rPr>
              <w:t>September 30,</w:t>
            </w:r>
          </w:p>
        </w:tc>
        <w:tc>
          <w:tcPr>
            <w:tcW w:w="8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5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196"/>
        </w:trPr>
        <w:tc>
          <w:tcPr>
            <w:tcW w:w="53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4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30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960" w:type="dxa"/>
            <w:vAlign w:val="bottom"/>
            <w:gridSpan w:val="2"/>
          </w:tcPr>
          <w:p>
            <w:pPr>
              <w:jc w:val="right"/>
              <w:ind w:right="620"/>
              <w:spacing w:after="0" w:line="196" w:lineRule="exact"/>
              <w:rPr>
                <w:sz w:val="20"/>
                <w:szCs w:val="20"/>
                <w:color w:val="auto"/>
              </w:rPr>
            </w:pPr>
            <w:r>
              <w:rPr>
                <w:rFonts w:ascii="Arial" w:cs="Arial" w:eastAsia="Arial" w:hAnsi="Arial"/>
                <w:sz w:val="18"/>
                <w:szCs w:val="18"/>
                <w:b w:val="1"/>
                <w:bCs w:val="1"/>
                <w:color w:val="auto"/>
                <w:w w:val="79"/>
              </w:rPr>
              <w:t>2010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3"/>
              </w:rPr>
              <w:t>to 2011</w:t>
            </w:r>
          </w:p>
        </w:tc>
      </w:tr>
      <w:tr>
        <w:trPr>
          <w:trHeight w:val="20"/>
        </w:trPr>
        <w:tc>
          <w:tcPr>
            <w:tcW w:w="5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196"/>
        </w:trPr>
        <w:tc>
          <w:tcPr>
            <w:tcW w:w="53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w w:val="84"/>
              </w:rPr>
              <w:t>Percentage</w:t>
            </w:r>
          </w:p>
        </w:tc>
      </w:tr>
      <w:tr>
        <w:trPr>
          <w:trHeight w:val="196"/>
        </w:trPr>
        <w:tc>
          <w:tcPr>
            <w:tcW w:w="53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7"/>
              </w:rPr>
              <w:t>Increase/</w:t>
            </w:r>
          </w:p>
        </w:tc>
      </w:tr>
      <w:tr>
        <w:trPr>
          <w:trHeight w:val="196"/>
        </w:trPr>
        <w:tc>
          <w:tcPr>
            <w:tcW w:w="53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120" w:type="dxa"/>
            <w:vAlign w:val="bottom"/>
            <w:gridSpan w:val="9"/>
          </w:tcPr>
          <w:p>
            <w:pPr>
              <w:jc w:val="right"/>
              <w:ind w:right="960"/>
              <w:spacing w:after="0" w:line="196" w:lineRule="exact"/>
              <w:rPr>
                <w:sz w:val="20"/>
                <w:szCs w:val="20"/>
                <w:color w:val="auto"/>
              </w:rPr>
            </w:pPr>
            <w:r>
              <w:rPr>
                <w:rFonts w:ascii="Arial" w:cs="Arial" w:eastAsia="Arial" w:hAnsi="Arial"/>
                <w:sz w:val="18"/>
                <w:szCs w:val="18"/>
                <w:b w:val="1"/>
                <w:bCs w:val="1"/>
                <w:color w:val="auto"/>
                <w:w w:val="91"/>
              </w:rPr>
              <w:t>Percentage of Net Revenue</w:t>
            </w:r>
          </w:p>
        </w:tc>
        <w:tc>
          <w:tcPr>
            <w:tcW w:w="8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w w:val="91"/>
              </w:rPr>
              <w:t>(decrease)</w:t>
            </w:r>
          </w:p>
        </w:tc>
      </w:tr>
      <w:tr>
        <w:trPr>
          <w:trHeight w:val="237"/>
        </w:trPr>
        <w:tc>
          <w:tcPr>
            <w:tcW w:w="5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w:t>
            </w:r>
          </w:p>
        </w:tc>
        <w:tc>
          <w:tcPr>
            <w:tcW w:w="3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Costs and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costs</w:t>
            </w:r>
          </w:p>
        </w:tc>
        <w:tc>
          <w:tcPr>
            <w:tcW w:w="3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3180" w:type="dxa"/>
            <w:vAlign w:val="bottom"/>
            <w:gridSpan w:val="5"/>
          </w:tcPr>
          <w:p>
            <w:pPr>
              <w:jc w:val="right"/>
              <w:spacing w:after="0"/>
              <w:rPr>
                <w:sz w:val="20"/>
                <w:szCs w:val="20"/>
                <w:color w:val="auto"/>
              </w:rPr>
            </w:pPr>
            <w:r>
              <w:rPr>
                <w:rFonts w:ascii="Arial" w:cs="Arial" w:eastAsia="Arial" w:hAnsi="Arial"/>
                <w:sz w:val="18"/>
                <w:szCs w:val="18"/>
                <w:color w:val="auto"/>
              </w:rPr>
              <w:t>29.7%</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26.7%</w:t>
            </w:r>
          </w:p>
        </w:tc>
        <w:tc>
          <w:tcPr>
            <w:tcW w:w="62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19.4%</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3180" w:type="dxa"/>
            <w:vAlign w:val="bottom"/>
            <w:gridSpan w:val="5"/>
          </w:tcPr>
          <w:p>
            <w:pPr>
              <w:jc w:val="right"/>
              <w:spacing w:after="0"/>
              <w:rPr>
                <w:sz w:val="20"/>
                <w:szCs w:val="20"/>
                <w:color w:val="auto"/>
              </w:rPr>
            </w:pPr>
            <w:r>
              <w:rPr>
                <w:rFonts w:ascii="Arial" w:cs="Arial" w:eastAsia="Arial" w:hAnsi="Arial"/>
                <w:sz w:val="18"/>
                <w:szCs w:val="18"/>
                <w:color w:val="auto"/>
              </w:rPr>
              <w:t>2.0%</w:t>
            </w:r>
          </w:p>
        </w:tc>
        <w:tc>
          <w:tcPr>
            <w:tcW w:w="140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(120.9)%</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 for the period increased by $15.7 million, or 7.0%, from $225.1 million for the three months ended September 30, 2010 to $240.8 million for the three months ended September 30, 2011. Net revenue in our clinical research segment increased by $11.0 million, or 5.2%, from $210.2 million for the three months ended September 30, 2010 to $221.2 million for the three months ended September 30, 2011. In our central laboratory business, net revenue increased by $4.7 million, or 31.5%, from $14.9 million for the three months ended September 30, 2010 to $19.6 million for the three months ended September 30, 2011. For the three months ended September 30, 2011 we derived approximately 43.2%, 43.8% and 13.0% of our net revenue in the United States, Europe and Rest of World,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Direct costs for the period increased by $18.8 million, or 13.5%, from $139.5 million for the three months ended September 30, 2010 to $158.3 million for the three months ended September 30, 2011. Direct costs in our clinical research segment increased by $20.8 million, or 16.7%, from $124.7 million for the three months ended September 30, 2010 to $145.5 million for the three months ended September 30, 2011. The Company has entered a number of strategic relationships with sponsors in recent months and further expanded operations in certain territories. This has necessitated significant upfront investment in personnel and related infrastructure in advance of anticipated revenue flows from this business. In our central laboratory business, direct costs decreased by $2.0 million, or 13.5%, from $14.8 million for the three months ended September 30, 2010 to $12.8 million for the three months ended September 30, 2011. The decrease in direct costs in our central laboratory business during the three months ended September 30, 2011 has resulted principally from a reduction in personnel related costs and laboratory costs during the period, a result of restructuring activities undertaken during the three months ended March 31, 2011 and ongoing cost management. Direct costs as a percentage of net revenue increased to 65.8% for the three months ended September 30, 2011 from 61.9% for the three months ended September 30, 2010.</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expense for the period increased by $11.6 million, or 19.3%, from $60.0 million for the three months ended September 30, 2010 to $71.6 million for the three months ended September 30, 2011. The increase in selling, general and administrative expense for the period arose primarily from an increase in personnel related expenditure of $6.5 million, including increases in recruitment expenditure, travel costs for non project-related employees and key employee retention costs, an increase in facility and information systems costs of $4.7 million, an increase in professional service costs of $3.2 million, and an increase in other general overhead costs of $0.6million. As a percentage of net revenue, selling, general and administrative expenses increased from 26.7% for the three months ended September 30, 2010 to 29.7% for the three months ended September 30, 2011.</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Depreciation and amortization expense for the period increased by $1.7 million, or 21.3%, from $8.0 million for the three months ended September 30, 2010 to $9.7 million for the three months ended September 30, 2011. As a percentage of net revenue, depreciation and amortization expense increased from 3.6% for the three months ended September 30, 2010 to 4.0% for the three months ended September 30, 2011.</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an initial restructuring plan (the “Q1 Restructuring Plan”), the closure of the Company’s facility in Edinburgh, United Kingdom and resource rationalizations in certain of the more mature markets in which it operates. A restructuring charge of $5.0 million in respect of this plan was recognized during the three months ended March 31, 2011, $1.0 million in respect of lease termination and exit costs associated with the closure of the Edinburgh facility and $4.0 million in respect of workforce reductions. $3.5 million of costs recognised under the Q1 Restructuring Plan related to the clinical research segment, while $1.5 million related to our central laboratory business. During the three months ended September 30, 2011 the Company implemented a further restructuring plan (the “Q3 Restructuring Plan”) which resulted in the relocation of the Company’s facility in Maryland, USA; and further resource rationalizations. A restructuring charge of $4.8 million was recognized during the three months ended September 30, 2011 in respect of this plan, $0.9 million in respect of lease termination and exit costs associated with the closure of the existing Maryland facility and $3.9 million in respect of workforce reductions. All costs recognised under the Q3 Restructuring Plan related to the clinical research segment.</w:t>
      </w: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the above, income from operations for the period decreased by $21.3 million, from $17.6 million for the three months ended September 30, 2010 to ($3.7) million for the three months ended September 30, 2011. As a percentage of net revenue, income from operations decreased from 7.8% for the three months ended September 30, 2010 to (1.5)% for the three months ended September 30, 2011. In our clinical research segment, income from operations decreased from 12.0% of net revenue for the three months ended September 30, 2010 to (1.7)% of net revenue for the three months ended September 30, 2011, a result of our significant upfront investment in personnel in this business. In our central laboratory business, income/(loss) from operations was (50.9)% for the three months ended September 30, 2010 compared to a 0.6% for the three months ended September 30, 2011. The improvement in performance in our central laboratory business during the three months ended September 30, 2011 has resulted from a combination of revenue flows from increased business wins in recent quarters, restructuring activities undertaken during the three months ended March 31, 2011 and ongoing cost management.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spacing w:after="0" w:line="297" w:lineRule="auto"/>
        <w:rPr>
          <w:sz w:val="20"/>
          <w:szCs w:val="20"/>
          <w:color w:val="auto"/>
        </w:rPr>
      </w:pPr>
      <w:r>
        <w:rPr>
          <w:rFonts w:ascii="Arial" w:cs="Arial" w:eastAsia="Arial" w:hAnsi="Arial"/>
          <w:sz w:val="16"/>
          <w:szCs w:val="16"/>
          <w:color w:val="auto"/>
        </w:rPr>
        <w:t>Excluding the impact of restructuring charges recognized during the three months ended September 30, 2011, income from operations decreased by $16.5 million, from $17.6 million for the three months ended September 30, 2010 to $1.1 million for the three months ended September 30, 2011. As a percentage of net revenue, income from operations excluding restructuring costs decreased from 7.8% for the three months ended September 30, 2010 to 0.5% for the three months ended September 30, 2011. In our clinical research segment, income from operations excluding restructuring costs decreased from 12.0% of net revenue for the three months ended September 30, 2010 to 0.5% of net revenue for the three months ended September 30, 2011.</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for the period decreased from $0.3 million for the three months ended September 30, 2010 to $0.2 million for the three months ended September 30, 2011. This decrease arose from reduced commitment fees payable on negotiated facilities, arising from the reduction in amounts available to draw under such facilities over the period since September 30, 2010. Interest income for the three months ended September 30, 2011 decreased from $0.5 million for the three months ended September 30, 2010 to $0.4 million for the three months ended September 30, 2011.</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 for income taxes for the period decreased from a net tax credit of $2.0 million for the three months ended September 30, 2010 to a net tax credit of $0.9 million for the three months ended September 30, 2011. During the three months ended September 30, 2011 the Company released $2.0 million in provisions for unrecognized tax benefits, arising from both the settlement of positions with the relevant tax authorities and the expiration of the relevant statute of limitations in certain jurisdictions, allowing for the recognition of these benefits during the three months ended September 30, 2011. During the three months ended September 30, 2010, the Company released $6.0 million in provisions for unrecognized tax benefits, arising from both the settlement of positions with the relevant tax authorities and the expiration of the relevant statute of limitations in certain jurisdictions, allowing for the recognition of these benefits during the three months ended September 30, 2010.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2011 compared with Nine Months Ended September 30, 2010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8"/>
          </w:tcPr>
          <w:p>
            <w:pPr>
              <w:jc w:val="right"/>
              <w:ind w:right="1220"/>
              <w:spacing w:after="0"/>
              <w:rPr>
                <w:sz w:val="20"/>
                <w:szCs w:val="20"/>
                <w:color w:val="auto"/>
              </w:rPr>
            </w:pPr>
            <w:r>
              <w:rPr>
                <w:rFonts w:ascii="Arial" w:cs="Arial" w:eastAsia="Arial" w:hAnsi="Arial"/>
                <w:sz w:val="18"/>
                <w:szCs w:val="18"/>
                <w:b w:val="1"/>
                <w:bCs w:val="1"/>
                <w:color w:val="auto"/>
                <w:w w:val="90"/>
              </w:rPr>
              <w:t>Nine Months Ended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20" w:type="dxa"/>
            <w:vAlign w:val="bottom"/>
            <w:gridSpan w:val="5"/>
          </w:tcPr>
          <w:p>
            <w:pPr>
              <w:jc w:val="right"/>
              <w:ind w:right="360"/>
              <w:spacing w:after="0" w:line="196" w:lineRule="exact"/>
              <w:rPr>
                <w:sz w:val="20"/>
                <w:szCs w:val="20"/>
                <w:color w:val="auto"/>
              </w:rPr>
            </w:pPr>
            <w:r>
              <w:rPr>
                <w:rFonts w:ascii="Arial" w:cs="Arial" w:eastAsia="Arial" w:hAnsi="Arial"/>
                <w:sz w:val="18"/>
                <w:szCs w:val="18"/>
                <w:b w:val="1"/>
                <w:bCs w:val="1"/>
                <w:color w:val="auto"/>
                <w:w w:val="88"/>
              </w:rPr>
              <w:t>September 30</w:t>
            </w:r>
          </w:p>
        </w:tc>
        <w:tc>
          <w:tcPr>
            <w:tcW w:w="1840" w:type="dxa"/>
            <w:vAlign w:val="bottom"/>
            <w:gridSpan w:val="5"/>
          </w:tcPr>
          <w:p>
            <w:pPr>
              <w:jc w:val="right"/>
              <w:ind w:right="800"/>
              <w:spacing w:after="0" w:line="196" w:lineRule="exact"/>
              <w:rPr>
                <w:sz w:val="20"/>
                <w:szCs w:val="20"/>
                <w:color w:val="auto"/>
              </w:rPr>
            </w:pPr>
            <w:r>
              <w:rPr>
                <w:rFonts w:ascii="Arial" w:cs="Arial" w:eastAsia="Arial" w:hAnsi="Arial"/>
                <w:sz w:val="18"/>
                <w:szCs w:val="18"/>
                <w:b w:val="1"/>
                <w:bCs w:val="1"/>
                <w:color w:val="auto"/>
                <w:w w:val="86"/>
              </w:rPr>
              <w:t>September 30</w:t>
            </w:r>
          </w:p>
        </w:tc>
        <w:tc>
          <w:tcPr>
            <w:tcW w:w="8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20" w:type="dxa"/>
            <w:vAlign w:val="bottom"/>
            <w:gridSpan w:val="5"/>
          </w:tcPr>
          <w:p>
            <w:pPr>
              <w:jc w:val="right"/>
              <w:ind w:right="360"/>
              <w:spacing w:after="0" w:line="196" w:lineRule="exact"/>
              <w:rPr>
                <w:sz w:val="20"/>
                <w:szCs w:val="20"/>
                <w:color w:val="auto"/>
              </w:rPr>
            </w:pPr>
            <w:r>
              <w:rPr>
                <w:rFonts w:ascii="Arial" w:cs="Arial" w:eastAsia="Arial" w:hAnsi="Arial"/>
                <w:sz w:val="18"/>
                <w:szCs w:val="18"/>
                <w:b w:val="1"/>
                <w:bCs w:val="1"/>
                <w:color w:val="auto"/>
              </w:rPr>
              <w:t>2011</w:t>
            </w:r>
          </w:p>
        </w:tc>
        <w:tc>
          <w:tcPr>
            <w:tcW w:w="10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83"/>
              </w:rPr>
              <w:t>to 2011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Borders>
              <w:bottom w:val="single" w:sz="8" w:color="auto"/>
            </w:tcBorders>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gridSpan w:val="9"/>
          </w:tcPr>
          <w:p>
            <w:pPr>
              <w:jc w:val="right"/>
              <w:ind w:right="960"/>
              <w:spacing w:after="0" w:line="196" w:lineRule="exact"/>
              <w:rPr>
                <w:sz w:val="20"/>
                <w:szCs w:val="20"/>
                <w:color w:val="auto"/>
              </w:rPr>
            </w:pPr>
            <w:r>
              <w:rPr>
                <w:rFonts w:ascii="Arial" w:cs="Arial" w:eastAsia="Arial" w:hAnsi="Arial"/>
                <w:sz w:val="18"/>
                <w:szCs w:val="18"/>
                <w:b w:val="1"/>
                <w:bCs w:val="1"/>
                <w:color w:val="auto"/>
                <w:w w:val="87"/>
              </w:rPr>
              <w:t>Percentage of Net Revenue</w:t>
            </w:r>
          </w:p>
        </w:tc>
        <w:tc>
          <w:tcPr>
            <w:tcW w:w="860" w:type="dxa"/>
            <w:vAlign w:val="bottom"/>
            <w:gridSpan w:val="6"/>
          </w:tcPr>
          <w:p>
            <w:pPr>
              <w:jc w:val="right"/>
              <w:ind w:right="20"/>
              <w:spacing w:after="0" w:line="196" w:lineRule="exact"/>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w:t>
            </w:r>
          </w:p>
        </w:tc>
        <w:tc>
          <w:tcPr>
            <w:tcW w:w="342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84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Costs and expenses: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costs</w:t>
            </w:r>
          </w:p>
        </w:tc>
        <w:tc>
          <w:tcPr>
            <w:tcW w:w="342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64.5%</w:t>
            </w:r>
          </w:p>
        </w:tc>
        <w:tc>
          <w:tcPr>
            <w:tcW w:w="184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60.2%</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3420" w:type="dxa"/>
            <w:vAlign w:val="bottom"/>
            <w:gridSpan w:val="6"/>
          </w:tcPr>
          <w:p>
            <w:pPr>
              <w:jc w:val="right"/>
              <w:ind w:right="200"/>
              <w:spacing w:after="0"/>
              <w:rPr>
                <w:sz w:val="20"/>
                <w:szCs w:val="20"/>
                <w:color w:val="auto"/>
              </w:rPr>
            </w:pPr>
            <w:r>
              <w:rPr>
                <w:rFonts w:ascii="Arial" w:cs="Arial" w:eastAsia="Arial" w:hAnsi="Arial"/>
                <w:sz w:val="18"/>
                <w:szCs w:val="18"/>
                <w:color w:val="auto"/>
              </w:rPr>
              <w:t>26.9%</w:t>
            </w:r>
          </w:p>
        </w:tc>
        <w:tc>
          <w:tcPr>
            <w:tcW w:w="1840" w:type="dxa"/>
            <w:vAlign w:val="bottom"/>
            <w:gridSpan w:val="5"/>
          </w:tcPr>
          <w:p>
            <w:pPr>
              <w:jc w:val="right"/>
              <w:ind w:right="640"/>
              <w:spacing w:after="0"/>
              <w:rPr>
                <w:sz w:val="20"/>
                <w:szCs w:val="20"/>
                <w:color w:val="auto"/>
              </w:rPr>
            </w:pPr>
            <w:r>
              <w:rPr>
                <w:rFonts w:ascii="Arial" w:cs="Arial" w:eastAsia="Arial" w:hAnsi="Arial"/>
                <w:sz w:val="18"/>
                <w:szCs w:val="18"/>
                <w:color w:val="auto"/>
              </w:rPr>
              <w:t>25.6%</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2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84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3.7%</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One-time net charges</w:t>
            </w:r>
          </w:p>
        </w:tc>
        <w:tc>
          <w:tcPr>
            <w:tcW w:w="3420" w:type="dxa"/>
            <w:vAlign w:val="bottom"/>
            <w:gridSpan w:val="6"/>
          </w:tcPr>
          <w:p>
            <w:pPr>
              <w:jc w:val="right"/>
              <w:ind w:right="200"/>
              <w:spacing w:after="0"/>
              <w:rPr>
                <w:sz w:val="20"/>
                <w:szCs w:val="20"/>
                <w:color w:val="auto"/>
              </w:rPr>
            </w:pPr>
            <w:r>
              <w:rPr>
                <w:rFonts w:ascii="Arial" w:cs="Arial" w:eastAsia="Arial" w:hAnsi="Arial"/>
                <w:sz w:val="18"/>
                <w:szCs w:val="18"/>
                <w:color w:val="auto"/>
              </w:rPr>
              <w:t>1.4%</w:t>
            </w:r>
          </w:p>
        </w:tc>
        <w:tc>
          <w:tcPr>
            <w:tcW w:w="1840" w:type="dxa"/>
            <w:vAlign w:val="bottom"/>
            <w:gridSpan w:val="5"/>
          </w:tcPr>
          <w:p>
            <w:pPr>
              <w:jc w:val="right"/>
              <w:ind w:right="640"/>
              <w:spacing w:after="0"/>
              <w:rPr>
                <w:sz w:val="20"/>
                <w:szCs w:val="20"/>
                <w:color w:val="auto"/>
              </w:rPr>
            </w:pPr>
            <w:r>
              <w:rPr>
                <w:rFonts w:ascii="Arial" w:cs="Arial" w:eastAsia="Arial" w:hAnsi="Arial"/>
                <w:sz w:val="18"/>
                <w:szCs w:val="18"/>
                <w:color w:val="auto"/>
              </w:rPr>
              <w:t>0.0%</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42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84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10.5%</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 for the period increased by $35.1 million, or 5.3%, from $668.0 million for the nine months ended September 30, 2010 to $703.1 million for the nine months ended September 30, 2011. Net revenue in our clinical research segment increased by $29.0 million, or 4.7%, from $621.2 million for the nine months ended September 30, 2010 to $650.2 million for the nine months ended September 30, 2011. In our central laboratory business, net revenue increased by $6.1 million, or 13.0%, from $46.8 million for the nine months ended September 30, 2010 to $52.9 million for the nine months ended September 30, 2011. For the nine months ended September 30, 2011 we derived approximately 41.3%, 46.4% and 12.3% of our net revenue in the United States, Europe and Rest of World,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color w:val="auto"/>
        </w:rPr>
        <w:t>Direct costs for the period increased by $52.1 million, or 13.0%, from $401.6 million for the nine months ended September 30, 2010 to $453.7 million for the nine months ended September 30, 2011. Direct costs in our clinical research segment increased by $48.9 million, or 13.3%, from $367.7 million for the nine months ended September 30, 2010 to $416.6 million for the nine months ended September 30, 2011. The Company has entered a number of strategic relationships with sponsors in recent months and further expanded operations in certain territories. This has necessitated significant upfront investment in personnel and related infrastructure in advance of anticipated revenue flows from this business. In our central laboratory business, direct costs increased by $3.2 million, or 9.4%, from $33.9 million for the nine months ended September 30, 2010 to $37.1 million for the nine months ended September 30, 2011. Direct costs as a percentage of net revenue increased from 60.2% for the nine months ended September 30, 2010 to 64.5% for the nine months ended September 30, 2011.</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 for the period increased by $17.7 million, or 10.3%, from $171.2 million for the nine months ended September 30, 2010 to $188.9 million for the nine months ended September 30, 2011. The increase in selling, general and administrative expense for the period arose primarily from an increase in facilities and information costs of $10.5 million, an increase in personnel related expenditure of $6.4 million, including increases in recruitment expenditure, travel costs associated with non project-related employees and key employee retention costs, an increase in professional service costs of $8.7 million and an increase in other general overhead costs of $0.5 million. These increases were offset by the release of certain non-recurring tax related provisions of approximately $6.0 million in both our clinical research and central laboratory businesses, arising from the receipt of additional information in relation to these items As a percentage of net revenue, selling, general and administrative expense, increased from 25.6% for the nine months ended September 30, 2010 to 26.9% for the nine months ended September 30, 2011.</w:t>
      </w:r>
    </w:p>
    <w:p>
      <w:pPr>
        <w:spacing w:after="0" w:line="20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Depreciation and amortization expense for the period increased by $3.0 million, or 12.0%, from $25.0 million for the nine months ended September 30, 2010 to $28.0 million for the nine months ended September 30, 2011. As a percentage of net revenue, depreciation and amortization expense increased from 3.7% for the nine months ended September 30, 2010 to 4.0% for the nine months ended September 30, 2011.</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an initial restructuring plan (the “Q1 Restructuring Plan”), the closure of the Company’s facility in Edinburgh, United Kingdom and resource rationalizations in certain of the more mature markets in which it operates. A restructuring charge of $5.0 million in respect of this plan was recognized during the three months ended March 31, 2011, $1.0 million in respect of lease termination and exit costs associated with the closure of the Edinburgh facility and $4.0 million in respect of workforce reductions. $3.5 million of costs recognised under the Q1 Restructuring Plan related to the clinical research segment, while $1.5 million related to our central laboratory business. During the three months ended September 30, 2011 the Company implemented a further restructuring plan (the “Q3 Restructuring Plan”) which resulted in the relocation of the Company’s facility in Maryland, USA; and further resource rationalizations. A restructuring charge of $4.8 million was recognized during the three months ended September 30, 2011 in respect of this plan, $0.9 million in respect of lease termination and exit costs associated with the closure of the existing Maryland facility and $3.9 million in respect of workforce reductions. All costs recognised under the Q3 Restructuring Plan related to the clinical research segment.</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above, income from operations for the period decreased by $47.3 million, from $70.1 million for the nine months ended September 30, 2010 to $22.8 million for the nine months ended September 30, 2011. As a percentage of net revenue, income from operations decreased from 10.5% for the nine months ended September 30, 2010 to 3.2% for the nine months ended September 31, 2011. In our clinical research segment, income from operations as a percentage of net revenue decreased from 12.7% for the nine months ended September 30, 2010 to 4.1% for the nine months ended September 30, 2011. In our central laboratory business, income/(loss) from operations was (18.5)% for the nine months ended September 30, 2010 compared to (6.7)% for the nine months ended September 30, 2011.</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Excluding the impact of restructuring charges recognized during the nine months ended September 30, 2011 income from operations decreased by $37.5 million, from $70.1 million for the nine months ended September 30, 2010 to $32.6 million for the nine months ended September 30, 2011. As a percentage of net revenue, income from operations excluding restructuring costs decreased from 10.5% for the nine months ended September 30, 2010 to 4.6% for the nine months ended September 30, 2011. In our clinical research segment, income from operations excluding restructuring costs decreased from 12.7% of net revenue for the nine months ended September 30, 2010 to 5.3% of net revenue for the nine months ended September 30, 2011, a result of our continued investment in personnel in this business. In our central laboratory business, income/(loss) from operations excluding restructuring charges was (18.5)% of net revenue for the nine months ended September 30, 2010 compared to (3.8)% of net revenue for the nine months ended September 30, 2011.</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decreased from $1.0 million for the nine months ended September 30, 2010 to $0.6 million for the nine months ended September 30, 2011. This decrease arose from reduced commitment fees payable on negotiated facilities, arising from the reduction in amounts available to draw under such facilities over the period since September 30, 2010. Interest income for the period decreased from $1.2 million for the nine months ended September 30, 2010 to $0.9 million for the nine months ended September 30, 2011.</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Provision for income taxes for the period decreased from $5.2 million for the nine months ended September 30, 2010 to $4.3 million for the nine months ended September 30, 2011. During the nine months ended September 30, 2011 the Company released $2.0 million in provisions for unrecognized tax benefits, arising from both the settlement of positions with the relevant tax authorities and the expiration of the relevant statute of limitations in certain jurisdictions, allowing for the recognition of these benefits during the nine months ended September 30, 2011. During the nine months ended September 30, 2010 the Company released $6.0 million in provisions for unrecognized tax benefits, arising from both the settlement of positions with the relevant tax authorities and the expiration of the relevant statute of limitations in certain jurisdictions, allowing for the recognition of these benefits during the nine months ended September 30, 2010. Excluding the impact of the release of provisions for uncertain tax benefits the Company’s effective tax rate for the nine months ended September 30, 2011 was 27.4% compared with 16.0% for the nine months ended September 30, 2010. The Company’s effective tax rate is primarily a function of the distribution of pre-tax profits amongst the territories in which it operates.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cash and short-term investment balances at September 30, 2011 amounted to $166.1 million compared with cash and short-term investment balances of $255.7 million at December 31, 2010. The Company’s cash and short-term investment balances at September 30, 2011 comprised cash and cash equivalents $126.8 million and short-term investments $39.3 million. The Company’s cash and short-term investment balances at December 31, 2010 comprised cash and cash equivalents $255.7 million. Additional amounts available to the Group under negotiated facilities amounted to $150.0 million at September 30, 2011 compared to $55.9 million at December 31, 2010.</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operating activities was $17.6 million for the nine months ended September 30, 2011 compared with net cash provided by operating activities of $55.5 million for the nine months ended September 30, 2010.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decrease in cash flow from operating activities during the nine months ended September 30, 2011 arose primarily from a decrease in net income together with an increase in the number of days revenue outstanding during the period. The number of days revenue outstanding at September 30, 2011 was 52 days compared to 37 days at December 31, 2010.</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investing activities was $118.7 million for the nine months ended September 30, 2011 compared to net cash provided by investing activities of $21.9 million for the nine months ended September 30, 2010. Net cash used in/provided by investing activities comprises primarily of capital expenditure, the purchase and sale of short-term investments and cash paid for acquisitions. Capital expenditure for the nine months ended September 30, 2011 amounted to $24.6 million, compared to $23.9 million for the nine months ended September 30, 2010 and comprised primarily of expenditure on global infrastructure and information technology systems to support the Company’s growth. During the nine months ended September 30, 2010 the Company realized a net $49.2 million from the sale of its short-term investments. Amounts realized from the sale of short-term investments during the nine months ended September 30, 2010 were reinvested in cash equivalents. During the nine months ended September 30, 2011 the Company invested a net $39.6 million in short-term investments.</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Cash paid for acquisitions during the nine months ended September 30, 2011 amounted to $62.8 million compared to cash paid for acquisitions of $3.4 million during the nine months ended September 30, 2010. On January 14, 2011 the Company acquired approximately 80% of the common stock of Oxford Outcomes Limited, a leading international health outcomes consultancy business, headquartered in Oxford, United Kingdom for an initial cash consideration of £17.8 million ($27.7 million). Cash acquired on the acquisition of Oxford amount to £4.0 million ($6.3 million). Further consideration of up to £6.5 million ($10.2 million) may become payable during the period to 31 March 2012 if certain performance milestones are achieved. In July 2011 the Company paid £3.3 million ($5.2 million) in respect of the first element of this additional consideration. £3.2 million ($5.0 million) was accrued at September 30, 2011 in respect of the remaining performance milestones. In addition, the acquisition agreement provided for certain working capital targets to be achieved by Oxford Outcomes Limited on completion. In May 2011 the Company paid an additional £3.3 million ($5.5 million) on completion of this review.</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14, 2011 a put and call option was also agreed between the Company and the selling shareholders for the acquisition of the remaining common stock of Oxford Outcomes Limited during the year ended December 31, 2011 for cash consideration of £3.8 million ($6.0 million). Further consideration of up to £1.5 million ($2.3 million) relating to this remaining common stock may become payable during the period to March 31, 2012 if certain performance milestones are achieved. £3.8 million ($6.0 million) was accrued at September 30, 2011 in respect of the additional consideration payable relating to this option and a further £1.5 million ($2.3 million) was accrued relating to the potential additional consideration payable in respect of the performance milestones. On October 20, 2011 this option was exercised and £3.8 million ($6.0 million) was paid by the Company to the selling shareholders together with a further £0.7 million ($1.1 million) in respect of the first element of amounts due in respect of the performance milestones.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On July 14, 2011 the Company acquired 100% of the common stock of Firecrest Clinical Limited (“Firecrest”), a market leading provider of technology solutions that boost investigator site performance and study management, for an initial cash consideration of €17.0 million ($24.4 million). Cash acquired on the acquisition of Firecrest amounted to $2.0 million. Further consideration of up to €33.0 million ($44.9 million) may become payable if certain performance milestones are achieved in the period to 30 June 2013. At September 30, 2011 the Company has accrued €32.7 million ($44.4 million) in relation to these performance milestones.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17, 2010 the Company acquired Timaq Medical Imaging, a European provider of advanced imaging services to the pharmaceutical and biotechnology industry, located in Zurich, Switzerland for an initial cash consideration of CHF 1.3 million ($1.2 million). Certain performance milestones were built into the acquisition agreement requiring potential additional consideration of up to CHF 2.9 million ($3.1 million) if these milestones are achieved during the years ended 31 December 2010 to 31 December 2013. On 31 December 2010 CHF 0.3 million ($0.3 million) was paid to the former shareholders in respect of certain milestones for the year ended 31 December 2010. CHF 2.6 million ($2.9 million) remains accrued in relation to the remaining milestones at 30 September 2011.</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2008, the Company acquired 100% of the common stock of Healthcare Discoveries Inc. for an initial cash consideration of $11.1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On September 3, 2010, $2.2 million was paid to the former shareholders of Healthcare Discoveries Inc. in full and final settlement of the outstanding consideration payable.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nine months ended September 30, 2011 amounted to $3.4 million compared with net cash provided by financing activities of $13.7 million for the nine months ended September 30, 2010. Net cash provided by financing activities in both periods arose primarily from the exercise of stock options.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cash flows, cash and cash equivalents decreased by $128.9 million during the nine months ended September 30, 2011 compared to an increase of $86.5 million during the nine months ended September 30, 2010.</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20, 2011 the Company agreed a three year committed multi currency revolving credit facility for $150.0 million with Citibank, JP Morgan, Ulster Bank, Deutsche Bank and Barclays Bank. Each bank subject to the agreement has committed an equal amount of $30 million to the facility, with equal terms and conditions in place with all institutions. The facility bears interest at LIBOR plus a margin and is secured by certain composite guarantees, indemnities and pledges in favour of the banks. This facility replaced all facilities previously in place with Bank of Ireland, AIB, Citibank and JP Morgan.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655"/>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56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Date: November 10, 2011</w:t>
            </w:r>
          </w:p>
        </w:tc>
        <w:tc>
          <w:tcPr>
            <w:tcW w:w="45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2019-12-10T17:56:10Z</dcterms:created>
  <dcterms:modified xsi:type="dcterms:W3CDTF">2019-12-10T17:56:10Z</dcterms:modified>
</cp:coreProperties>
</file>