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0"/>
        <w:spacing w:after="0"/>
        <w:rPr>
          <w:sz w:val="20"/>
          <w:szCs w:val="20"/>
          <w:color w:val="auto"/>
        </w:rPr>
      </w:pPr>
      <w:r>
        <w:rPr>
          <w:rFonts w:ascii="Courier New" w:cs="Courier New" w:eastAsia="Courier New" w:hAnsi="Courier New"/>
          <w:sz w:val="15"/>
          <w:szCs w:val="15"/>
          <w:color w:val="auto"/>
        </w:rPr>
        <w:t>FORM 6-K</w:t>
      </w:r>
    </w:p>
    <w:p>
      <w:pPr>
        <w:spacing w:after="0" w:line="33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099"/>
        <w:spacing w:after="0"/>
        <w:rPr>
          <w:sz w:val="20"/>
          <w:szCs w:val="20"/>
          <w:color w:val="auto"/>
        </w:rPr>
      </w:pPr>
      <w:r>
        <w:rPr>
          <w:rFonts w:ascii="Courier New" w:cs="Courier New" w:eastAsia="Courier New" w:hAnsi="Courier New"/>
          <w:sz w:val="15"/>
          <w:szCs w:val="15"/>
          <w:color w:val="auto"/>
        </w:rPr>
        <w:t>Pursuant to Rule 13a - 16 under</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fiscal year ended May 31, 2003</w:t>
      </w:r>
    </w:p>
    <w:p>
      <w:pPr>
        <w:spacing w:after="0" w:line="33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ind w:left="2720"/>
        <w:spacing w:after="0"/>
        <w:rPr>
          <w:sz w:val="20"/>
          <w:szCs w:val="20"/>
          <w:color w:val="auto"/>
        </w:rPr>
      </w:pPr>
      <w:r>
        <w:rPr>
          <w:rFonts w:ascii="Courier New" w:cs="Courier New" w:eastAsia="Courier New" w:hAnsi="Courier New"/>
          <w:sz w:val="15"/>
          <w:szCs w:val="15"/>
          <w:color w:val="auto"/>
        </w:rPr>
        <w:t>(Registrant's name)</w:t>
      </w:r>
    </w:p>
    <w:p>
      <w:pPr>
        <w:spacing w:after="0" w:line="338"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0-29714</w:t>
      </w:r>
    </w:p>
    <w:p>
      <w:pPr>
        <w:ind w:left="2460"/>
        <w:spacing w:after="0"/>
        <w:rPr>
          <w:sz w:val="20"/>
          <w:szCs w:val="20"/>
          <w:color w:val="auto"/>
        </w:rPr>
      </w:pPr>
      <w:r>
        <w:rPr>
          <w:rFonts w:ascii="Courier New" w:cs="Courier New" w:eastAsia="Courier New" w:hAnsi="Courier New"/>
          <w:sz w:val="15"/>
          <w:szCs w:val="15"/>
          <w:color w:val="auto"/>
        </w:rPr>
        <w:t>(Commission file number)</w:t>
      </w:r>
    </w:p>
    <w:p>
      <w:pPr>
        <w:spacing w:after="0" w:line="33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0" w:lineRule="exact"/>
        <w:rPr>
          <w:sz w:val="24"/>
          <w:szCs w:val="24"/>
          <w:color w:val="auto"/>
        </w:rPr>
      </w:pPr>
    </w:p>
    <w:p>
      <w:pPr>
        <w:ind w:left="1480"/>
        <w:spacing w:after="0"/>
        <w:tabs>
          <w:tab w:leader="none" w:pos="446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4"/>
          <w:szCs w:val="14"/>
          <w:color w:val="auto"/>
        </w:rPr>
        <w:t>No_______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0" w:lineRule="exact"/>
        <w:rPr>
          <w:sz w:val="24"/>
          <w:szCs w:val="24"/>
          <w:color w:val="auto"/>
        </w:rPr>
      </w:pPr>
    </w:p>
    <w:p>
      <w:pPr>
        <w:ind w:left="1480"/>
        <w:spacing w:after="0"/>
        <w:tabs>
          <w:tab w:leader="none" w:pos="446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5" w:lineRule="exact"/>
        <w:rPr>
          <w:sz w:val="24"/>
          <w:szCs w:val="24"/>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0" w:lineRule="exact"/>
        <w:rPr>
          <w:sz w:val="24"/>
          <w:szCs w:val="24"/>
          <w:color w:val="auto"/>
        </w:rPr>
      </w:pPr>
    </w:p>
    <w:p>
      <w:pPr>
        <w:ind w:left="1480"/>
        <w:spacing w:after="0"/>
        <w:tabs>
          <w:tab w:leader="none" w:pos="446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5" w:lineRule="exact"/>
        <w:rPr>
          <w:sz w:val="24"/>
          <w:szCs w:val="24"/>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480"/>
        <w:spacing w:after="0"/>
        <w:tabs>
          <w:tab w:leader="none" w:pos="4460" w:val="left"/>
        </w:tabs>
        <w:rPr>
          <w:sz w:val="20"/>
          <w:szCs w:val="20"/>
          <w:color w:val="auto"/>
        </w:rPr>
      </w:pPr>
      <w:r>
        <w:rPr>
          <w:rFonts w:ascii="Courier New" w:cs="Courier New" w:eastAsia="Courier New" w:hAnsi="Courier New"/>
          <w:sz w:val="15"/>
          <w:szCs w:val="15"/>
          <w:color w:val="auto"/>
        </w:rPr>
        <w:t>Yes_______</w:t>
      </w:r>
      <w:r>
        <w:rPr>
          <w:sz w:val="20"/>
          <w:szCs w:val="20"/>
          <w:color w:val="auto"/>
        </w:rPr>
        <w:tab/>
      </w:r>
      <w:r>
        <w:rPr>
          <w:rFonts w:ascii="Courier New" w:cs="Courier New" w:eastAsia="Courier New" w:hAnsi="Courier New"/>
          <w:sz w:val="14"/>
          <w:szCs w:val="14"/>
          <w:color w:val="auto"/>
        </w:rPr>
        <w:t>No___X___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ectPr>
          <w:pgSz w:w="11900" w:h="16838" w:orient="portrait"/>
          <w:cols w:equalWidth="0" w:num="1">
            <w:col w:w="10219"/>
          </w:cols>
          <w:pgMar w:left="240" w:top="2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ICON plc</w:t>
            </w:r>
          </w:p>
        </w:tc>
        <w:tc>
          <w:tcPr>
            <w:tcW w:w="340" w:type="dxa"/>
            <w:vAlign w:val="bottom"/>
          </w:tcPr>
          <w:p>
            <w:pPr>
              <w:spacing w:after="0"/>
              <w:rPr>
                <w:sz w:val="14"/>
                <w:szCs w:val="14"/>
                <w:color w:val="auto"/>
              </w:rPr>
            </w:pPr>
          </w:p>
        </w:tc>
      </w:tr>
      <w:tr>
        <w:trPr>
          <w:trHeight w:val="339"/>
        </w:trPr>
        <w:tc>
          <w:tcPr>
            <w:tcW w:w="2820" w:type="dxa"/>
            <w:vAlign w:val="bottom"/>
          </w:tcPr>
          <w:p>
            <w:pPr>
              <w:ind w:left="2200"/>
              <w:spacing w:after="0"/>
              <w:rPr>
                <w:sz w:val="20"/>
                <w:szCs w:val="20"/>
                <w:color w:val="auto"/>
              </w:rPr>
            </w:pPr>
            <w:r>
              <w:rPr>
                <w:rFonts w:ascii="Courier New" w:cs="Courier New" w:eastAsia="Courier New" w:hAnsi="Courier New"/>
                <w:sz w:val="15"/>
                <w:szCs w:val="15"/>
                <w:color w:val="auto"/>
              </w:rPr>
              <w:t>Fiscal</w:t>
            </w: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Year Ended May 31, 2003</w:t>
            </w:r>
          </w:p>
        </w:tc>
        <w:tc>
          <w:tcPr>
            <w:tcW w:w="340" w:type="dxa"/>
            <w:vAlign w:val="bottom"/>
          </w:tcPr>
          <w:p>
            <w:pPr>
              <w:spacing w:after="0"/>
              <w:rPr>
                <w:sz w:val="24"/>
                <w:szCs w:val="24"/>
                <w:color w:val="auto"/>
              </w:rPr>
            </w:pPr>
          </w:p>
        </w:tc>
      </w:tr>
      <w:tr>
        <w:trPr>
          <w:trHeight w:val="339"/>
        </w:trPr>
        <w:tc>
          <w:tcPr>
            <w:tcW w:w="28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339"/>
        </w:trPr>
        <w:tc>
          <w:tcPr>
            <w:tcW w:w="28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70"/>
        </w:trPr>
        <w:tc>
          <w:tcPr>
            <w:tcW w:w="2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w w:val="95"/>
              </w:rPr>
              <w:t>General.....................................................................</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Report of Independent Chartered</w:t>
            </w:r>
          </w:p>
        </w:tc>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Accountants.................................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w w:val="95"/>
              </w:rPr>
              <w:t>Consolidated Balance Sheets.................................................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340" w:type="dxa"/>
            <w:vAlign w:val="bottom"/>
          </w:tcPr>
          <w:p>
            <w:pPr>
              <w:spacing w:after="0"/>
              <w:rPr>
                <w:sz w:val="24"/>
                <w:szCs w:val="24"/>
                <w:color w:val="auto"/>
              </w:rPr>
            </w:pP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twelve months ended May 31,</w:t>
            </w:r>
          </w:p>
        </w:tc>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2003, 2002 and 2001.........................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Shareholders' Equity and</w:t>
            </w:r>
          </w:p>
        </w:tc>
        <w:tc>
          <w:tcPr>
            <w:tcW w:w="340" w:type="dxa"/>
            <w:vAlign w:val="bottom"/>
          </w:tcPr>
          <w:p>
            <w:pPr>
              <w:spacing w:after="0"/>
              <w:rPr>
                <w:sz w:val="24"/>
                <w:szCs w:val="24"/>
                <w:color w:val="auto"/>
              </w:rPr>
            </w:pPr>
          </w:p>
        </w:tc>
      </w:tr>
      <w:tr>
        <w:trPr>
          <w:trHeight w:val="170"/>
        </w:trPr>
        <w:tc>
          <w:tcPr>
            <w:tcW w:w="65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5"/>
              </w:rPr>
              <w:t>Comprehensive Income....................................................</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w:t>
            </w:r>
          </w:p>
        </w:tc>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Flows.......................................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Statements..................................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339"/>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w w:val="96"/>
              </w:rPr>
              <w:t>Signature Page.............................................................</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678"/>
        </w:trPr>
        <w:tc>
          <w:tcPr>
            <w:tcW w:w="2820" w:type="dxa"/>
            <w:vAlign w:val="bottom"/>
          </w:tcPr>
          <w:p>
            <w:pPr>
              <w:spacing w:after="0"/>
              <w:rPr>
                <w:sz w:val="24"/>
                <w:szCs w:val="24"/>
                <w:color w:val="auto"/>
              </w:rPr>
            </w:pPr>
          </w:p>
        </w:tc>
        <w:tc>
          <w:tcPr>
            <w:tcW w:w="3700" w:type="dxa"/>
            <w:vAlign w:val="bottom"/>
          </w:tcPr>
          <w:p>
            <w:pPr>
              <w:ind w:left="600"/>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5"/>
          <w:szCs w:val="15"/>
          <w:color w:val="auto"/>
        </w:rPr>
        <w:t>ICON plc</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are a Clinical Research Organization ("CRO") providing clinical research and development services on a global basis to the pharmaceutical and biotechnology industries. We specialize in the management, execution and analysis of complex, multinational clinical trials in most major therapeutic areas. We believe that we are one of a select group of CROs with the capability and expertise to conduct clinical trials on a global basis. As of May 31, 2003, we had approximately 2,300 employees and operations in 29 locations in 17 countries, including the United States and major markets in Europe and Rest of World and have managed clinical trials in 55 countries. For the fiscal year ended May 31, 2003, we derived approximately 70.3%, 27.0% and 2.7% of our net revenue in the United States, Europe and Rest of World, respectively.</w:t>
      </w:r>
    </w:p>
    <w:p>
      <w:pPr>
        <w:spacing w:after="0" w:line="16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fiscal year ended May 31, 2003, we commenced operations in Montreal, Canada, Tampa, Florida, Raleigh, North Carolina and Moscow, Russia. We also merged two existing California based operations into one office in Redwood City, California.</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On October 9, 2002, we acquired Barton &amp; Polansky Associates, Inc ("BPA") and its sister company, Managed Clinical Solutions, Inc ("MCS"), contract research organizations in New York.</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January 24, 2003, we acquired Medeval Group Limited, ("Medeval"), a UK based specialist provider of Phase I clinical trials to the pharmaceutical and biotechnology industries.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On July 3, 2003, we entered into a creditline facility for a total of U.S.$60 million. This facility was entered into jointly with Bank of Ireland plc and Ulster Bank Ireland Ltd, and replaces both the existing Allied Irish Banks plc and the PNC facilities.</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On July 21, 2003 we entered into a letter of intent for acquisition of Globomax LLC, a drug development consultancy company based in Baltimore, Maryland, USA.</w:t>
      </w:r>
    </w:p>
    <w:p>
      <w:pPr>
        <w:spacing w:after="0" w:line="15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 plc's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REPORT OF INDEPENDENT CHARTERED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and Shareholders of ICON plc</w:t>
      </w:r>
    </w:p>
    <w:p>
      <w:pPr>
        <w:spacing w:after="0" w:line="200" w:lineRule="exact"/>
        <w:rPr>
          <w:sz w:val="20"/>
          <w:szCs w:val="20"/>
          <w:color w:val="auto"/>
        </w:rPr>
      </w:pPr>
    </w:p>
    <w:p>
      <w:pPr>
        <w:spacing w:after="0" w:line="314"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We have audited the accompanying consolidated balance sheets of ICON plc and subsidiaries as of May 31, 2002 and 2003 and the related consolidated statements of operations, shareholders' equity and comprehensive income and cash flows for each of the years in the three-year period ended May 31, 2003. These consolidated financial statements are the responsibility of the Company's management. Our responsibility is to express an opinion on these consolidated financial statements based on our audits.</w:t>
      </w:r>
    </w:p>
    <w:p>
      <w:pPr>
        <w:spacing w:after="0" w:line="167" w:lineRule="exact"/>
        <w:rPr>
          <w:sz w:val="20"/>
          <w:szCs w:val="20"/>
          <w:color w:val="auto"/>
        </w:rPr>
      </w:pPr>
    </w:p>
    <w:p>
      <w:pPr>
        <w:ind w:left="600"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Ireland and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left="600" w:right="3359"/>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ICON plc and subsidiaries as of May 31, 2002 and 2003, and the consolidated results of their operations and their cash flows for each of the years in the three-year period ended May 31, 2003 in conformity with accounting principles generally accepted in the United States.</w:t>
      </w:r>
    </w:p>
    <w:p>
      <w:pPr>
        <w:spacing w:after="0" w:line="34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KPMG</w:t>
      </w:r>
    </w:p>
    <w:p>
      <w:pPr>
        <w:ind w:left="600"/>
        <w:spacing w:after="0"/>
        <w:rPr>
          <w:sz w:val="20"/>
          <w:szCs w:val="20"/>
          <w:color w:val="auto"/>
        </w:rPr>
      </w:pPr>
      <w:r>
        <w:rPr>
          <w:rFonts w:ascii="Courier New" w:cs="Courier New" w:eastAsia="Courier New" w:hAnsi="Courier New"/>
          <w:sz w:val="15"/>
          <w:szCs w:val="15"/>
          <w:color w:val="auto"/>
        </w:rPr>
        <w:t>Chartered Accountants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Dublin, Ireland</w:t>
      </w:r>
    </w:p>
    <w:p>
      <w:pPr>
        <w:ind w:left="600"/>
        <w:spacing w:after="0"/>
        <w:rPr>
          <w:sz w:val="20"/>
          <w:szCs w:val="20"/>
          <w:color w:val="auto"/>
        </w:rPr>
      </w:pPr>
      <w:r>
        <w:rPr>
          <w:rFonts w:ascii="Courier New" w:cs="Courier New" w:eastAsia="Courier New" w:hAnsi="Courier New"/>
          <w:sz w:val="15"/>
          <w:szCs w:val="15"/>
          <w:color w:val="auto"/>
        </w:rPr>
        <w:t>July 25,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1" w:right="1440" w:bottom="1440" w:gutter="0" w:footer="0" w:header="0"/>
        </w:sectPr>
      </w:pPr>
    </w:p>
    <w:bookmarkStart w:id="4" w:name="page5"/>
    <w:bookmarkEnd w:id="4"/>
    <w:p>
      <w:pPr>
        <w:spacing w:after="0" w:line="30"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ICON plc</w:t>
      </w:r>
    </w:p>
    <w:p>
      <w:pPr>
        <w:jc w:val="center"/>
        <w:ind w:right="328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24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6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8"/>
              </w:rPr>
              <w:t>(in thousands)</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$36,291</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Short term investments - available for sale (Note 3)</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18,551</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41,306</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74,645</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Unbilled revenue</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26,387</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44,783</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Other receivables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2,093</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Deferred taxes (Note 12)</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Prepayments and other current assets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5,183</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8,326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130,219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150,482</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net (Note 5)</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25,482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Goodwill (Note 4)</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10,093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$165,794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0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3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$5,788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$11,092</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Payments on account</w:t>
            </w:r>
          </w:p>
        </w:tc>
        <w:tc>
          <w:tcPr>
            <w:tcW w:w="3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19,854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45,763</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 (Note 6)</w:t>
            </w:r>
          </w:p>
        </w:tc>
        <w:tc>
          <w:tcPr>
            <w:tcW w:w="3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16,308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28,289</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Taxes payable</w:t>
            </w:r>
          </w:p>
        </w:tc>
        <w:tc>
          <w:tcPr>
            <w:tcW w:w="3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3,601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Bank overdraft and loan facilities (Note 7)</w:t>
            </w:r>
          </w:p>
        </w:tc>
        <w:tc>
          <w:tcPr>
            <w:tcW w:w="3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11,745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7,126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57,296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96,655</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Long term government grants (Note 10)</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Long term finance</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leases</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5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authorized, 11,798,501 shares issued and outstanding at May 31, 2002 and</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11,841,557 shares</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issued and outstanding at May 31, 2003 (Note 11)</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839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60,348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61,164</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Accumulated other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comprehensive income</w:t>
            </w: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(2,461)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7,787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rPr>
              <w:t>Merger reserve</w:t>
            </w:r>
          </w:p>
        </w:tc>
        <w:tc>
          <w:tcPr>
            <w:tcW w:w="5240" w:type="dxa"/>
            <w:vAlign w:val="bottom"/>
          </w:tcPr>
          <w:p>
            <w:pPr>
              <w:spacing w:after="0"/>
              <w:rPr>
                <w:sz w:val="14"/>
                <w:szCs w:val="14"/>
                <w:color w:val="auto"/>
              </w:rPr>
            </w:pP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Retained earnings</w:t>
            </w:r>
          </w:p>
        </w:tc>
        <w:tc>
          <w:tcPr>
            <w:tcW w:w="5240" w:type="dxa"/>
            <w:vAlign w:val="bottom"/>
          </w:tcPr>
          <w:p>
            <w:pPr>
              <w:spacing w:after="0"/>
              <w:rPr>
                <w:sz w:val="14"/>
                <w:szCs w:val="14"/>
                <w:color w:val="auto"/>
              </w:rPr>
            </w:pPr>
          </w:p>
        </w:tc>
        <w:tc>
          <w:tcPr>
            <w:tcW w:w="18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48,788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67,071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8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107,561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$165,794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3360" w:firstLine="441"/>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00"/>
          </w:cols>
          <w:pgMar w:left="240" w:top="1440" w:right="1259" w:bottom="1440" w:gutter="0" w:footer="0" w:header="0"/>
        </w:sectPr>
      </w:pPr>
    </w:p>
    <w:bookmarkStart w:id="5" w:name="page6"/>
    <w:bookmarkEnd w:id="5"/>
    <w:p>
      <w:pPr>
        <w:jc w:val="center"/>
        <w:ind w:right="3260"/>
        <w:spacing w:after="0"/>
        <w:rPr>
          <w:sz w:val="20"/>
          <w:szCs w:val="20"/>
          <w:color w:val="auto"/>
        </w:rPr>
      </w:pPr>
      <w:r>
        <w:rPr>
          <w:rFonts w:ascii="Courier New" w:cs="Courier New" w:eastAsia="Courier New" w:hAnsi="Courier New"/>
          <w:sz w:val="15"/>
          <w:szCs w:val="15"/>
          <w:color w:val="auto"/>
        </w:rPr>
        <w:t>ICON plc</w:t>
      </w:r>
    </w:p>
    <w:p>
      <w:pPr>
        <w:jc w:val="center"/>
        <w:ind w:right="31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 Ended May 31,</w:t>
            </w:r>
          </w:p>
        </w:tc>
        <w:tc>
          <w:tcPr>
            <w:tcW w:w="120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2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600" w:type="dxa"/>
            <w:vAlign w:val="bottom"/>
          </w:tcPr>
          <w:p>
            <w:pPr>
              <w:spacing w:after="0"/>
              <w:rPr>
                <w:sz w:val="14"/>
                <w:szCs w:val="14"/>
                <w:color w:val="auto"/>
              </w:rPr>
            </w:pP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50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9"/>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Gross revenue</w:t>
            </w:r>
          </w:p>
        </w:tc>
        <w:tc>
          <w:tcPr>
            <w:tcW w:w="2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$151,832</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$218,842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$340,971</w:t>
            </w:r>
          </w:p>
        </w:tc>
      </w:tr>
      <w:tr>
        <w:trPr>
          <w:trHeight w:val="170"/>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Subcontractor costs</w:t>
            </w:r>
          </w:p>
        </w:tc>
        <w:tc>
          <w:tcPr>
            <w:tcW w:w="2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(35,669)</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(62,287)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(115,246)</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rPr>
              <w:t>Net revenue</w:t>
            </w:r>
          </w:p>
        </w:tc>
        <w:tc>
          <w:tcPr>
            <w:tcW w:w="272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116,163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156,555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rPr>
              <w:t>Direct costs</w:t>
            </w:r>
          </w:p>
        </w:tc>
        <w:tc>
          <w:tcPr>
            <w:tcW w:w="272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63,800</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83,371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122,373</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Selling, general</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and administrative</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36,312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48,951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71,118</w:t>
            </w:r>
          </w:p>
        </w:tc>
      </w:tr>
      <w:tr>
        <w:trPr>
          <w:trHeight w:val="170"/>
        </w:trPr>
        <w:tc>
          <w:tcPr>
            <w:tcW w:w="180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4,975</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105,087</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138,342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200,796</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11,076</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2,945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(426)</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13,595</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19,329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25,283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income taxes (Note 12)</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(2,617)</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$10,978</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2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2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$0.92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11,292,610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11,656,153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11,813,788</w:t>
            </w:r>
          </w:p>
        </w:tc>
      </w:tr>
    </w:tbl>
    <w:p>
      <w:pPr>
        <w:spacing w:after="0"/>
        <w:rPr>
          <w:sz w:val="20"/>
          <w:szCs w:val="20"/>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11,943,849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12,241,820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12,181,094</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7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00"/>
          </w:cols>
          <w:pgMar w:left="240" w:top="1300" w:right="1359" w:bottom="1440" w:gutter="0" w:footer="0" w:header="0"/>
        </w:sectPr>
      </w:pPr>
    </w:p>
    <w:bookmarkStart w:id="6" w:name="page7"/>
    <w:bookmarkEnd w:id="6"/>
    <w:p>
      <w:pPr>
        <w:jc w:val="center"/>
        <w:ind w:right="1660"/>
        <w:spacing w:after="0"/>
        <w:rPr>
          <w:sz w:val="20"/>
          <w:szCs w:val="20"/>
          <w:color w:val="auto"/>
        </w:rPr>
      </w:pPr>
      <w:r>
        <w:rPr>
          <w:rFonts w:ascii="Courier New" w:cs="Courier New" w:eastAsia="Courier New" w:hAnsi="Courier New"/>
          <w:sz w:val="15"/>
          <w:szCs w:val="15"/>
          <w:color w:val="auto"/>
        </w:rPr>
        <w:t>ICON plc</w:t>
      </w:r>
    </w:p>
    <w:p>
      <w:pPr>
        <w:jc w:val="center"/>
        <w:ind w:right="1480"/>
        <w:spacing w:after="0"/>
        <w:rPr>
          <w:sz w:val="20"/>
          <w:szCs w:val="20"/>
          <w:color w:val="auto"/>
        </w:rPr>
      </w:pPr>
      <w:r>
        <w:rPr>
          <w:rFonts w:ascii="Courier New" w:cs="Courier New" w:eastAsia="Courier New" w:hAnsi="Courier New"/>
          <w:sz w:val="15"/>
          <w:szCs w:val="15"/>
          <w:color w:val="auto"/>
        </w:rPr>
        <w:t>CONSOLIDATED STATEMENTS OF SHAREHOLDERS' EQUITY AND COMPREHENSIVE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0"/>
          </w:cols>
          <w:pgMar w:left="240" w:top="1300"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80"/>
        <w:spacing w:after="0"/>
        <w:tabs>
          <w:tab w:leader="none" w:pos="46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Accumulated</w:t>
      </w:r>
    </w:p>
    <w:p>
      <w:pPr>
        <w:ind w:left="180"/>
        <w:spacing w:after="0"/>
        <w:tabs>
          <w:tab w:leader="none" w:pos="2100" w:val="left"/>
        </w:tabs>
        <w:rPr>
          <w:sz w:val="20"/>
          <w:szCs w:val="20"/>
          <w:color w:val="auto"/>
        </w:rPr>
      </w:pP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Other</w:t>
      </w:r>
    </w:p>
    <w:p>
      <w:pPr>
        <w:ind w:left="440"/>
        <w:spacing w:after="0"/>
        <w:tabs>
          <w:tab w:leader="none" w:pos="1400" w:val="left"/>
          <w:tab w:leader="none" w:pos="2900" w:val="left"/>
          <w:tab w:leader="none" w:pos="4040" w:val="left"/>
        </w:tabs>
        <w:rPr>
          <w:sz w:val="20"/>
          <w:szCs w:val="20"/>
          <w:color w:val="auto"/>
        </w:rPr>
      </w:pP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Comprehensive</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Merger</w:t>
      </w:r>
    </w:p>
    <w:p>
      <w:pPr>
        <w:ind w:left="440"/>
        <w:spacing w:after="0"/>
        <w:tabs>
          <w:tab w:leader="none" w:pos="2020" w:val="left"/>
          <w:tab w:leader="none" w:pos="2900" w:val="left"/>
          <w:tab w:leader="none" w:pos="3960" w:val="left"/>
        </w:tabs>
        <w:rPr>
          <w:sz w:val="20"/>
          <w:szCs w:val="20"/>
          <w:color w:val="auto"/>
        </w:rPr>
      </w:pP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4"/>
          <w:szCs w:val="14"/>
          <w:color w:val="auto"/>
        </w:rPr>
        <w:t>Reserve</w:t>
      </w:r>
    </w:p>
    <w:p>
      <w:pPr>
        <w:spacing w:after="0"/>
        <w:rPr>
          <w:sz w:val="20"/>
          <w:szCs w:val="20"/>
          <w:color w:val="auto"/>
        </w:rPr>
      </w:pPr>
      <w:r>
        <w:rPr>
          <w:rFonts w:ascii="Courier New" w:cs="Courier New" w:eastAsia="Courier New" w:hAnsi="Courier New"/>
          <w:sz w:val="15"/>
          <w:szCs w:val="15"/>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349" w:lineRule="exact"/>
        <w:rPr>
          <w:sz w:val="20"/>
          <w:szCs w:val="20"/>
          <w:color w:val="auto"/>
        </w:rPr>
      </w:pPr>
    </w:p>
    <w:p>
      <w:pPr>
        <w:sectPr>
          <w:pgSz w:w="11900" w:h="16838" w:orient="portrait"/>
          <w:cols w:equalWidth="0" w:num="3">
            <w:col w:w="5200" w:space="160"/>
            <w:col w:w="4760" w:space="720"/>
            <w:col w:w="680"/>
          </w:cols>
          <w:pgMar w:left="240" w:top="130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May 31, 2000</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11,153,669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$55,665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$23,610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$77,053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10,978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10,978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(2,291)</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8,687</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275,960</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Renominalization of Ordinary Shares</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Deferred tax benefit on exercise</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of  options</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33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May 31, 2001</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11,429,629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$56,537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$34,588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$86,580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14,200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14,200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2,950</w:t>
            </w:r>
          </w:p>
        </w:tc>
      </w:tr>
      <w:tr>
        <w:trPr>
          <w:trHeight w:val="170"/>
        </w:trPr>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17,150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358,100</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2,655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10,772</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Deferred  tax  benefit on</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exercise of options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May 31, 2002</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11,798,501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$60,348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$48,788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18,283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10,248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10,248</w:t>
            </w:r>
          </w:p>
        </w:tc>
      </w:tr>
      <w:tr>
        <w:trPr>
          <w:trHeight w:val="170"/>
        </w:trPr>
        <w:tc>
          <w:tcPr>
            <w:tcW w:w="3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28,531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39,360</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3,696</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Deferred  tax  benefit on</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 of options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at May 31, 2003</w:t>
            </w:r>
          </w:p>
        </w:tc>
        <w:tc>
          <w:tcPr>
            <w:tcW w:w="18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11,841,557</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$61,164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$67,071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49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1300" w:right="139" w:bottom="1440" w:gutter="0" w:footer="0" w:header="0"/>
          <w:type w:val="continuous"/>
        </w:sectPr>
      </w:pPr>
    </w:p>
    <w:bookmarkStart w:id="7" w:name="page8"/>
    <w:bookmarkEnd w:id="7"/>
    <w:p>
      <w:pPr>
        <w:jc w:val="center"/>
        <w:ind w:right="3360"/>
        <w:spacing w:after="0"/>
        <w:rPr>
          <w:sz w:val="20"/>
          <w:szCs w:val="20"/>
          <w:color w:val="auto"/>
        </w:rPr>
      </w:pPr>
      <w:r>
        <w:rPr>
          <w:rFonts w:ascii="Courier New" w:cs="Courier New" w:eastAsia="Courier New" w:hAnsi="Courier New"/>
          <w:sz w:val="15"/>
          <w:szCs w:val="15"/>
          <w:color w:val="auto"/>
        </w:rPr>
        <w:t>ICON plc</w:t>
      </w:r>
    </w:p>
    <w:p>
      <w:pPr>
        <w:jc w:val="center"/>
        <w:ind w:right="32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 Ended May 31,</w:t>
            </w:r>
          </w:p>
        </w:tc>
        <w:tc>
          <w:tcPr>
            <w:tcW w:w="840" w:type="dxa"/>
            <w:vAlign w:val="bottom"/>
          </w:tcPr>
          <w:p>
            <w:pPr>
              <w:spacing w:after="0"/>
              <w:rPr>
                <w:sz w:val="14"/>
                <w:szCs w:val="14"/>
                <w:color w:val="auto"/>
              </w:rPr>
            </w:pPr>
          </w:p>
        </w:tc>
      </w:tr>
      <w:tr>
        <w:trPr>
          <w:trHeight w:val="170"/>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300" w:type="dxa"/>
            <w:vAlign w:val="bottom"/>
          </w:tcPr>
          <w:p>
            <w:pPr>
              <w:spacing w:after="0"/>
              <w:rPr>
                <w:sz w:val="24"/>
                <w:szCs w:val="2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$10,978</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(used in)/ provided by operating activities:</w:t>
            </w: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Loss on disposal of fixed assets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Depreciation</w:t>
            </w:r>
          </w:p>
        </w:tc>
        <w:tc>
          <w:tcPr>
            <w:tcW w:w="33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4,765</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6,020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w w:val="97"/>
              </w:rPr>
              <w:t>Goodwill amortization</w:t>
            </w:r>
          </w:p>
        </w:tc>
        <w:tc>
          <w:tcPr>
            <w:tcW w:w="33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Amortization of grants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Deferred taxes</w:t>
            </w:r>
          </w:p>
        </w:tc>
        <w:tc>
          <w:tcPr>
            <w:tcW w:w="33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in accounts receivable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(12,789)</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(10,873)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(23,232)</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in unbilled revenue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(6,759)</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(14,480)</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(Increase)/decrease in other receivables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(2,074)</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7,515</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(1,965)</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Increase in payments</w:t>
            </w: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on account</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1,957</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8,655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25,485</w:t>
            </w:r>
          </w:p>
        </w:tc>
      </w:tr>
      <w:tr>
        <w:trPr>
          <w:trHeight w:val="170"/>
        </w:trPr>
        <w:tc>
          <w:tcPr>
            <w:tcW w:w="220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w:t>
            </w: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in other liabilities</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2,513</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(1,787)</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in income taxes payable</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1,096</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r>
        <w:trPr>
          <w:trHeight w:val="170"/>
        </w:trPr>
        <w:tc>
          <w:tcPr>
            <w:tcW w:w="5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(Decrease)/increase in accounts payable</w:t>
            </w:r>
          </w:p>
        </w:tc>
        <w:tc>
          <w:tcPr>
            <w:tcW w:w="1860" w:type="dxa"/>
            <w:vAlign w:val="bottom"/>
          </w:tcPr>
          <w:p>
            <w:pPr>
              <w:spacing w:after="0"/>
              <w:rPr>
                <w:sz w:val="14"/>
                <w:szCs w:val="1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3,768</w:t>
            </w:r>
          </w:p>
        </w:tc>
      </w:tr>
      <w:tr>
        <w:trPr>
          <w:trHeight w:val="170"/>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(1,075)</w:t>
            </w:r>
          </w:p>
        </w:tc>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operating activities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(1,570)</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21,485</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Purchase of fixed assets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(6,689)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(15,788)</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Purchase of subsidiary undertakings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(1,754)</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(36,873)</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Cash acquired with subsidiary undertakings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1,910</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Deferred payments in respect of prior year acquisitions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(3,078)</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Sale of short term investments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4,455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29,868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18,551</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Purchase of short term investments</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(18,991)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Receipt of government grant</w:t>
            </w:r>
          </w:p>
        </w:tc>
        <w:tc>
          <w:tcPr>
            <w:tcW w:w="1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(22,573)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(35,278)</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Proceeds / (repayment of) from bank overdraft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9,339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(5,319)</w:t>
            </w: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Repayment of long term debt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share options and issue of shares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693</w:t>
            </w:r>
          </w:p>
        </w:tc>
      </w:tr>
      <w:tr>
        <w:trPr>
          <w:trHeight w:val="170"/>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Repayment of other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Net cash provided by /(used in) financing</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activities</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9,563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(4,626)</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Effect of exchange rate movements on cash</w:t>
            </w:r>
          </w:p>
        </w:tc>
        <w:tc>
          <w:tcPr>
            <w:tcW w:w="2000" w:type="dxa"/>
            <w:vAlign w:val="bottom"/>
          </w:tcPr>
          <w:p>
            <w:pPr>
              <w:spacing w:after="0"/>
              <w:rPr>
                <w:sz w:val="14"/>
                <w:szCs w:val="14"/>
                <w:color w:val="auto"/>
              </w:rPr>
            </w:pP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Net (decrease) /increase in cash and cash</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equivalents</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(15,373)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(17,980)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 at beginning of</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26,552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36,291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2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$11,179</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400"/>
          </w:cols>
          <w:pgMar w:left="240" w:top="1300" w:right="1259" w:bottom="1440" w:gutter="0" w:footer="0" w:header="0"/>
        </w:sectPr>
      </w:pPr>
    </w:p>
    <w:bookmarkStart w:id="8" w:name="page9"/>
    <w:bookmarkEnd w:id="8"/>
    <w:p>
      <w:pPr>
        <w:jc w:val="center"/>
        <w:ind w:right="3179"/>
        <w:spacing w:after="0"/>
        <w:rPr>
          <w:sz w:val="20"/>
          <w:szCs w:val="20"/>
          <w:color w:val="auto"/>
        </w:rPr>
      </w:pPr>
      <w:r>
        <w:rPr>
          <w:rFonts w:ascii="Courier New" w:cs="Courier New" w:eastAsia="Courier New" w:hAnsi="Courier New"/>
          <w:sz w:val="15"/>
          <w:szCs w:val="15"/>
          <w:color w:val="auto"/>
        </w:rPr>
        <w:t>ICON plc</w:t>
      </w:r>
    </w:p>
    <w:p>
      <w:pPr>
        <w:jc w:val="center"/>
        <w:ind w:right="3179"/>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ICON plc and subsidiaries ("The Company") is a Contract Research Organization ("CRO") providing clinical research and development services on a global basis to the pharmaceutical and biotechnology industries. The Company specializes in the management, execution and analysis of complex, multinational clinical trials in most major therapeutic areas. The Company believes that it is one of a select group of CROs with the capability and expertise to conduct clinical trials on a global basis. As of May 31, 2003, the Company had approximately 2,300 employees and operations in 29 locations in 17 countries, including the United States and major markets in Europe and Rest of World and has managed clinical trials in 55 countries. For the fiscal year ended May 31, 2003, we derived approximately</w:t>
      </w:r>
    </w:p>
    <w:p>
      <w:pPr>
        <w:spacing w:after="0" w:line="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70.3%, 27.0% and 2.7% of our net revenue in the United States, Europe and Rest of World,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75" w:lineRule="exact"/>
        <w:rPr>
          <w:sz w:val="20"/>
          <w:szCs w:val="20"/>
          <w:color w:val="auto"/>
        </w:rPr>
      </w:pPr>
    </w:p>
    <w:p>
      <w:pPr>
        <w:jc w:val="both"/>
        <w:ind w:right="3619"/>
        <w:spacing w:after="0" w:line="260" w:lineRule="auto"/>
        <w:rPr>
          <w:sz w:val="20"/>
          <w:szCs w:val="20"/>
          <w:color w:val="auto"/>
        </w:rPr>
      </w:pPr>
      <w:r>
        <w:rPr>
          <w:rFonts w:ascii="Courier New" w:cs="Courier New" w:eastAsia="Courier New" w:hAnsi="Courier New"/>
          <w:sz w:val="14"/>
          <w:szCs w:val="14"/>
          <w:color w:val="auto"/>
        </w:rPr>
        <w:t>The accounting policies noted below were applied in the preparation of the accompanying financial statements of the Company and are in conformity with accounting principles generally accepted in the United States.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Basis of consolidation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financial statements of ICON plc and all of its subsidiaries. All significant intercompany profits, transactions and account balances have been eliminated. The results of subsidiary undertakings acquired in the year are included in the consolidated statement of operations from the date of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Use of estimates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Revenue recognition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18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9" w:name="page10"/>
    <w:bookmarkEnd w:id="9"/>
    <w:p>
      <w:pPr>
        <w:ind w:right="3179"/>
        <w:spacing w:after="0" w:line="238" w:lineRule="auto"/>
        <w:rPr>
          <w:sz w:val="20"/>
          <w:szCs w:val="20"/>
          <w:color w:val="auto"/>
        </w:rPr>
      </w:pPr>
      <w:r>
        <w:rPr>
          <w:rFonts w:ascii="Courier New" w:cs="Courier New" w:eastAsia="Courier New" w:hAnsi="Courier New"/>
          <w:sz w:val="15"/>
          <w:szCs w:val="15"/>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Subcontractor costs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Direct costs</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Direct costs consist of compensation and associated employee benefits for project-related employees and other direct project-related costs.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Advertising costs</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All costs associated with advertising and promotion are expensed as incurred. The advertising and promotion expense was U.S.$1,166,000, U.S.$988,000 and U.S.$1,336,000 for the years ended May 31, 2001, 2002 and 2003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Foreign currencies and translation of subsidiaries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and where material are separately disclosed. For the years ended May 31, 2001, 2002 and 2003 amounts (credited)/charged to income amounted to (U.S.$1,474,000), U.S. $1,412,000 and U.S.$1,968,000 respectively.</w:t>
      </w:r>
    </w:p>
    <w:p>
      <w:pPr>
        <w:spacing w:after="0" w:line="17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financial statements of subsidiaries with other functional currencies are translated at year end rates for the balance sheet and average rates for the income statement. Translation gains and losses arising are reported as a movement on reserves.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year, the Company entered into foreign exchange currency contracts to manage its exposure against currency fluctuations on anticipated Euro denominated cashflows. Currency gains and losses arising in the year under these arrangements are recorded in the statement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Disclosure about fair value of financial instruments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material class of financial instrument: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Cash, cash equivalents, unbilled revenue, other receivables, short term investments, prepayments and other current assets, accounts receivable, accounts payable, investigator payments, payments received on account, accrued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10" w:name="page11"/>
    <w:bookmarkEnd w:id="10"/>
    <w:p>
      <w:pPr>
        <w:jc w:val="both"/>
        <w:ind w:right="3359"/>
        <w:spacing w:after="0" w:line="265" w:lineRule="auto"/>
        <w:rPr>
          <w:sz w:val="20"/>
          <w:szCs w:val="20"/>
          <w:color w:val="auto"/>
        </w:rPr>
      </w:pPr>
      <w:r>
        <w:rPr>
          <w:rFonts w:ascii="Courier New" w:cs="Courier New" w:eastAsia="Courier New" w:hAnsi="Courier New"/>
          <w:sz w:val="14"/>
          <w:szCs w:val="14"/>
          <w:color w:val="auto"/>
        </w:rPr>
        <w:t>liabilities, accrued bonuses, bank overdraft and taxes payable carrying amount approximates fair value due to the short term maturities of these instruments.</w:t>
      </w:r>
    </w:p>
    <w:p>
      <w:pPr>
        <w:spacing w:after="0" w:line="15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Long-term debt and other liabilities carrying amounts approximate fair value based on net present value of estimated future cash flows.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Leased Assets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Costs in respect of operating leases are charged to the statement of operations on a straight line basis over the lease term.</w:t>
      </w:r>
    </w:p>
    <w:p>
      <w:pPr>
        <w:spacing w:after="0" w:line="1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Goodwill</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July 2001, the Financial Accounting Standards Board (FASB) issued two new statements: SFAS No. 141, "Business Combinations", and Statement No. 142, "Goodwill and Other Intangible Assets". Those Statements changed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adopted SFAS No.142 effective June 1, 2001 and ceased amortization of goodwill as of June 1, 2001. Goodwill amortization for the year ended May 31, 2001 amounted to U.S.$210,000. The Company does not have any intangible assets. SFAS No.142 requires a two step impairment test for goodwill. The first step is to compare the carrying amount of the reporting units' assets to the fair value of the reporting unit. If the carrying amount exceeds the fair value then a second step is required to be completed which involves the fair value of the reporting unit being allocated to each asset and liability with the excess being implied goodwill. The impairment loss is the amount by which the recorded goodwill exceeds the implied goodwill. The Company has completed its transitional and annual assessments of goodwill impairment and concluded that no indication of goodwill impairment existed at June 1, 2001, May 31, 2002 or 2003.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Cash and cash equivalents</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Cash and cash equivalents include cash and highly liquid investments with initial maturities of three months or less and is stated at cost, which approximates market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Short term investments - available for sale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 equity. In the years to May 31, 2001, 2002 and 2003 no unrealized gains or losses arose. Any differences between the cost and fair value of the investments are represented by accrued interest.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Inventory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Inventory is valued at the lower of cost and net realizable value and after provisions for obsolescence. Cost in the case of raw materials comprises the purchase price and attributable costs, less trade discounts. Cost in the case of work in progress and finished goods, comprises fixed labor, raw materials costs and attributable overheads.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 Property, plant and equipment</w:t>
      </w:r>
    </w:p>
    <w:p>
      <w:pPr>
        <w:spacing w:after="0" w:line="17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32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3620" w:type="dxa"/>
            <w:vAlign w:val="bottom"/>
          </w:tcPr>
          <w:p>
            <w:pPr>
              <w:spacing w:after="0"/>
              <w:rPr>
                <w:sz w:val="14"/>
                <w:szCs w:val="14"/>
                <w:color w:val="auto"/>
              </w:rPr>
            </w:pP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362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40</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4</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Office furniture and fixtures</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8</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5</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5</w:t>
            </w:r>
          </w:p>
        </w:tc>
      </w:tr>
    </w:tbl>
    <w:p>
      <w:pPr>
        <w:spacing w:after="0" w:line="17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Leasehold improvements are amortized using the straight-line method over the estimated useful life of the asset or the lease term, whichever is shorter.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Income taxes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Government grants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Government grants received relating to capital expenditure are shown as deferred income and credited to income on a basis consistent with the depreciation policy of the relevant assets.</w:t>
      </w:r>
    </w:p>
    <w:p>
      <w:pPr>
        <w:spacing w:after="0" w:line="17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Grants relating to categories of operating expenditures are credited to income in the period in which the expenditure to which they relate is charged.</w:t>
      </w:r>
    </w:p>
    <w:p>
      <w:pPr>
        <w:spacing w:after="0" w:line="158"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6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Company has not recognized any loss contingency having assessed as remote the likelihood of these events arising.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Pension costs</w:t>
      </w:r>
    </w:p>
    <w:p>
      <w:pPr>
        <w:spacing w:after="0" w:line="175"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No.132, "Employees' Disclosures about Pensions and Other Post-retirement Benefits".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Net income per ordinary share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1" w:right="1440" w:bottom="1440" w:gutter="0" w:footer="0" w:header="0"/>
        </w:sectPr>
      </w:pPr>
    </w:p>
    <w:bookmarkStart w:id="12" w:name="page13"/>
    <w:bookmarkEnd w:id="12"/>
    <w:p>
      <w:pPr>
        <w:ind w:left="10" w:right="3179"/>
        <w:spacing w:after="0" w:line="257"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7"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May 31,</w:t>
            </w:r>
          </w:p>
        </w:tc>
        <w:tc>
          <w:tcPr>
            <w:tcW w:w="1020" w:type="dxa"/>
            <w:vAlign w:val="bottom"/>
          </w:tcPr>
          <w:p>
            <w:pPr>
              <w:spacing w:after="0"/>
              <w:rPr>
                <w:sz w:val="14"/>
                <w:szCs w:val="14"/>
                <w:color w:val="auto"/>
              </w:rPr>
            </w:pPr>
          </w:p>
        </w:tc>
      </w:tr>
      <w:tr>
        <w:trPr>
          <w:trHeight w:val="170"/>
        </w:trPr>
        <w:tc>
          <w:tcPr>
            <w:tcW w:w="506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outstanding for basic net income per</w:t>
            </w:r>
          </w:p>
        </w:tc>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060" w:type="dxa"/>
            <w:vAlign w:val="bottom"/>
          </w:tcPr>
          <w:p>
            <w:pPr>
              <w:ind w:left="260"/>
              <w:spacing w:after="0"/>
              <w:rPr>
                <w:sz w:val="20"/>
                <w:szCs w:val="20"/>
                <w:color w:val="auto"/>
              </w:rPr>
            </w:pPr>
            <w:r>
              <w:rPr>
                <w:rFonts w:ascii="Courier New" w:cs="Courier New" w:eastAsia="Courier New" w:hAnsi="Courier New"/>
                <w:sz w:val="15"/>
                <w:szCs w:val="15"/>
                <w:color w:val="auto"/>
              </w:rPr>
              <w:t>ordinary share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11,292,610</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11,656,153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11,813,788</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651,239</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582,908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367,306</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Effect  of  dilutive  shares to be issued as part of</w:t>
            </w:r>
          </w:p>
        </w:tc>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deferred consideration</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2,759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number of ordinary shares for</w:t>
      </w:r>
    </w:p>
    <w:tbl>
      <w:tblPr>
        <w:tblLayout w:type="fixed"/>
        <w:tblInd w:w="10" w:type="dxa"/>
        <w:tblCellMar>
          <w:top w:w="0" w:type="dxa"/>
          <w:left w:w="0" w:type="dxa"/>
          <w:bottom w:w="0" w:type="dxa"/>
          <w:right w:w="0" w:type="dxa"/>
        </w:tblCellMar>
      </w:tblPr>
      <w:tr>
        <w:trPr>
          <w:trHeight w:val="16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11,943,849</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12,241,820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12,181,094</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Stock-based compensation</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 25 permits entities to recognize as expense, over the vesting period, the fair value of all stock- based awards on the date of grant. The Company has elected to apply the provisions of APB Opinion No. 25 and provide the pro forma disclosure provisions of SFAS No. 123.</w:t>
      </w:r>
    </w:p>
    <w:p>
      <w:pPr>
        <w:spacing w:after="0" w:line="166" w:lineRule="exact"/>
        <w:rPr>
          <w:sz w:val="20"/>
          <w:szCs w:val="20"/>
          <w:color w:val="auto"/>
        </w:rPr>
      </w:pPr>
    </w:p>
    <w:p>
      <w:pPr>
        <w:jc w:val="both"/>
        <w:ind w:left="10" w:right="3259"/>
        <w:spacing w:after="0" w:line="237" w:lineRule="auto"/>
        <w:rPr>
          <w:sz w:val="20"/>
          <w:szCs w:val="20"/>
          <w:color w:val="auto"/>
        </w:rPr>
      </w:pPr>
      <w:r>
        <w:rPr>
          <w:rFonts w:ascii="Courier New" w:cs="Courier New" w:eastAsia="Courier New" w:hAnsi="Courier New"/>
          <w:sz w:val="15"/>
          <w:szCs w:val="15"/>
          <w:color w:val="auto"/>
        </w:rPr>
        <w:t>The following table illustrates the effect on net income and earnings per share as if the fair value method of SFAS No. 123 had been applied to all outstanding and unvested stock options in each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Year Ended May 31,</w:t>
            </w:r>
          </w:p>
        </w:tc>
        <w:tc>
          <w:tcPr>
            <w:tcW w:w="88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(except per share data)</w:t>
            </w:r>
          </w:p>
        </w:tc>
        <w:tc>
          <w:tcPr>
            <w:tcW w:w="88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840" w:type="dxa"/>
            <w:vAlign w:val="bottom"/>
          </w:tcPr>
          <w:p>
            <w:pPr>
              <w:spacing w:after="0"/>
              <w:rPr>
                <w:sz w:val="24"/>
                <w:szCs w:val="24"/>
                <w:color w:val="auto"/>
              </w:rPr>
            </w:pP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$10,978</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$14,200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Add: Stock-based employee</w:t>
            </w:r>
          </w:p>
        </w:tc>
        <w:tc>
          <w:tcPr>
            <w:tcW w:w="41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compensation expense included</w:t>
            </w: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rPr>
              <w:t>in reported net income, net of related tax effects</w:t>
            </w: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Deduct: Total stock-based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employee</w:t>
            </w:r>
          </w:p>
        </w:tc>
        <w:tc>
          <w:tcPr>
            <w:tcW w:w="32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compensation expense</w:t>
            </w: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determined   under  fair</w:t>
            </w:r>
          </w:p>
        </w:tc>
        <w:tc>
          <w:tcPr>
            <w:tcW w:w="41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w w:val="99"/>
              </w:rPr>
              <w:t>value  based  method  for  all</w:t>
            </w: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9"/>
              </w:rPr>
              <w:t>awards, net of related tax effects</w:t>
            </w:r>
          </w:p>
        </w:tc>
        <w:tc>
          <w:tcPr>
            <w:tcW w:w="3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(2,096)</w:t>
            </w:r>
          </w:p>
        </w:tc>
      </w:tr>
    </w:tbl>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2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$9,788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$16,187</w:t>
            </w:r>
          </w:p>
        </w:tc>
      </w:tr>
    </w:tbl>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Earnings per</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share (in $):</w:t>
            </w: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as reported</w:t>
            </w: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pro forma</w:t>
            </w: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0"/>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 -</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0.92</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 -</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0.82</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bl>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62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(t) Impairment of long-lived assets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Short term investments - available for sale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 equity. In the years to May 31, 2001, 2002 and 2003 no unrealized gains or losses arose. Any differences between the cost and fair value of the investments are represented by accrued interest.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4. Goodwill</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4300" w:type="dxa"/>
            <w:vAlign w:val="bottom"/>
          </w:tcPr>
          <w:p>
            <w:pPr>
              <w:spacing w:after="0"/>
              <w:rPr>
                <w:sz w:val="24"/>
                <w:szCs w:val="2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Opening Goodwill ..............................</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$6,642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32,302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Arising on earn-out (current and prior</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rPr>
              <w:t>year acquisitions)...........................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3,287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Foreign exchange movement......................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Closing Goodwill...............................</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7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940" w:type="dxa"/>
            <w:vAlign w:val="bottom"/>
          </w:tcPr>
          <w:p>
            <w:pPr>
              <w:spacing w:after="0"/>
              <w:rPr>
                <w:sz w:val="14"/>
                <w:szCs w:val="14"/>
                <w:color w:val="auto"/>
              </w:rPr>
            </w:pPr>
          </w:p>
        </w:tc>
        <w:tc>
          <w:tcPr>
            <w:tcW w:w="2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7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$ 6,596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$6,596</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7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3,497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38,433</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$10,093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In July 2001 the Financial Accounting Standards Board, or FASB, issued two new statements: SFAS No. 141, "Business Combinations", and SFAS No. 142, "Goodwill and Other Intangible Assets". Those Statements changed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The Company has no intangible assets with infinite lives. Thus, amortization of goodwill, including goodwill recorded in past business combinations, ceased upon adoption of SFAS No. 142. The Company adopted SFAS No. 142, effective June 1, 2001.</w:t>
      </w:r>
    </w:p>
    <w:p>
      <w:pPr>
        <w:spacing w:after="0" w:line="186" w:lineRule="exact"/>
        <w:rPr>
          <w:sz w:val="20"/>
          <w:szCs w:val="20"/>
          <w:color w:val="auto"/>
        </w:rPr>
      </w:pPr>
    </w:p>
    <w:p>
      <w:pPr>
        <w:ind w:left="440" w:right="3439"/>
        <w:spacing w:after="0" w:line="237" w:lineRule="auto"/>
        <w:rPr>
          <w:sz w:val="20"/>
          <w:szCs w:val="20"/>
          <w:color w:val="auto"/>
        </w:rPr>
      </w:pPr>
      <w:r>
        <w:rPr>
          <w:rFonts w:ascii="Courier New" w:cs="Courier New" w:eastAsia="Courier New" w:hAnsi="Courier New"/>
          <w:sz w:val="15"/>
          <w:szCs w:val="15"/>
          <w:color w:val="auto"/>
        </w:rPr>
        <w:t>The following table reconciles the prior periods' reported net income to their prospective pro forma balances adjusted to exclude goodwill amortization, which is no longer recorded under SFAS No. 142: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61" w:right="1440" w:bottom="1440" w:gutter="0" w:footer="0" w:header="0"/>
        </w:sectPr>
      </w:pPr>
    </w:p>
    <w:bookmarkStart w:id="15" w:name="page16"/>
    <w:bookmarkEnd w:id="15"/>
    <w:tbl>
      <w:tblPr>
        <w:tblLayout w:type="fixed"/>
        <w:tblInd w:w="53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5340" w:type="dxa"/>
            <w:vAlign w:val="bottom"/>
            <w:gridSpan w:val="2"/>
          </w:tcPr>
          <w:p>
            <w:pPr>
              <w:jc w:val="center"/>
              <w:ind w:left="3327"/>
              <w:spacing w:after="0"/>
              <w:rPr>
                <w:sz w:val="20"/>
                <w:szCs w:val="20"/>
                <w:color w:val="auto"/>
              </w:rPr>
            </w:pPr>
            <w:r>
              <w:rPr>
                <w:rFonts w:ascii="Courier New" w:cs="Courier New" w:eastAsia="Courier New" w:hAnsi="Courier New"/>
                <w:sz w:val="15"/>
                <w:szCs w:val="15"/>
                <w:color w:val="auto"/>
                <w:w w:val="94"/>
              </w:rPr>
              <w:t>Year</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ended May</w:t>
            </w:r>
          </w:p>
        </w:tc>
      </w:tr>
      <w:tr>
        <w:trPr>
          <w:trHeight w:val="170"/>
        </w:trPr>
        <w:tc>
          <w:tcPr>
            <w:tcW w:w="740" w:type="dxa"/>
            <w:vAlign w:val="bottom"/>
          </w:tcPr>
          <w:p>
            <w:pPr>
              <w:spacing w:after="0"/>
              <w:rPr>
                <w:sz w:val="14"/>
                <w:szCs w:val="14"/>
                <w:color w:val="auto"/>
              </w:rPr>
            </w:pPr>
          </w:p>
        </w:tc>
        <w:tc>
          <w:tcPr>
            <w:tcW w:w="4320" w:type="dxa"/>
            <w:vAlign w:val="bottom"/>
          </w:tcPr>
          <w:p>
            <w:pPr>
              <w:ind w:left="4020"/>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center"/>
              <w:ind w:left="3327"/>
              <w:spacing w:after="0"/>
              <w:rPr>
                <w:sz w:val="20"/>
                <w:szCs w:val="20"/>
                <w:color w:val="auto"/>
              </w:rPr>
            </w:pPr>
            <w:r>
              <w:rPr>
                <w:rFonts w:ascii="Courier New" w:cs="Courier New" w:eastAsia="Courier New" w:hAnsi="Courier New"/>
                <w:sz w:val="15"/>
                <w:szCs w:val="15"/>
                <w:color w:val="auto"/>
                <w:w w:val="96"/>
              </w:rPr>
              <w:t>(in thousands,</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center"/>
              <w:ind w:left="3327"/>
              <w:spacing w:after="0"/>
              <w:rPr>
                <w:sz w:val="20"/>
                <w:szCs w:val="20"/>
                <w:color w:val="auto"/>
              </w:rPr>
            </w:pPr>
            <w:r>
              <w:rPr>
                <w:rFonts w:ascii="Courier New" w:cs="Courier New" w:eastAsia="Courier New" w:hAnsi="Courier New"/>
                <w:sz w:val="15"/>
                <w:szCs w:val="15"/>
                <w:color w:val="auto"/>
                <w:w w:val="98"/>
              </w:rPr>
              <w:t>except per share</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data)</w:t>
            </w:r>
          </w:p>
        </w:tc>
      </w:tr>
      <w:tr>
        <w:trPr>
          <w:trHeight w:val="50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Reported</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$10,978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Add back</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goodwill amortization</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Adjusted</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$11,188</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102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Reported</w:t>
            </w:r>
          </w:p>
        </w:tc>
        <w:tc>
          <w:tcPr>
            <w:tcW w:w="43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$0.97</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Add back</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goodwill amortization</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Adjusted</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basic net income per share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$0.99</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102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Reported</w:t>
            </w:r>
          </w:p>
        </w:tc>
        <w:tc>
          <w:tcPr>
            <w:tcW w:w="43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$0.92</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Add back</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goodwill amortization</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Adjusted</w:t>
            </w:r>
          </w:p>
        </w:tc>
        <w:tc>
          <w:tcPr>
            <w:tcW w:w="4320" w:type="dxa"/>
            <w:vAlign w:val="bottom"/>
          </w:tcPr>
          <w:p>
            <w:pPr>
              <w:ind w:left="60"/>
              <w:spacing w:after="0"/>
              <w:rPr>
                <w:sz w:val="20"/>
                <w:szCs w:val="20"/>
                <w:color w:val="auto"/>
              </w:rPr>
            </w:pPr>
            <w:r>
              <w:rPr>
                <w:rFonts w:ascii="Courier New" w:cs="Courier New" w:eastAsia="Courier New" w:hAnsi="Courier New"/>
                <w:sz w:val="15"/>
                <w:szCs w:val="15"/>
                <w:color w:val="auto"/>
              </w:rPr>
              <w:t>diluted net income per share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$0.94</w:t>
            </w:r>
          </w:p>
        </w:tc>
      </w:tr>
      <w:tr>
        <w:trPr>
          <w:trHeight w:val="170"/>
        </w:trPr>
        <w:tc>
          <w:tcPr>
            <w:tcW w:w="740" w:type="dxa"/>
            <w:vAlign w:val="bottom"/>
          </w:tcPr>
          <w:p>
            <w:pPr>
              <w:spacing w:after="0"/>
              <w:rPr>
                <w:sz w:val="14"/>
                <w:szCs w:val="14"/>
                <w:color w:val="auto"/>
              </w:rPr>
            </w:pP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Acquisition of YRCR Ltd.</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January 27, 2000, the Company acquired YRCR Limited ("YRCR"), a U.K. based regulatory consultancy company. The Company acquired YRCR in exchange for cash of Stg(pound)500,000 (U.S.$819,000) and 51,387 ordinary shares, the fair market value of which was Stg(pound)500,000 (U.S.$819,000) on the date the contract terms were agreed, excluding costs of acquisition. The acquisition of YRCR has been accounted for as a purchase.</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Earn-out provisions were built into the contract, over the period to May 2003 up to a maximum additional consideration of Stg(pound)2.0 million (U.S.$2.9 million). These earn-outs were paid in the form 50% cash and 50% shares. Additional purchase consideration was recorded as goodwill.</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On April 3, 2000, an additional cash payment of Stg(pound)250,000 (U.S.$393,043) was made to YRCR as part of the earn-out provision. On May 31, 2000, an additional 24,272 ordinary shares were issued to YRCR with a fair market value of Stg(pound)250,000 (U.S.$367,500).</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As part of the earn-out provisions, on August 31, 2001, an additional 10,772 ordinary shares were issued to YRCR with a fair market value of Stg(pound)250,000 (U.S.$365,400), and, on September 3, 2001, an additional cash payment of Stg(pound)250,000 (U.S.$365,400) was made. Of these amounts Stg(pound)400,000 (U.S.$590,800) was provided at May 31, 2001, as the earn-out target had been reached, with the balance of Stg(pound)100,000 (U.S.$140,000) accounted for during the year ended May 31, 2002.</w:t>
      </w:r>
    </w:p>
    <w:p>
      <w:pPr>
        <w:spacing w:after="0" w:line="17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On August 30, 2002, an additional cash payment of Stg(pound)50,000 (U.S.$77,526) was made to YRCR and on October 8, 2002, an additional 3,696 ordinary shares were issued to YRCR with a fair market value of Stg(pound)50,000 (U.S.$77,440) as part of the earn-out provisions. Both these earn out payments were accrued for at May 31, 2002.</w:t>
      </w:r>
    </w:p>
    <w:p>
      <w:pPr>
        <w:spacing w:after="0" w:line="178"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initial purchase price of U.S.$1,838,000 including costs of acquisition together with subsequent additional consideration of U.S.$1,646,309 for YRCR was allocated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Goodwill..................................................</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Current assets............................................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Accounts payable..........................................</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$3,484</w:t>
            </w:r>
          </w:p>
        </w:tc>
      </w:tr>
    </w:tbl>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7" w:lineRule="exact"/>
        <w:rPr>
          <w:rFonts w:ascii="Courier New" w:cs="Courier New" w:eastAsia="Courier New" w:hAnsi="Courier New"/>
          <w:sz w:val="15"/>
          <w:szCs w:val="15"/>
          <w:color w:val="auto"/>
        </w:rPr>
      </w:pPr>
    </w:p>
    <w:p>
      <w:pPr>
        <w:ind w:left="3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2" w:right="1440" w:bottom="1440" w:gutter="0" w:footer="0" w:header="0"/>
        </w:sectPr>
      </w:pPr>
    </w:p>
    <w:bookmarkStart w:id="16" w:name="page17"/>
    <w:bookmarkEnd w:id="16"/>
    <w:p>
      <w:pPr>
        <w:ind w:left="10"/>
        <w:spacing w:after="0"/>
        <w:rPr>
          <w:sz w:val="20"/>
          <w:szCs w:val="20"/>
          <w:color w:val="auto"/>
        </w:rPr>
      </w:pPr>
      <w:r>
        <w:rPr>
          <w:rFonts w:ascii="Courier New" w:cs="Courier New" w:eastAsia="Courier New" w:hAnsi="Courier New"/>
          <w:sz w:val="15"/>
          <w:szCs w:val="15"/>
          <w:color w:val="auto"/>
        </w:rPr>
        <w:t>(b) Acquisition of Protocole</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On March 14, 2000, the Company acquired Protocole ("Protocole"), a Paris based veterinary CRO. The Company acquired Protocole for initial cash consideration of French Francs 4,000,000 (U.S.$586,240), excluding costs of acquisition. Earn-out provisions have been built into the acquisition contract requiring the potential payment of additional deferred consideration up to a maximum of French Francs 4,000,000 depending on the performance of Protocole over the period to May 31, 2003. None of the earn-out provisions have been reached at May 31, 2003. The acquisition of Protocole has been accounted for as a purchase.</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purchase price of U.S.$732,000 for Protocole was allocated as follows:</w:t>
      </w:r>
    </w:p>
    <w:p>
      <w:pPr>
        <w:spacing w:after="0" w:line="169" w:lineRule="exact"/>
        <w:rPr>
          <w:sz w:val="20"/>
          <w:szCs w:val="20"/>
          <w:color w:val="auto"/>
        </w:rPr>
      </w:pPr>
    </w:p>
    <w:p>
      <w:pPr>
        <w:ind w:left="4230"/>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10"/>
        <w:spacing w:after="0"/>
        <w:tabs>
          <w:tab w:leader="dot" w:pos="5009"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$12</w:t>
      </w:r>
    </w:p>
    <w:p>
      <w:pPr>
        <w:ind w:left="10"/>
        <w:spacing w:after="0"/>
        <w:tabs>
          <w:tab w:leader="dot" w:pos="5009"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731</w:t>
      </w:r>
    </w:p>
    <w:p>
      <w:pPr>
        <w:ind w:left="10"/>
        <w:spacing w:after="0"/>
        <w:tabs>
          <w:tab w:leader="dot" w:pos="5009"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114</w:t>
      </w:r>
    </w:p>
    <w:p>
      <w:pPr>
        <w:ind w:left="10"/>
        <w:spacing w:after="0"/>
        <w:tabs>
          <w:tab w:leader="dot" w:pos="4829"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(125)</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tabs>
          <w:tab w:leader="dot" w:pos="4909"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5"/>
          <w:szCs w:val="15"/>
          <w:color w:val="auto"/>
        </w:rPr>
        <w:t>$732</w:t>
      </w:r>
    </w:p>
    <w:p>
      <w:pPr>
        <w:ind w:left="10"/>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 Acquisition of UCT (U.S.) Inc.</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June 8, 2000, the Company acquired UCT (U.S.) Inc. ("UCT"), subsequently renamed ICON Laboratories Inc., a central laboratory company based in New York, USA. The Company acquired UCT in exchange for cash of U.S.$1,200,000. Earn-out provisions were built into the acquisition contract requiring the potential payment of additional deferred consideration of U.S.$18 million depending on the performance of UCT over the period to May 31, 2003. The acquisition of UCT has been accounted for as a purchase.</w:t>
      </w:r>
    </w:p>
    <w:p>
      <w:pPr>
        <w:spacing w:after="0" w:line="177"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Additional consideration paid was in the form of cash and was accounted for as goodwill.</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On September 1, 2001, an additional cash payment of U.S.$2,250,000 was made to UCT as part of the earn-out provisions. The first earn-out target was reached as at May 31, 2001 and this consideration has been included in the purchase price below.</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On August 30, 2002 the Company made a cash payment of U.S.$3,000,000 to the former shareholders of UCT (U.S.) Inc., under the terms of an earn out provision entered into on the acquisition of UCT on June 8, 2000. The earn-out target was reached at May 31, 2002 and this consideration was recorded at that date in the financial statements.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purchase price of U.S.$7,003,000 including total earn-out provisions of</w:t>
      </w:r>
    </w:p>
    <w:p>
      <w:pPr>
        <w:ind w:left="10"/>
        <w:spacing w:after="0"/>
        <w:rPr>
          <w:sz w:val="20"/>
          <w:szCs w:val="20"/>
          <w:color w:val="auto"/>
        </w:rPr>
      </w:pPr>
      <w:r>
        <w:rPr>
          <w:rFonts w:ascii="Courier New" w:cs="Courier New" w:eastAsia="Courier New" w:hAnsi="Courier New"/>
          <w:sz w:val="15"/>
          <w:szCs w:val="15"/>
          <w:color w:val="auto"/>
        </w:rPr>
        <w:t>U.S.$5,250,000 and acquisition costs of U.S.$553,000 was allocated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(in thousands)</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Property, plant and equipment.......................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$1,415</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Goodwill............................................</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Current assets......................................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Accounts payable....................................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(5,355)</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r>
    </w:tbl>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3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2" w:right="1440" w:bottom="1440" w:gutter="0" w:footer="0" w:header="0"/>
        </w:sectPr>
      </w:pPr>
    </w:p>
    <w:bookmarkStart w:id="17" w:name="page18"/>
    <w:bookmarkEnd w:id="17"/>
    <w:p>
      <w:pPr>
        <w:ind w:left="10" w:right="3699" w:hanging="10"/>
        <w:spacing w:after="0" w:line="235" w:lineRule="auto"/>
        <w:tabs>
          <w:tab w:leader="none" w:pos="3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Barton &amp; Polansky Associates, Inc. and Managed Clinical Solutions, Inc.</w:t>
      </w:r>
    </w:p>
    <w:p>
      <w:pPr>
        <w:spacing w:after="0" w:line="34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October 9, 2002, the Company acquired 100% of the outstanding shares of Barton &amp; Polansky Associates, Inc. ("BPA") and its sister company Managed Clinical Solutions, Inc. ("MCS"), both based in New York, USA, for an initial cash consideration of U.S.$15.7 million, excluding costs of acquisition which amounted to U.S.$0.8 million. Earn-out and working capital provisions have been built into the acquisition contract requiring the potential payment of additional deferred consideration up to a maximum of U.S.$18 million depending on the performance of MCS over the period to May 31, 2006. Such potential additional consideration will be accounted for as goodwill. The total amount of goodwill is expected to be tax deductible.</w:t>
      </w:r>
    </w:p>
    <w:p>
      <w:pPr>
        <w:spacing w:after="0" w:line="180"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December 20, 2002, and April 15, 2003, additional cash payments of U.S.$3.7 million and U.S.$0.3 million respectively were made to the former shareholders of BPA and MCS as part of the working capital provisions in the contract. The acquisitions of BPA and MCS have been accounted for as a purchase in accordance with SFAS No.141 "Business Combinations". The following table summarises the fair values of the assets acquired and the liabilities assumed at the date of acquisition.</w:t>
      </w:r>
    </w:p>
    <w:p>
      <w:pPr>
        <w:spacing w:after="0" w:line="17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Property, plant &amp; equipment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14,439</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9,533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Bank overdraft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(2,795)</w:t>
            </w:r>
          </w:p>
        </w:tc>
      </w:tr>
    </w:tbl>
    <w:p>
      <w:pPr>
        <w:ind w:left="610"/>
        <w:spacing w:after="0"/>
        <w:rPr>
          <w:sz w:val="20"/>
          <w:szCs w:val="20"/>
          <w:color w:val="auto"/>
        </w:rPr>
      </w:pPr>
      <w:r>
        <w:rPr>
          <w:rFonts w:ascii="Courier New" w:cs="Courier New" w:eastAsia="Courier New" w:hAnsi="Courier New"/>
          <w:sz w:val="15"/>
          <w:szCs w:val="15"/>
          <w:color w:val="auto"/>
        </w:rPr>
        <w:t>------------------------------------------------------------------</w:t>
      </w:r>
    </w:p>
    <w:tbl>
      <w:tblPr>
        <w:tblLayout w:type="fixed"/>
        <w:tblInd w:w="610" w:type="dxa"/>
        <w:tblCellMar>
          <w:top w:w="0" w:type="dxa"/>
          <w:left w:w="0" w:type="dxa"/>
          <w:bottom w:w="0" w:type="dxa"/>
          <w:right w:w="0" w:type="dxa"/>
        </w:tblCellMar>
      </w:tblPr>
      <w:tr>
        <w:trPr>
          <w:trHeight w:val="169"/>
        </w:trPr>
        <w:tc>
          <w:tcPr>
            <w:tcW w:w="31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$20,479</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The results of BPA and MCS have been included in the consolidated financial statements from October 1, 2002.</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 Acquisition of Medeval Group Ltd</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for an initial cash consideration of Stg(pound)9.5 million (U.S.$15.5 million), excluding costs of acquisition which amounted to U.S.$1.0 million. Earn-out provisions have been built into the acquisition contract requiring the potential payment of additional deferred consideration up to a maximum of Stg(pound)4.3 million (U.S.$6.9 million) depending on the performance of Medeval over the period to May 31, 2004. Such potential additional consideration will be accounted as goodwill. The total amount of goodwill is expected to be tax deductible.</w:t>
      </w:r>
    </w:p>
    <w:p>
      <w:pPr>
        <w:spacing w:after="0" w:line="17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Stg(pound)1.4 million (U.S.$ 2.0 million) was accrued at May 31, 2003 as the first earn-out target was reached and this amount has been included in the purchase price below. 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$1,632</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19,866</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2,738</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Pension liabilities (see note 8)</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(2,588)</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(3,113)</w:t>
            </w:r>
          </w:p>
        </w:tc>
      </w:tr>
    </w:tbl>
    <w:p>
      <w:pPr>
        <w:ind w:left="610"/>
        <w:spacing w:after="0"/>
        <w:rPr>
          <w:sz w:val="20"/>
          <w:szCs w:val="20"/>
          <w:color w:val="auto"/>
        </w:rPr>
      </w:pPr>
      <w:r>
        <w:rPr>
          <w:rFonts w:ascii="Courier New" w:cs="Courier New" w:eastAsia="Courier New" w:hAnsi="Courier New"/>
          <w:sz w:val="15"/>
          <w:szCs w:val="15"/>
          <w:color w:val="auto"/>
        </w:rPr>
        <w:t>-----------------------------------------------------------------------</w:t>
      </w:r>
    </w:p>
    <w:tbl>
      <w:tblPr>
        <w:tblLayout w:type="fixed"/>
        <w:tblInd w:w="610" w:type="dxa"/>
        <w:tblCellMar>
          <w:top w:w="0" w:type="dxa"/>
          <w:left w:w="0" w:type="dxa"/>
          <w:bottom w:w="0" w:type="dxa"/>
          <w:right w:w="0" w:type="dxa"/>
        </w:tblCellMar>
      </w:tblPr>
      <w:tr>
        <w:trPr>
          <w:trHeight w:val="169"/>
        </w:trPr>
        <w:tc>
          <w:tcPr>
            <w:tcW w:w="340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$18,535</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966" w:right="1440" w:bottom="1440" w:gutter="0" w:footer="0" w:header="0"/>
        </w:sectPr>
      </w:pPr>
    </w:p>
    <w:bookmarkStart w:id="18" w:name="page19"/>
    <w:bookmarkEnd w:id="18"/>
    <w:p>
      <w:pPr>
        <w:ind w:left="10" w:right="3979"/>
        <w:spacing w:after="0" w:line="235" w:lineRule="auto"/>
        <w:rPr>
          <w:sz w:val="20"/>
          <w:szCs w:val="20"/>
          <w:color w:val="auto"/>
        </w:rPr>
      </w:pPr>
      <w:r>
        <w:rPr>
          <w:rFonts w:ascii="Courier New" w:cs="Courier New" w:eastAsia="Courier New" w:hAnsi="Courier New"/>
          <w:sz w:val="15"/>
          <w:szCs w:val="15"/>
          <w:color w:val="auto"/>
        </w:rPr>
        <w:t>The results of Medeval have been included in the consolidated financial statements from January 24, 2003.</w:t>
      </w:r>
    </w:p>
    <w:p>
      <w:pPr>
        <w:spacing w:after="0" w:line="176" w:lineRule="exact"/>
        <w:rPr>
          <w:sz w:val="20"/>
          <w:szCs w:val="20"/>
          <w:color w:val="auto"/>
        </w:rPr>
      </w:pPr>
    </w:p>
    <w:p>
      <w:pPr>
        <w:jc w:val="both"/>
        <w:ind w:left="10" w:right="3539"/>
        <w:spacing w:after="0" w:line="260" w:lineRule="auto"/>
        <w:rPr>
          <w:sz w:val="20"/>
          <w:szCs w:val="20"/>
          <w:color w:val="auto"/>
        </w:rPr>
      </w:pPr>
      <w:r>
        <w:rPr>
          <w:rFonts w:ascii="Courier New" w:cs="Courier New" w:eastAsia="Courier New" w:hAnsi="Courier New"/>
          <w:sz w:val="14"/>
          <w:szCs w:val="14"/>
          <w:color w:val="auto"/>
        </w:rPr>
        <w:t>The proforma effect of the BPA, MCS and Medeval acquisitions if completed on June 1, 2002 would have resulted in net revenue, net income and earnings per share for the fiscal years ended May 31, 2002 and 2003 as follows:</w:t>
      </w:r>
    </w:p>
    <w:p>
      <w:pPr>
        <w:spacing w:after="0" w:line="157"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600" w:type="dxa"/>
            <w:vAlign w:val="bottom"/>
          </w:tcPr>
          <w:p>
            <w:pPr>
              <w:spacing w:after="0"/>
              <w:rPr>
                <w:sz w:val="14"/>
                <w:szCs w:val="14"/>
                <w:color w:val="auto"/>
              </w:rPr>
            </w:pP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$189,762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$243,348</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$16,674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$19,140</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$1.43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$1.36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w:t>
            </w:r>
          </w:p>
        </w:tc>
      </w:tr>
    </w:tbl>
    <w:p>
      <w:pPr>
        <w:spacing w:after="0" w:line="175" w:lineRule="exact"/>
        <w:rPr>
          <w:sz w:val="20"/>
          <w:szCs w:val="20"/>
          <w:color w:val="auto"/>
        </w:rPr>
      </w:pPr>
    </w:p>
    <w:p>
      <w:pPr>
        <w:ind w:left="10" w:right="3259"/>
        <w:spacing w:after="0" w:line="258" w:lineRule="auto"/>
        <w:rPr>
          <w:sz w:val="20"/>
          <w:szCs w:val="20"/>
          <w:color w:val="auto"/>
        </w:rPr>
      </w:pPr>
      <w:r>
        <w:rPr>
          <w:rFonts w:ascii="Courier New" w:cs="Courier New" w:eastAsia="Courier New" w:hAnsi="Courier New"/>
          <w:sz w:val="14"/>
          <w:szCs w:val="14"/>
          <w:color w:val="auto"/>
        </w:rPr>
        <w:t>In August 2002, prior to the date of acquisition, a U.S.$900,000 distribution was made by BPA and MCS, to the former shareholders of BPA and MCS, which was recorded as other expenses. In July 2001 and 2002, distributions were paid to the former shareholders of Medeval by Medeval of Stg(pound)25,679 (U.S.$36,148) and Stg(pound)109,700 (U.S.$168,134) respectively which were also recorded as other expenses. These payments are included in the proforma results above.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5. Property, Plant and Equipment</w:t>
            </w: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May 31,</w:t>
            </w:r>
          </w:p>
        </w:tc>
      </w:tr>
      <w:tr>
        <w:trPr>
          <w:trHeight w:val="339"/>
        </w:trPr>
        <w:tc>
          <w:tcPr>
            <w:tcW w:w="436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$661</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$717</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7,874</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19,729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33,558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Office furniture and fixtures.................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10,014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13,418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1,611</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3,685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6,033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6,921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43,119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66,211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(17,637)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(26,708)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$25,482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Total cost above at May 31, 2003 includes U.S.$524,632 (2002: U.S.$Nil) relating to assets acquired under capital finance leases. Related accumulated depreciation amounted to U.S.$36,272.</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6. Other Liabilities</w:t>
            </w: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9"/>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May 31,</w:t>
            </w:r>
          </w:p>
        </w:tc>
      </w:tr>
      <w:tr>
        <w:trPr>
          <w:trHeight w:val="339"/>
        </w:trPr>
        <w:tc>
          <w:tcPr>
            <w:tcW w:w="4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(in thousands)</w:t>
            </w:r>
          </w:p>
        </w:tc>
      </w:tr>
      <w:tr>
        <w:trPr>
          <w:trHeight w:val="509"/>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$7,625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$13,562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bonuses....................................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4,549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8,542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social welfare costs.......................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1,301</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Contingent purchase consideration payable..........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3,147</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Short term government grants.......................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Accrued pension liability (note 8)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2,632</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Short term finance leases (note 14)................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670"/>
        <w:spacing w:after="0"/>
        <w:tabs>
          <w:tab w:leader="none" w:pos="6329" w:val="left"/>
        </w:tabs>
        <w:rPr>
          <w:sz w:val="20"/>
          <w:szCs w:val="20"/>
          <w:color w:val="auto"/>
        </w:rPr>
      </w:pPr>
      <w:r>
        <w:rPr>
          <w:rFonts w:ascii="Courier New" w:cs="Courier New" w:eastAsia="Courier New" w:hAnsi="Courier New"/>
          <w:sz w:val="15"/>
          <w:szCs w:val="15"/>
          <w:color w:val="auto"/>
        </w:rPr>
        <w:t>$16,308</w:t>
      </w:r>
      <w:r>
        <w:rPr>
          <w:sz w:val="20"/>
          <w:szCs w:val="20"/>
          <w:color w:val="auto"/>
        </w:rPr>
        <w:tab/>
      </w:r>
      <w:r>
        <w:rPr>
          <w:rFonts w:ascii="Courier New" w:cs="Courier New" w:eastAsia="Courier New" w:hAnsi="Courier New"/>
          <w:sz w:val="14"/>
          <w:szCs w:val="14"/>
          <w:color w:val="auto"/>
        </w:rPr>
        <w:t>$28,289</w:t>
      </w:r>
    </w:p>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7. Bank Loans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short-term bank loan facilities as follows:</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On November 17, 1998, the Company entered into an overdraft facility, (the A.I.B. facility) for (euro)2.5million (U.S.$2.9million) with Allied Irish Banks plc, ("A.I.B"). This facility bears interest at an annual rate equal to A.I.B. Bank's Prime Rate. The full amount of the unpaid principal and interest is due and repayable on demand. This A.I.B. facility expires on June 30, 2003. As of May 31, 2003, the full amount of this facility was available to be drawn down.</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29, 2002, the Company entered into an additional A.I.B. facility for Stg (pound)50,000 (U.S.$81,746). This facility bears interest at an annual rate equal to A.I.B. Bank's Prime Rate plus two percent. The full amount of the unpaid principal and interest is due and repayable on demand. This A.I.B. facility expires on June 30, 2003. As of May 31, 2003, Stg (pound)8,816 (U.S.$14,413) of this facility was available to be drawn down.</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Company's U.S. subsidiary ICON Clinical Research, Inc.(the "borrower") has a U.S.$12 million secured line of credit (the "PNC facility") with PNC Bank N.A. ("PNC"). Borrowings under the PNC Facility must be the lesser of (a) U.S.$12 million and (b) the sum of (i) 80% of the borrower's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plus one quarter percent. The full sum of the unpaid principal and interest is due and payable on demand. The PNC Facility is secured by a first priority security interest in certain assets of the borrower. As of May 31, 2003, U.S.$5.1 million of this facility was available to be drawn down.</w:t>
      </w:r>
    </w:p>
    <w:p>
      <w:pPr>
        <w:spacing w:after="0" w:line="16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 entered into an overdraft agreement with A.I.B., whereby the company guarantees any overdrafts of the subsidiaries ICON Clinical Research GmbH and ICON Clinical Research Israel Ltd. up to an amount (euro)120,000 (U.S.$141,396) and U.S.$250,000 (ILS 1,100,013), respectively. As of May 31, 2003, the full German facility and Israeli facility were available to be drawn down.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Contributions to this plan are recorded, as expense in the Consolidated Statement of Operations. Contributions for the years ended May 31, 2001, 2002 and 2003 were U.S.$998,000, U.S.$1,265,000, and U.S.$1,649,793 respectively.</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2001, 2002 and 2003 were U.S.$781,000, U.S.$1,320,000, and U.S.$1,811,156 respectively.</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One of the Company's subsidiaries which was acquired during the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2003 consist of units held in independently administered funds. The pension costs of this plan are presented in the following tables in accordance with the requirements of SFAS No.132, "Employees' Disclosures about Pensions and Other Post-retirement Benefits".</w:t>
      </w:r>
    </w:p>
    <w:p>
      <w:pPr>
        <w:spacing w:after="0" w:line="161" w:lineRule="exact"/>
        <w:rPr>
          <w:sz w:val="20"/>
          <w:szCs w:val="20"/>
          <w:color w:val="auto"/>
        </w:rPr>
      </w:pPr>
    </w:p>
    <w:p>
      <w:pPr>
        <w:spacing w:after="0"/>
        <w:tabs>
          <w:tab w:leader="none" w:pos="5620" w:val="left"/>
        </w:tabs>
        <w:rPr>
          <w:sz w:val="20"/>
          <w:szCs w:val="20"/>
          <w:color w:val="auto"/>
        </w:rPr>
      </w:pPr>
      <w:r>
        <w:rPr>
          <w:rFonts w:ascii="Courier New" w:cs="Courier New" w:eastAsia="Courier New" w:hAnsi="Courier New"/>
          <w:sz w:val="15"/>
          <w:szCs w:val="15"/>
          <w:color w:val="auto"/>
        </w:rPr>
        <w:t>Change in benefit obligation</w:t>
      </w:r>
      <w:r>
        <w:rPr>
          <w:sz w:val="20"/>
          <w:szCs w:val="20"/>
          <w:color w:val="auto"/>
        </w:rPr>
        <w:tab/>
      </w:r>
      <w:r>
        <w:rPr>
          <w:rFonts w:ascii="Courier New" w:cs="Courier New" w:eastAsia="Courier New" w:hAnsi="Courier New"/>
          <w:sz w:val="14"/>
          <w:szCs w:val="14"/>
          <w:color w:val="auto"/>
        </w:rPr>
        <w:t>May 31, 2003</w:t>
      </w:r>
    </w:p>
    <w:p>
      <w:pPr>
        <w:ind w:left="5460"/>
        <w:spacing w:after="0"/>
        <w:rPr>
          <w:sz w:val="20"/>
          <w:szCs w:val="20"/>
          <w:color w:val="auto"/>
        </w:rPr>
      </w:pPr>
      <w:r>
        <w:rPr>
          <w:rFonts w:ascii="Courier New" w:cs="Courier New" w:eastAsia="Courier New" w:hAnsi="Courier New"/>
          <w:sz w:val="15"/>
          <w:szCs w:val="15"/>
          <w:color w:val="auto"/>
        </w:rPr>
        <w:t>(in thousands)</w:t>
      </w:r>
    </w:p>
    <w:p>
      <w:pPr>
        <w:spacing w:after="0"/>
        <w:tabs>
          <w:tab w:leader="none" w:pos="6140" w:val="left"/>
        </w:tabs>
        <w:rPr>
          <w:sz w:val="20"/>
          <w:szCs w:val="20"/>
          <w:color w:val="auto"/>
        </w:rPr>
      </w:pPr>
      <w:r>
        <w:rPr>
          <w:rFonts w:ascii="Courier New" w:cs="Courier New" w:eastAsia="Courier New" w:hAnsi="Courier New"/>
          <w:sz w:val="15"/>
          <w:szCs w:val="15"/>
          <w:color w:val="auto"/>
        </w:rPr>
        <w:t>Benefit obligation at acquisition date</w:t>
      </w:r>
      <w:r>
        <w:rPr>
          <w:sz w:val="20"/>
          <w:szCs w:val="20"/>
          <w:color w:val="auto"/>
        </w:rPr>
        <w:tab/>
      </w:r>
      <w:r>
        <w:rPr>
          <w:rFonts w:ascii="Courier New" w:cs="Courier New" w:eastAsia="Courier New" w:hAnsi="Courier New"/>
          <w:sz w:val="14"/>
          <w:szCs w:val="14"/>
          <w:color w:val="auto"/>
        </w:rPr>
        <w:t>$6,759</w:t>
      </w:r>
    </w:p>
    <w:p>
      <w:pPr>
        <w:spacing w:after="0"/>
        <w:tabs>
          <w:tab w:leader="none" w:pos="6400" w:val="left"/>
        </w:tabs>
        <w:rPr>
          <w:sz w:val="20"/>
          <w:szCs w:val="20"/>
          <w:color w:val="auto"/>
        </w:rPr>
      </w:pPr>
      <w:r>
        <w:rPr>
          <w:rFonts w:ascii="Courier New" w:cs="Courier New" w:eastAsia="Courier New" w:hAnsi="Courier New"/>
          <w:sz w:val="15"/>
          <w:szCs w:val="15"/>
          <w:color w:val="auto"/>
        </w:rPr>
        <w:t>Service cost</w:t>
      </w:r>
      <w:r>
        <w:rPr>
          <w:sz w:val="20"/>
          <w:szCs w:val="20"/>
          <w:color w:val="auto"/>
        </w:rPr>
        <w:tab/>
      </w:r>
      <w:r>
        <w:rPr>
          <w:rFonts w:ascii="Courier New" w:cs="Courier New" w:eastAsia="Courier New" w:hAnsi="Courier New"/>
          <w:sz w:val="14"/>
          <w:szCs w:val="14"/>
          <w:color w:val="auto"/>
        </w:rPr>
        <w:t>186</w:t>
      </w:r>
    </w:p>
    <w:p>
      <w:pPr>
        <w:spacing w:after="0"/>
        <w:tabs>
          <w:tab w:leader="none" w:pos="6400" w:val="left"/>
        </w:tabs>
        <w:rPr>
          <w:sz w:val="20"/>
          <w:szCs w:val="20"/>
          <w:color w:val="auto"/>
        </w:rPr>
      </w:pPr>
      <w:r>
        <w:rPr>
          <w:rFonts w:ascii="Courier New" w:cs="Courier New" w:eastAsia="Courier New" w:hAnsi="Courier New"/>
          <w:sz w:val="15"/>
          <w:szCs w:val="15"/>
          <w:color w:val="auto"/>
        </w:rPr>
        <w:t>Interest cost</w:t>
      </w:r>
      <w:r>
        <w:rPr>
          <w:sz w:val="20"/>
          <w:szCs w:val="20"/>
          <w:color w:val="auto"/>
        </w:rPr>
        <w:tab/>
      </w:r>
      <w:r>
        <w:rPr>
          <w:rFonts w:ascii="Courier New" w:cs="Courier New" w:eastAsia="Courier New" w:hAnsi="Courier New"/>
          <w:sz w:val="14"/>
          <w:szCs w:val="14"/>
          <w:color w:val="auto"/>
        </w:rPr>
        <w:t>127</w:t>
      </w:r>
    </w:p>
    <w:p>
      <w:pPr>
        <w:spacing w:after="0"/>
        <w:tabs>
          <w:tab w:leader="none" w:pos="6500" w:val="left"/>
        </w:tabs>
        <w:rPr>
          <w:sz w:val="20"/>
          <w:szCs w:val="20"/>
          <w:color w:val="auto"/>
        </w:rPr>
      </w:pPr>
      <w:r>
        <w:rPr>
          <w:rFonts w:ascii="Courier New" w:cs="Courier New" w:eastAsia="Courier New" w:hAnsi="Courier New"/>
          <w:sz w:val="15"/>
          <w:szCs w:val="15"/>
          <w:color w:val="auto"/>
        </w:rPr>
        <w:t>Plan participants' contributions</w:t>
      </w:r>
      <w:r>
        <w:rPr>
          <w:sz w:val="20"/>
          <w:szCs w:val="20"/>
          <w:color w:val="auto"/>
        </w:rPr>
        <w:tab/>
      </w:r>
      <w:r>
        <w:rPr>
          <w:rFonts w:ascii="Courier New" w:cs="Courier New" w:eastAsia="Courier New" w:hAnsi="Courier New"/>
          <w:sz w:val="13"/>
          <w:szCs w:val="13"/>
          <w:color w:val="auto"/>
        </w:rPr>
        <w:t>96</w:t>
      </w:r>
    </w:p>
    <w:p>
      <w:pPr>
        <w:spacing w:after="0"/>
        <w:tabs>
          <w:tab w:leader="none" w:pos="6320" w:val="left"/>
        </w:tabs>
        <w:rPr>
          <w:sz w:val="20"/>
          <w:szCs w:val="20"/>
          <w:color w:val="auto"/>
        </w:rPr>
      </w:pPr>
      <w:r>
        <w:rPr>
          <w:rFonts w:ascii="Courier New" w:cs="Courier New" w:eastAsia="Courier New" w:hAnsi="Courier New"/>
          <w:sz w:val="15"/>
          <w:szCs w:val="15"/>
          <w:color w:val="auto"/>
        </w:rPr>
        <w:t>Actuarial loss</w:t>
      </w:r>
      <w:r>
        <w:rPr>
          <w:sz w:val="20"/>
          <w:szCs w:val="20"/>
          <w:color w:val="auto"/>
        </w:rPr>
        <w:tab/>
      </w:r>
      <w:r>
        <w:rPr>
          <w:rFonts w:ascii="Courier New" w:cs="Courier New" w:eastAsia="Courier New" w:hAnsi="Courier New"/>
          <w:sz w:val="14"/>
          <w:szCs w:val="14"/>
          <w:color w:val="auto"/>
        </w:rPr>
        <w:t>(22)</w:t>
      </w:r>
    </w:p>
    <w:p>
      <w:pPr>
        <w:spacing w:after="0"/>
        <w:tabs>
          <w:tab w:leader="none" w:pos="6500" w:val="left"/>
        </w:tabs>
        <w:rPr>
          <w:sz w:val="20"/>
          <w:szCs w:val="20"/>
          <w:color w:val="auto"/>
        </w:rPr>
      </w:pPr>
      <w:r>
        <w:rPr>
          <w:rFonts w:ascii="Courier New" w:cs="Courier New" w:eastAsia="Courier New" w:hAnsi="Courier New"/>
          <w:sz w:val="15"/>
          <w:szCs w:val="15"/>
          <w:color w:val="auto"/>
        </w:rPr>
        <w:t>Foreign currency exchange rate changes</w:t>
      </w:r>
      <w:r>
        <w:rPr>
          <w:sz w:val="20"/>
          <w:szCs w:val="20"/>
          <w:color w:val="auto"/>
        </w:rPr>
        <w:tab/>
      </w:r>
      <w:r>
        <w:rPr>
          <w:rFonts w:ascii="Courier New" w:cs="Courier New" w:eastAsia="Courier New" w:hAnsi="Courier New"/>
          <w:sz w:val="13"/>
          <w:szCs w:val="13"/>
          <w:color w:val="auto"/>
        </w:rPr>
        <w:t>61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5"/>
          <w:szCs w:val="15"/>
          <w:color w:val="auto"/>
        </w:rPr>
        <w:t>Benefit obligation at end of year</w:t>
      </w:r>
      <w:r>
        <w:rPr>
          <w:sz w:val="20"/>
          <w:szCs w:val="20"/>
          <w:color w:val="auto"/>
        </w:rPr>
        <w:tab/>
      </w:r>
      <w:r>
        <w:rPr>
          <w:rFonts w:ascii="Courier New" w:cs="Courier New" w:eastAsia="Courier New" w:hAnsi="Courier New"/>
          <w:sz w:val="14"/>
          <w:szCs w:val="14"/>
          <w:color w:val="auto"/>
        </w:rPr>
        <w:t>$7,207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620" w:val="left"/>
        </w:tabs>
        <w:rPr>
          <w:sz w:val="20"/>
          <w:szCs w:val="20"/>
          <w:color w:val="auto"/>
        </w:rPr>
      </w:pPr>
      <w:r>
        <w:rPr>
          <w:rFonts w:ascii="Courier New" w:cs="Courier New" w:eastAsia="Courier New" w:hAnsi="Courier New"/>
          <w:sz w:val="15"/>
          <w:szCs w:val="15"/>
          <w:color w:val="auto"/>
        </w:rPr>
        <w:t>Change in plan assets</w:t>
      </w:r>
      <w:r>
        <w:rPr>
          <w:sz w:val="20"/>
          <w:szCs w:val="20"/>
          <w:color w:val="auto"/>
        </w:rPr>
        <w:tab/>
      </w:r>
      <w:r>
        <w:rPr>
          <w:rFonts w:ascii="Courier New" w:cs="Courier New" w:eastAsia="Courier New" w:hAnsi="Courier New"/>
          <w:sz w:val="14"/>
          <w:szCs w:val="14"/>
          <w:color w:val="auto"/>
        </w:rPr>
        <w:t>May 31, 2003</w:t>
      </w:r>
    </w:p>
    <w:p>
      <w:pPr>
        <w:ind w:left="5460"/>
        <w:spacing w:after="0"/>
        <w:rPr>
          <w:sz w:val="20"/>
          <w:szCs w:val="20"/>
          <w:color w:val="auto"/>
        </w:rPr>
      </w:pPr>
      <w:r>
        <w:rPr>
          <w:rFonts w:ascii="Courier New" w:cs="Courier New" w:eastAsia="Courier New" w:hAnsi="Courier New"/>
          <w:sz w:val="15"/>
          <w:szCs w:val="15"/>
          <w:color w:val="auto"/>
        </w:rPr>
        <w:t>(in thousands)</w:t>
      </w:r>
    </w:p>
    <w:p>
      <w:pPr>
        <w:spacing w:after="0"/>
        <w:tabs>
          <w:tab w:leader="none" w:pos="6140" w:val="left"/>
        </w:tabs>
        <w:rPr>
          <w:sz w:val="20"/>
          <w:szCs w:val="20"/>
          <w:color w:val="auto"/>
        </w:rPr>
      </w:pPr>
      <w:r>
        <w:rPr>
          <w:rFonts w:ascii="Courier New" w:cs="Courier New" w:eastAsia="Courier New" w:hAnsi="Courier New"/>
          <w:sz w:val="15"/>
          <w:szCs w:val="15"/>
          <w:color w:val="auto"/>
        </w:rPr>
        <w:t>Fair value of plan assets at acquisition date</w:t>
      </w:r>
      <w:r>
        <w:rPr>
          <w:sz w:val="20"/>
          <w:szCs w:val="20"/>
          <w:color w:val="auto"/>
        </w:rPr>
        <w:tab/>
      </w:r>
      <w:r>
        <w:rPr>
          <w:rFonts w:ascii="Courier New" w:cs="Courier New" w:eastAsia="Courier New" w:hAnsi="Courier New"/>
          <w:sz w:val="14"/>
          <w:szCs w:val="14"/>
          <w:color w:val="auto"/>
        </w:rPr>
        <w:t>$4,171</w:t>
      </w:r>
    </w:p>
    <w:p>
      <w:pPr>
        <w:spacing w:after="0"/>
        <w:tabs>
          <w:tab w:leader="none" w:pos="6220" w:val="left"/>
        </w:tabs>
        <w:rPr>
          <w:sz w:val="20"/>
          <w:szCs w:val="20"/>
          <w:color w:val="auto"/>
        </w:rPr>
      </w:pPr>
      <w:r>
        <w:rPr>
          <w:rFonts w:ascii="Courier New" w:cs="Courier New" w:eastAsia="Courier New" w:hAnsi="Courier New"/>
          <w:sz w:val="15"/>
          <w:szCs w:val="15"/>
          <w:color w:val="auto"/>
        </w:rPr>
        <w:t>Actual return on plan assets</w:t>
      </w:r>
      <w:r>
        <w:rPr>
          <w:sz w:val="20"/>
          <w:szCs w:val="20"/>
          <w:color w:val="auto"/>
        </w:rPr>
        <w:tab/>
      </w:r>
      <w:r>
        <w:rPr>
          <w:rFonts w:ascii="Courier New" w:cs="Courier New" w:eastAsia="Courier New" w:hAnsi="Courier New"/>
          <w:sz w:val="14"/>
          <w:szCs w:val="14"/>
          <w:color w:val="auto"/>
        </w:rPr>
        <w:t>(148)</w:t>
      </w:r>
    </w:p>
    <w:p>
      <w:pPr>
        <w:spacing w:after="0"/>
        <w:tabs>
          <w:tab w:leader="none" w:pos="6400" w:val="left"/>
        </w:tabs>
        <w:rPr>
          <w:sz w:val="20"/>
          <w:szCs w:val="20"/>
          <w:color w:val="auto"/>
        </w:rPr>
      </w:pPr>
      <w:r>
        <w:rPr>
          <w:rFonts w:ascii="Courier New" w:cs="Courier New" w:eastAsia="Courier New" w:hAnsi="Courier New"/>
          <w:sz w:val="15"/>
          <w:szCs w:val="15"/>
          <w:color w:val="auto"/>
        </w:rPr>
        <w:t>Employer contributions</w:t>
      </w:r>
      <w:r>
        <w:rPr>
          <w:sz w:val="20"/>
          <w:szCs w:val="20"/>
          <w:color w:val="auto"/>
        </w:rPr>
        <w:tab/>
      </w:r>
      <w:r>
        <w:rPr>
          <w:rFonts w:ascii="Courier New" w:cs="Courier New" w:eastAsia="Courier New" w:hAnsi="Courier New"/>
          <w:sz w:val="14"/>
          <w:szCs w:val="14"/>
          <w:color w:val="auto"/>
        </w:rPr>
        <w:t>221</w:t>
      </w:r>
    </w:p>
    <w:p>
      <w:pPr>
        <w:spacing w:after="0"/>
        <w:tabs>
          <w:tab w:leader="none" w:pos="6500" w:val="left"/>
        </w:tabs>
        <w:rPr>
          <w:sz w:val="20"/>
          <w:szCs w:val="20"/>
          <w:color w:val="auto"/>
        </w:rPr>
      </w:pPr>
      <w:r>
        <w:rPr>
          <w:rFonts w:ascii="Courier New" w:cs="Courier New" w:eastAsia="Courier New" w:hAnsi="Courier New"/>
          <w:sz w:val="15"/>
          <w:szCs w:val="15"/>
          <w:color w:val="auto"/>
        </w:rPr>
        <w:t>Plan participants' contributions</w:t>
      </w:r>
      <w:r>
        <w:rPr>
          <w:sz w:val="20"/>
          <w:szCs w:val="20"/>
          <w:color w:val="auto"/>
        </w:rPr>
        <w:tab/>
      </w:r>
      <w:r>
        <w:rPr>
          <w:rFonts w:ascii="Courier New" w:cs="Courier New" w:eastAsia="Courier New" w:hAnsi="Courier New"/>
          <w:sz w:val="13"/>
          <w:szCs w:val="13"/>
          <w:color w:val="auto"/>
        </w:rPr>
        <w:t>96</w:t>
      </w:r>
    </w:p>
    <w:p>
      <w:pPr>
        <w:spacing w:after="0"/>
        <w:tabs>
          <w:tab w:leader="none" w:pos="6500" w:val="left"/>
        </w:tabs>
        <w:rPr>
          <w:sz w:val="20"/>
          <w:szCs w:val="20"/>
          <w:color w:val="auto"/>
        </w:rPr>
      </w:pPr>
      <w:r>
        <w:rPr>
          <w:rFonts w:ascii="Courier New" w:cs="Courier New" w:eastAsia="Courier New" w:hAnsi="Courier New"/>
          <w:sz w:val="15"/>
          <w:szCs w:val="15"/>
          <w:color w:val="auto"/>
        </w:rPr>
        <w:t>Foreign currency exchange rate changes</w:t>
      </w:r>
      <w:r>
        <w:rPr>
          <w:sz w:val="20"/>
          <w:szCs w:val="20"/>
          <w:color w:val="auto"/>
        </w:rPr>
        <w:tab/>
      </w:r>
      <w:r>
        <w:rPr>
          <w:rFonts w:ascii="Courier New" w:cs="Courier New" w:eastAsia="Courier New" w:hAnsi="Courier New"/>
          <w:sz w:val="13"/>
          <w:szCs w:val="13"/>
          <w:color w:val="auto"/>
        </w:rPr>
        <w:t>38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5"/>
          <w:szCs w:val="15"/>
          <w:color w:val="auto"/>
        </w:rPr>
        <w:t>Fair value of plan assets at end of year</w:t>
      </w:r>
      <w:r>
        <w:rPr>
          <w:sz w:val="20"/>
          <w:szCs w:val="20"/>
          <w:color w:val="auto"/>
        </w:rPr>
        <w:tab/>
      </w:r>
      <w:r>
        <w:rPr>
          <w:rFonts w:ascii="Courier New" w:cs="Courier New" w:eastAsia="Courier New" w:hAnsi="Courier New"/>
          <w:sz w:val="14"/>
          <w:szCs w:val="14"/>
          <w:color w:val="auto"/>
        </w:rPr>
        <w:t>$4,378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620" w:val="left"/>
        </w:tabs>
        <w:rPr>
          <w:sz w:val="20"/>
          <w:szCs w:val="20"/>
          <w:color w:val="auto"/>
        </w:rPr>
      </w:pPr>
      <w:r>
        <w:rPr>
          <w:rFonts w:ascii="Courier New" w:cs="Courier New" w:eastAsia="Courier New" w:hAnsi="Courier New"/>
          <w:sz w:val="15"/>
          <w:szCs w:val="15"/>
          <w:color w:val="auto"/>
        </w:rPr>
        <w:t>Funded status</w:t>
      </w:r>
      <w:r>
        <w:rPr>
          <w:sz w:val="20"/>
          <w:szCs w:val="20"/>
          <w:color w:val="auto"/>
        </w:rPr>
        <w:tab/>
      </w:r>
      <w:r>
        <w:rPr>
          <w:rFonts w:ascii="Courier New" w:cs="Courier New" w:eastAsia="Courier New" w:hAnsi="Courier New"/>
          <w:sz w:val="14"/>
          <w:szCs w:val="14"/>
          <w:color w:val="auto"/>
        </w:rPr>
        <w:t>May 31, 2003</w:t>
      </w:r>
    </w:p>
    <w:p>
      <w:pPr>
        <w:ind w:left="5460"/>
        <w:spacing w:after="0"/>
        <w:rPr>
          <w:sz w:val="20"/>
          <w:szCs w:val="20"/>
          <w:color w:val="auto"/>
        </w:rPr>
      </w:pPr>
      <w:r>
        <w:rPr>
          <w:rFonts w:ascii="Courier New" w:cs="Courier New" w:eastAsia="Courier New" w:hAnsi="Courier New"/>
          <w:sz w:val="15"/>
          <w:szCs w:val="15"/>
          <w:color w:val="auto"/>
        </w:rPr>
        <w:t>(in thousands)</w:t>
      </w:r>
    </w:p>
    <w:p>
      <w:pPr>
        <w:spacing w:after="0"/>
        <w:tabs>
          <w:tab w:leader="none" w:pos="5960" w:val="left"/>
        </w:tabs>
        <w:rPr>
          <w:sz w:val="20"/>
          <w:szCs w:val="20"/>
          <w:color w:val="auto"/>
        </w:rPr>
      </w:pPr>
      <w:r>
        <w:rPr>
          <w:rFonts w:ascii="Courier New" w:cs="Courier New" w:eastAsia="Courier New" w:hAnsi="Courier New"/>
          <w:sz w:val="15"/>
          <w:szCs w:val="15"/>
          <w:color w:val="auto"/>
        </w:rPr>
        <w:t>Funded status</w:t>
      </w:r>
      <w:r>
        <w:rPr>
          <w:sz w:val="20"/>
          <w:szCs w:val="20"/>
          <w:color w:val="auto"/>
        </w:rPr>
        <w:tab/>
      </w:r>
      <w:r>
        <w:rPr>
          <w:rFonts w:ascii="Courier New" w:cs="Courier New" w:eastAsia="Courier New" w:hAnsi="Courier New"/>
          <w:sz w:val="14"/>
          <w:szCs w:val="14"/>
          <w:color w:val="auto"/>
        </w:rPr>
        <w:t>$(2,829)</w:t>
      </w:r>
    </w:p>
    <w:p>
      <w:pPr>
        <w:spacing w:after="0"/>
        <w:tabs>
          <w:tab w:leader="none" w:pos="6400" w:val="left"/>
        </w:tabs>
        <w:rPr>
          <w:sz w:val="20"/>
          <w:szCs w:val="20"/>
          <w:color w:val="auto"/>
        </w:rPr>
      </w:pPr>
      <w:r>
        <w:rPr>
          <w:rFonts w:ascii="Courier New" w:cs="Courier New" w:eastAsia="Courier New" w:hAnsi="Courier New"/>
          <w:sz w:val="15"/>
          <w:szCs w:val="15"/>
          <w:color w:val="auto"/>
        </w:rPr>
        <w:t>Unrecognized net loss</w:t>
      </w:r>
      <w:r>
        <w:rPr>
          <w:sz w:val="20"/>
          <w:szCs w:val="20"/>
          <w:color w:val="auto"/>
        </w:rPr>
        <w:tab/>
      </w:r>
      <w:r>
        <w:rPr>
          <w:rFonts w:ascii="Courier New" w:cs="Courier New" w:eastAsia="Courier New" w:hAnsi="Courier New"/>
          <w:sz w:val="14"/>
          <w:szCs w:val="14"/>
          <w:color w:val="auto"/>
        </w:rPr>
        <w:t>197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5"/>
          <w:szCs w:val="15"/>
          <w:color w:val="auto"/>
        </w:rPr>
        <w:t>Pension liability</w:t>
      </w:r>
      <w:r>
        <w:rPr>
          <w:sz w:val="20"/>
          <w:szCs w:val="20"/>
          <w:color w:val="auto"/>
        </w:rPr>
        <w:tab/>
      </w:r>
      <w:r>
        <w:rPr>
          <w:rFonts w:ascii="Courier New" w:cs="Courier New" w:eastAsia="Courier New" w:hAnsi="Courier New"/>
          <w:sz w:val="14"/>
          <w:szCs w:val="14"/>
          <w:color w:val="auto"/>
        </w:rPr>
        <w:t>$(2,632)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420" w:val="left"/>
          <w:tab w:leader="none" w:pos="860" w:val="left"/>
          <w:tab w:leader="none" w:pos="1740" w:val="left"/>
          <w:tab w:leader="none" w:pos="2520" w:val="left"/>
          <w:tab w:leader="none" w:pos="3060" w:val="left"/>
          <w:tab w:leader="none" w:pos="3500" w:val="left"/>
          <w:tab w:leader="none" w:pos="4460" w:val="left"/>
          <w:tab w:leader="none" w:pos="4820" w:val="left"/>
          <w:tab w:leader="none" w:pos="5620" w:val="left"/>
        </w:tabs>
        <w:rPr>
          <w:sz w:val="20"/>
          <w:szCs w:val="20"/>
          <w:color w:val="auto"/>
        </w:rPr>
      </w:pPr>
      <w:r>
        <w:rPr>
          <w:rFonts w:ascii="Courier New" w:cs="Courier New" w:eastAsia="Courier New" w:hAnsi="Courier New"/>
          <w:sz w:val="15"/>
          <w:szCs w:val="15"/>
          <w:color w:val="auto"/>
        </w:rPr>
        <w:t>The</w:t>
        <w:tab/>
        <w:t>net</w:t>
        <w:tab/>
        <w:t>periodic</w:t>
        <w:tab/>
        <w:t>pension</w:t>
        <w:tab/>
        <w:t>cost</w:t>
        <w:tab/>
        <w:t>was</w:t>
        <w:tab/>
        <w:t>comprised</w:t>
        <w:tab/>
        <w:t>of</w:t>
        <w:tab/>
        <w:t>the</w:t>
      </w:r>
      <w:r>
        <w:rPr>
          <w:sz w:val="20"/>
          <w:szCs w:val="20"/>
          <w:color w:val="auto"/>
        </w:rPr>
        <w:tab/>
      </w:r>
      <w:r>
        <w:rPr>
          <w:rFonts w:ascii="Courier New" w:cs="Courier New" w:eastAsia="Courier New" w:hAnsi="Courier New"/>
          <w:sz w:val="14"/>
          <w:szCs w:val="14"/>
          <w:color w:val="auto"/>
        </w:rPr>
        <w:t>May 31, 2003</w:t>
      </w:r>
    </w:p>
    <w:p>
      <w:pPr>
        <w:spacing w:after="0"/>
        <w:rPr>
          <w:sz w:val="20"/>
          <w:szCs w:val="20"/>
          <w:color w:val="auto"/>
        </w:rPr>
      </w:pPr>
      <w:r>
        <w:rPr>
          <w:rFonts w:ascii="Courier New" w:cs="Courier New" w:eastAsia="Courier New" w:hAnsi="Courier New"/>
          <w:sz w:val="15"/>
          <w:szCs w:val="15"/>
          <w:color w:val="auto"/>
        </w:rPr>
        <w:t>following:</w:t>
      </w:r>
    </w:p>
    <w:p>
      <w:pPr>
        <w:ind w:left="5460"/>
        <w:spacing w:after="0"/>
        <w:rPr>
          <w:sz w:val="20"/>
          <w:szCs w:val="20"/>
          <w:color w:val="auto"/>
        </w:rPr>
      </w:pPr>
      <w:r>
        <w:rPr>
          <w:rFonts w:ascii="Courier New" w:cs="Courier New" w:eastAsia="Courier New" w:hAnsi="Courier New"/>
          <w:sz w:val="15"/>
          <w:szCs w:val="15"/>
          <w:color w:val="auto"/>
        </w:rPr>
        <w:t>(in thousands)</w:t>
      </w:r>
    </w:p>
    <w:p>
      <w:pPr>
        <w:spacing w:after="0"/>
        <w:tabs>
          <w:tab w:leader="none" w:pos="6320" w:val="left"/>
        </w:tabs>
        <w:rPr>
          <w:sz w:val="20"/>
          <w:szCs w:val="20"/>
          <w:color w:val="auto"/>
        </w:rPr>
      </w:pPr>
      <w:r>
        <w:rPr>
          <w:rFonts w:ascii="Courier New" w:cs="Courier New" w:eastAsia="Courier New" w:hAnsi="Courier New"/>
          <w:sz w:val="15"/>
          <w:szCs w:val="15"/>
          <w:color w:val="auto"/>
        </w:rPr>
        <w:t>Service cost</w:t>
      </w:r>
      <w:r>
        <w:rPr>
          <w:sz w:val="20"/>
          <w:szCs w:val="20"/>
          <w:color w:val="auto"/>
        </w:rPr>
        <w:tab/>
      </w:r>
      <w:r>
        <w:rPr>
          <w:rFonts w:ascii="Courier New" w:cs="Courier New" w:eastAsia="Courier New" w:hAnsi="Courier New"/>
          <w:sz w:val="14"/>
          <w:szCs w:val="14"/>
          <w:color w:val="auto"/>
        </w:rPr>
        <w:t>$186</w:t>
      </w:r>
    </w:p>
    <w:p>
      <w:pPr>
        <w:spacing w:after="0"/>
        <w:tabs>
          <w:tab w:leader="none" w:pos="6400" w:val="left"/>
        </w:tabs>
        <w:rPr>
          <w:sz w:val="20"/>
          <w:szCs w:val="20"/>
          <w:color w:val="auto"/>
        </w:rPr>
      </w:pPr>
      <w:r>
        <w:rPr>
          <w:rFonts w:ascii="Courier New" w:cs="Courier New" w:eastAsia="Courier New" w:hAnsi="Courier New"/>
          <w:sz w:val="15"/>
          <w:szCs w:val="15"/>
          <w:color w:val="auto"/>
        </w:rPr>
        <w:t>Interest cost</w:t>
      </w:r>
      <w:r>
        <w:rPr>
          <w:sz w:val="20"/>
          <w:szCs w:val="20"/>
          <w:color w:val="auto"/>
        </w:rPr>
        <w:tab/>
      </w:r>
      <w:r>
        <w:rPr>
          <w:rFonts w:ascii="Courier New" w:cs="Courier New" w:eastAsia="Courier New" w:hAnsi="Courier New"/>
          <w:sz w:val="14"/>
          <w:szCs w:val="14"/>
          <w:color w:val="auto"/>
        </w:rPr>
        <w:t>127</w:t>
      </w:r>
    </w:p>
    <w:p>
      <w:pPr>
        <w:spacing w:after="0"/>
        <w:tabs>
          <w:tab w:leader="none" w:pos="6320" w:val="left"/>
        </w:tabs>
        <w:rPr>
          <w:sz w:val="20"/>
          <w:szCs w:val="20"/>
          <w:color w:val="auto"/>
        </w:rPr>
      </w:pPr>
      <w:r>
        <w:rPr>
          <w:rFonts w:ascii="Courier New" w:cs="Courier New" w:eastAsia="Courier New" w:hAnsi="Courier New"/>
          <w:sz w:val="15"/>
          <w:szCs w:val="15"/>
          <w:color w:val="auto"/>
        </w:rPr>
        <w:t>Expected return on plan assets</w:t>
      </w:r>
      <w:r>
        <w:rPr>
          <w:sz w:val="20"/>
          <w:szCs w:val="20"/>
          <w:color w:val="auto"/>
        </w:rPr>
        <w:tab/>
      </w:r>
      <w:r>
        <w:rPr>
          <w:rFonts w:ascii="Courier New" w:cs="Courier New" w:eastAsia="Courier New" w:hAnsi="Courier New"/>
          <w:sz w:val="14"/>
          <w:szCs w:val="14"/>
          <w:color w:val="auto"/>
        </w:rPr>
        <w:t>(99)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5"/>
          <w:szCs w:val="15"/>
          <w:color w:val="auto"/>
        </w:rPr>
        <w:t>Net periodic pension costs</w:t>
      </w:r>
      <w:r>
        <w:rPr>
          <w:sz w:val="20"/>
          <w:szCs w:val="20"/>
          <w:color w:val="auto"/>
        </w:rPr>
        <w:tab/>
      </w:r>
      <w:r>
        <w:rPr>
          <w:rFonts w:ascii="Courier New" w:cs="Courier New" w:eastAsia="Courier New" w:hAnsi="Courier New"/>
          <w:sz w:val="14"/>
          <w:szCs w:val="14"/>
          <w:color w:val="auto"/>
        </w:rPr>
        <w:t>$214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weighted average assumptions used in the calculation of the pension cost were a discount rate of 5.10% (date of acquisition: 5.25%), an expected return on plan assets of 6.50% (date of acquisition: 6.50%) and a 3.75% (date of acquisition: 3.75%) rate of compensation increase.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9. Share Options</w:t>
      </w:r>
    </w:p>
    <w:p>
      <w:pPr>
        <w:spacing w:after="0" w:line="175" w:lineRule="exact"/>
        <w:rPr>
          <w:sz w:val="20"/>
          <w:szCs w:val="20"/>
          <w:color w:val="auto"/>
        </w:rPr>
      </w:pPr>
    </w:p>
    <w:p>
      <w:pPr>
        <w:ind w:right="3880"/>
        <w:spacing w:after="0" w:line="257" w:lineRule="auto"/>
        <w:rPr>
          <w:sz w:val="20"/>
          <w:szCs w:val="20"/>
          <w:color w:val="auto"/>
        </w:rPr>
      </w:pPr>
      <w:r>
        <w:rPr>
          <w:rFonts w:ascii="Courier New" w:cs="Courier New" w:eastAsia="Courier New" w:hAnsi="Courier New"/>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66" w:lineRule="exact"/>
        <w:rPr>
          <w:sz w:val="20"/>
          <w:szCs w:val="20"/>
          <w:color w:val="auto"/>
        </w:rPr>
      </w:pPr>
    </w:p>
    <w:p>
      <w:pPr>
        <w:ind w:right="4060"/>
        <w:spacing w:after="0" w:line="238" w:lineRule="auto"/>
        <w:rPr>
          <w:sz w:val="20"/>
          <w:szCs w:val="20"/>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options can be granted after January 17, 2013.</w:t>
      </w:r>
    </w:p>
    <w:p>
      <w:pPr>
        <w:spacing w:after="0" w:line="175" w:lineRule="exact"/>
        <w:rPr>
          <w:sz w:val="20"/>
          <w:szCs w:val="20"/>
          <w:color w:val="auto"/>
        </w:rPr>
      </w:pPr>
    </w:p>
    <w:p>
      <w:pPr>
        <w:ind w:right="4060"/>
        <w:spacing w:after="0" w:line="235" w:lineRule="auto"/>
        <w:rPr>
          <w:sz w:val="20"/>
          <w:szCs w:val="20"/>
          <w:color w:val="auto"/>
        </w:rPr>
      </w:pPr>
      <w:r>
        <w:rPr>
          <w:rFonts w:ascii="Courier New" w:cs="Courier New" w:eastAsia="Courier New" w:hAnsi="Courier New"/>
          <w:sz w:val="15"/>
          <w:szCs w:val="15"/>
          <w:color w:val="auto"/>
        </w:rPr>
        <w:t>The following table summarizes the transactions for the Company's share option plans for the three year period ended May 31, 2003:</w:t>
      </w:r>
    </w:p>
    <w:p>
      <w:pPr>
        <w:spacing w:after="0" w:line="200" w:lineRule="exact"/>
        <w:rPr>
          <w:sz w:val="20"/>
          <w:szCs w:val="20"/>
          <w:color w:val="auto"/>
        </w:rPr>
      </w:pPr>
    </w:p>
    <w:p>
      <w:pPr>
        <w:spacing w:after="0" w:line="30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Options</w:t>
            </w: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040" w:type="dxa"/>
            <w:vAlign w:val="bottom"/>
          </w:tcPr>
          <w:p>
            <w:pPr>
              <w:spacing w:after="0"/>
              <w:rPr>
                <w:sz w:val="14"/>
                <w:szCs w:val="14"/>
                <w:color w:val="auto"/>
              </w:rPr>
            </w:pP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Granted</w:t>
            </w: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040" w:type="dxa"/>
            <w:vAlign w:val="bottom"/>
          </w:tcPr>
          <w:p>
            <w:pPr>
              <w:spacing w:after="0"/>
              <w:rPr>
                <w:sz w:val="14"/>
                <w:szCs w:val="14"/>
                <w:color w:val="auto"/>
              </w:rPr>
            </w:pP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Prior to</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 Granted</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3040" w:type="dxa"/>
            <w:vAlign w:val="bottom"/>
          </w:tcPr>
          <w:p>
            <w:pPr>
              <w:spacing w:after="0"/>
              <w:rPr>
                <w:sz w:val="14"/>
                <w:szCs w:val="14"/>
                <w:color w:val="auto"/>
              </w:rPr>
            </w:pP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Jan 15, 1998</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Under Plans</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Outstanding at May 31, 2000</w:t>
            </w: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756,880</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661,610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1,418,490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$8.69</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199,500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$20.90</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(254,220)</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(21,740)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(275,960)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2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(98,610)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(98,610)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2001</w:t>
            </w:r>
          </w:p>
        </w:tc>
        <w:tc>
          <w:tcPr>
            <w:tcW w:w="23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502,660</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740,760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1,243,420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$11.45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223,540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223,540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(210,630)</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(147,470)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(358,100)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(89,240)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(89,240)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2002</w:t>
            </w:r>
          </w:p>
        </w:tc>
        <w:tc>
          <w:tcPr>
            <w:tcW w:w="23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292,030</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727,590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1,019,620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$15.85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283,445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283,445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(39,360)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(39,360)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$18.51</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(78,060)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(78,060)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$22.22</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2003</w:t>
            </w:r>
          </w:p>
        </w:tc>
        <w:tc>
          <w:tcPr>
            <w:tcW w:w="23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292,030</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893,615</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1,185,645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$18.24</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right="4060"/>
        <w:spacing w:after="0" w:line="237" w:lineRule="auto"/>
        <w:rPr>
          <w:sz w:val="20"/>
          <w:szCs w:val="20"/>
          <w:color w:val="auto"/>
        </w:rPr>
      </w:pPr>
      <w:r>
        <w:rPr>
          <w:rFonts w:ascii="Courier New" w:cs="Courier New" w:eastAsia="Courier New" w:hAnsi="Courier New"/>
          <w:sz w:val="15"/>
          <w:szCs w:val="15"/>
          <w:color w:val="auto"/>
        </w:rPr>
        <w:t>None of the share option grants summarized in the above table resulted in compensation expense as the option exercise price was equal to or greater than the estimated fair value of ordinary shares on the date of the grant.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40"/>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share options as of May 31, 2003:</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920"/>
          </w:cols>
          <w:pgMar w:left="240" w:top="622" w:right="739" w:bottom="1440" w:gutter="0" w:footer="0" w:header="0"/>
        </w:sectPr>
      </w:pPr>
    </w:p>
    <w:bookmarkStart w:id="22" w:name="page23"/>
    <w:bookmarkEnd w:id="22"/>
    <w:tbl>
      <w:tblPr>
        <w:tblLayout w:type="fixed"/>
        <w:tblInd w:w="44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Options Outstanding</w:t>
            </w: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 Exercisable</w:t>
            </w:r>
          </w:p>
        </w:tc>
        <w:tc>
          <w:tcPr>
            <w:tcW w:w="154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Weighted</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Weighted</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Range</w:t>
            </w:r>
          </w:p>
        </w:tc>
        <w:tc>
          <w:tcPr>
            <w:tcW w:w="1940" w:type="dxa"/>
            <w:vAlign w:val="bottom"/>
          </w:tcPr>
          <w:p>
            <w:pPr>
              <w:spacing w:after="0"/>
              <w:rPr>
                <w:sz w:val="14"/>
                <w:szCs w:val="14"/>
                <w:color w:val="auto"/>
              </w:rPr>
            </w:pP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Average</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Average</w:t>
            </w:r>
          </w:p>
        </w:tc>
        <w:tc>
          <w:tcPr>
            <w:tcW w:w="20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Exercise</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 of</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Remaining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spacing w:after="0"/>
              <w:rPr>
                <w:sz w:val="14"/>
                <w:szCs w:val="14"/>
                <w:color w:val="auto"/>
              </w:rPr>
            </w:pP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Price</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Contractual Life</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Price</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509"/>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$0.07</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238,030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$0.07</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238,030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$5.45</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$5.45</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$15.63</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270,490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203,720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$21.25</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129,920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$21.25</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47,780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$27.39</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$27.39</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$27.39</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171,060</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$29.00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35,460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276,745</w:t>
            </w:r>
          </w:p>
        </w:tc>
        <w:tc>
          <w:tcPr>
            <w:tcW w:w="1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$28.00</w:t>
            </w:r>
          </w:p>
        </w:tc>
        <w:tc>
          <w:tcPr>
            <w:tcW w:w="2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2180" w:val="left"/>
          <w:tab w:leader="none" w:pos="4560" w:val="left"/>
          <w:tab w:leader="none" w:pos="5440" w:val="left"/>
          <w:tab w:leader="none" w:pos="7200" w:val="left"/>
          <w:tab w:leader="none" w:pos="9140" w:val="left"/>
        </w:tabs>
        <w:rPr>
          <w:sz w:val="20"/>
          <w:szCs w:val="20"/>
          <w:color w:val="auto"/>
        </w:rPr>
      </w:pPr>
      <w:r>
        <w:rPr>
          <w:rFonts w:ascii="Courier New" w:cs="Courier New" w:eastAsia="Courier New" w:hAnsi="Courier New"/>
          <w:sz w:val="15"/>
          <w:szCs w:val="15"/>
          <w:color w:val="auto"/>
        </w:rPr>
        <w:t>$0.07 - 29.00</w:t>
      </w:r>
      <w:r>
        <w:rPr>
          <w:sz w:val="20"/>
          <w:szCs w:val="20"/>
          <w:color w:val="auto"/>
        </w:rPr>
        <w:tab/>
      </w:r>
      <w:r>
        <w:rPr>
          <w:rFonts w:ascii="Courier New" w:cs="Courier New" w:eastAsia="Courier New" w:hAnsi="Courier New"/>
          <w:sz w:val="15"/>
          <w:szCs w:val="15"/>
          <w:color w:val="auto"/>
        </w:rPr>
        <w:t>1,185,645</w:t>
      </w:r>
      <w:r>
        <w:rPr>
          <w:sz w:val="20"/>
          <w:szCs w:val="20"/>
          <w:color w:val="auto"/>
        </w:rPr>
        <w:tab/>
      </w: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$18.21</w:t>
      </w:r>
      <w:r>
        <w:rPr>
          <w:sz w:val="20"/>
          <w:szCs w:val="20"/>
          <w:color w:val="auto"/>
        </w:rPr>
        <w:tab/>
      </w:r>
      <w:r>
        <w:rPr>
          <w:rFonts w:ascii="Courier New" w:cs="Courier New" w:eastAsia="Courier New" w:hAnsi="Courier New"/>
          <w:sz w:val="15"/>
          <w:szCs w:val="15"/>
          <w:color w:val="auto"/>
        </w:rPr>
        <w:t>597,890</w:t>
      </w:r>
      <w:r>
        <w:rPr>
          <w:sz w:val="20"/>
          <w:szCs w:val="20"/>
          <w:color w:val="auto"/>
        </w:rPr>
        <w:tab/>
      </w:r>
      <w:r>
        <w:rPr>
          <w:rFonts w:ascii="Courier New" w:cs="Courier New" w:eastAsia="Courier New" w:hAnsi="Courier New"/>
          <w:sz w:val="14"/>
          <w:szCs w:val="14"/>
          <w:color w:val="auto"/>
        </w:rPr>
        <w:t>$10.72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of the options granted at exercise prices from $15.63 to</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$29.00 vest over a five year period from the date of grant. All other options have fully vested as of May 31, 2003.</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2001, calculated using the Black-Scholes option pricing model, was $17.90 using the following assumptions; expected dividend yield - 0%, risk free interest rate - 5.9%, expected volatility - 50% and expected life - 8 years.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2002, calculated using the Black-Scholes option pricing model, was $16.07 using the following assumptions; expected dividend yield - 0%, risk free interest rate - 5.57%, expected volatility - 50% and expected life - 8 years.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2003, calculated using the Black-Scholes option pricing model, was $15.84 using the following assumptions; expected dividend yield - 0%, risk free interest rate - 3.39%, expected volatility - 50% and expected life - 8 years.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Had the Company determined compensation expense based on the fair value at the grant date for these options under SFAS No.123, "Accounting for Stock-Based Compensation", the Company's net income for fiscal 2001, 2002 and 2003 would have been reduced to the pro-forma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1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as reported</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$10,978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$14,200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268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pro-forma</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9,788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12,591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16,187</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as reported</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$0.97</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268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pro-forma</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0.87</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as reported</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0"/>
        </w:trPr>
        <w:tc>
          <w:tcPr>
            <w:tcW w:w="268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pro-forma</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0.82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848"/>
        </w:trPr>
        <w:tc>
          <w:tcPr>
            <w:tcW w:w="2680" w:type="dxa"/>
            <w:vAlign w:val="bottom"/>
          </w:tcPr>
          <w:p>
            <w:pPr>
              <w:spacing w:after="0"/>
              <w:rPr>
                <w:sz w:val="24"/>
                <w:szCs w:val="2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10. Government Grants</w:t>
            </w: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4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4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4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(in thousands)</w:t>
            </w:r>
          </w:p>
        </w:tc>
      </w:tr>
      <w:tr>
        <w:trPr>
          <w:trHeight w:val="170"/>
        </w:trPr>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Received and receivable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r>
      <w:tr>
        <w:trPr>
          <w:trHeight w:val="170"/>
        </w:trPr>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Less accumulated amortization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0"/>
        </w:trPr>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Foreign exchange translation adjustment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0"/>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1,174</w:t>
            </w:r>
          </w:p>
        </w:tc>
      </w:tr>
      <w:tr>
        <w:trPr>
          <w:trHeight w:val="170"/>
        </w:trPr>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Less current portion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6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bl>
    <w:p>
      <w:pPr>
        <w:ind w:left="7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grants amortized to the profit and loss account amounted to</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U.S.$12,000, U.S.$46,000 and U.S.$36,000 for the years ended May 31, 2001, 2002 and 2003, respectively.</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As of May 31, 2003 the Company had U.S.$1,351,000 in restricted retained earnings, pursuant to the terms of the grant agreements.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Share Capital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November 22, 2000, the ordinary share capital of the Company was redenominated from IR5p per share to (euro)0.06 per share. The renominalization generated a capital conversion reserve fund of (euro)39,499 (U.S.$47,277) which was recorded within additional paid in capital.</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January 28, 2000, the Company merged with Pacific Research Associates Inc. ("PRAI") in a transaction accounted for as a pooling-of-interests transaction. The Company issued 838,828 ordinary shares of (euro)0.06 each to PRAI shareholders for this transaction. These shares have been treated as outstanding for all periods presented.</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January 27, 2000, the Company acquired YRCR for cash and shares. The Company issued 51,387 ordinary shares of (euro)0.06 each to YRCR shareholders for this transaction. At May 31, 2000, pursuant to an earn-out clause contained in the purchase agreement with YRCR, a further 24,272 ordinary shares of (euro)0.06 each were issued to the YRCR shareholders and on August 31, 2001, a further 10,772 ordinary shares of (euro)0.06 were issued. On October 8, 2002, a further 3,696 ordinary shares of (euro)0.06 were issued (see note 4).</w:t>
      </w:r>
    </w:p>
    <w:p>
      <w:pPr>
        <w:spacing w:after="0" w:line="16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During the year to May 31, 2001, 275,960 options were exercised by employees at an average exercise price of U.S.$1.78 per share.</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During the year to May 31, 2002, a further 358,100 options were exercised by employees at an average exercise price of U.S.$7.47 per share.</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During the year to May 31, 2003, a further 39,360 options were exercised by employees at an average exercise price of U.S.$18.51 per share for total procceeds of U.S.$728,554.</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12. Income Taxes</w:t>
      </w:r>
    </w:p>
    <w:p>
      <w:pPr>
        <w:spacing w:after="0" w:line="175" w:lineRule="exact"/>
        <w:rPr>
          <w:sz w:val="20"/>
          <w:szCs w:val="20"/>
          <w:color w:val="auto"/>
        </w:rPr>
      </w:pPr>
    </w:p>
    <w:p>
      <w:pPr>
        <w:jc w:val="both"/>
        <w:ind w:right="3699"/>
        <w:spacing w:after="0" w:line="237" w:lineRule="auto"/>
        <w:rPr>
          <w:sz w:val="20"/>
          <w:szCs w:val="20"/>
          <w:color w:val="auto"/>
        </w:rPr>
      </w:pPr>
      <w:r>
        <w:rPr>
          <w:rFonts w:ascii="Courier New" w:cs="Courier New" w:eastAsia="Courier New" w:hAnsi="Courier New"/>
          <w:sz w:val="15"/>
          <w:szCs w:val="15"/>
          <w:color w:val="auto"/>
        </w:rPr>
        <w:t>The U.S. based and Irish-based subsidiaries file tax returns in the United States and Ireland, respectively. The other foreign subsidiaries are taxed separately under the laws of their respective countries.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income before provision for income tax expense are as follows:</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240" w:type="dxa"/>
            <w:vAlign w:val="bottom"/>
          </w:tcPr>
          <w:p>
            <w:pPr>
              <w:spacing w:after="0"/>
              <w:rPr>
                <w:sz w:val="14"/>
                <w:szCs w:val="14"/>
                <w:color w:val="auto"/>
              </w:rPr>
            </w:pPr>
          </w:p>
        </w:tc>
        <w:tc>
          <w:tcPr>
            <w:tcW w:w="22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2001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6"/>
              </w:rPr>
              <w:t>$3,194</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$7,702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$6,556</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6"/>
              </w:rPr>
              <w:t>10,401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11,627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18,727</w:t>
            </w:r>
          </w:p>
        </w:tc>
      </w:tr>
    </w:tbl>
    <w:p>
      <w:pPr>
        <w:ind w:left="80"/>
        <w:spacing w:after="0"/>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   $13,595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$25,283</w:t>
            </w:r>
          </w:p>
        </w:tc>
      </w:tr>
    </w:tbl>
    <w:p>
      <w:pPr>
        <w:ind w:left="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total income tax expense are as follows: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Ended May 31,</w:t>
            </w:r>
          </w:p>
        </w:tc>
      </w:tr>
      <w:tr>
        <w:trPr>
          <w:trHeight w:val="170"/>
        </w:trPr>
        <w:tc>
          <w:tcPr>
            <w:tcW w:w="3300" w:type="dxa"/>
            <w:vAlign w:val="bottom"/>
          </w:tcPr>
          <w:p>
            <w:pPr>
              <w:spacing w:after="0"/>
              <w:rPr>
                <w:sz w:val="14"/>
                <w:szCs w:val="14"/>
                <w:color w:val="auto"/>
              </w:rPr>
            </w:pP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3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thousands)</w:t>
            </w:r>
          </w:p>
        </w:tc>
        <w:tc>
          <w:tcPr>
            <w:tcW w:w="5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$440</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$1,164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1,613</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3,684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602</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1,132</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6,624</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Deferred expenses/(benefit):</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income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taxes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2,617</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Shareholders'</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equity for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expense for tax purposes</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in excess of</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amounts  recognized</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reporting purposes</w:t>
            </w: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$6,952</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On January 1,2001, Ireland's statutory income tax rate decreased from 24% to 20%, on January 1, 2002 from 20% to 16% and on January 1, 2003, from 16% to</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12.5%. Certain activities carried out by the Irish company, principally data processing services, are taxed at a reduced rate of 10%. The Company's consolidated effective tax rate differed from the blended statutory rate as set forth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2" w:right="1440" w:bottom="1440" w:gutter="0" w:footer="0" w:header="0"/>
        </w:sectPr>
      </w:pPr>
    </w:p>
    <w:bookmarkStart w:id="25" w:name="page26"/>
    <w:bookmarkEnd w:id="25"/>
    <w:tbl>
      <w:tblPr>
        <w:tblLayout w:type="fixed"/>
        <w:tblInd w:w="60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339"/>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Taxes at</w:t>
            </w:r>
          </w:p>
        </w:tc>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Irish</w:t>
            </w:r>
          </w:p>
        </w:tc>
        <w:tc>
          <w:tcPr>
            <w:tcW w:w="3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statutory  rate of  14.54%  (18.33%  in</w:t>
            </w: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2002; 22.33% in 2001)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$3,543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$3,676</w:t>
            </w:r>
          </w:p>
        </w:tc>
      </w:tr>
      <w:tr>
        <w:trPr>
          <w:trHeight w:val="170"/>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Irish income at reduced rates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4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and other income taxed at (reduced)/higher rates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2,397</w:t>
            </w:r>
          </w:p>
        </w:tc>
      </w:t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States</w:t>
            </w:r>
          </w:p>
        </w:tc>
        <w:tc>
          <w:tcPr>
            <w:tcW w:w="3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state tax net of United  States  Federal</w:t>
            </w: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benefit</w:t>
            </w: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0"/>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Movement in valuation allowance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r>
      <w:tr>
        <w:trPr>
          <w:trHeight w:val="170"/>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Non deductible expenses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Total provision for income taxes</w:t>
            </w:r>
          </w:p>
        </w:tc>
        <w:tc>
          <w:tcPr>
            <w:tcW w:w="2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$2,617</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deferred tax assets and deferred tax liabilities are presented below:</w:t>
      </w:r>
    </w:p>
    <w:p>
      <w:pPr>
        <w:spacing w:after="0" w:line="15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3660" w:type="dxa"/>
            <w:vAlign w:val="bottom"/>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3660" w:type="dxa"/>
            <w:vAlign w:val="bottom"/>
          </w:tcPr>
          <w:p>
            <w:pPr>
              <w:spacing w:after="0"/>
              <w:rPr>
                <w:sz w:val="14"/>
                <w:szCs w:val="14"/>
                <w:color w:val="auto"/>
              </w:rPr>
            </w:pPr>
          </w:p>
        </w:tc>
        <w:tc>
          <w:tcPr>
            <w:tcW w:w="2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$ 497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Goodwill and related assets</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828</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1,764</w:t>
            </w:r>
          </w:p>
        </w:tc>
      </w:tr>
      <w:tr>
        <w:trPr>
          <w:trHeight w:val="339"/>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Accrued expenses and payments on account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946</w:t>
            </w:r>
          </w:p>
        </w:tc>
      </w:t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compensation expense</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3,712</w:t>
            </w:r>
          </w:p>
        </w:tc>
      </w:t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Valuation allowance for deferred tax assets</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(1,916)</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Deferred tax assets recognized</w:t>
            </w:r>
          </w:p>
        </w:tc>
        <w:tc>
          <w:tcPr>
            <w:tcW w:w="18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$1,796</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deferred tax asset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At May 31, 2002 and 2003, European subsidiaries had operating loss carryforwards for income tax purposes that may be carried forward indefinitely, available to offset against future taxable income, if any, of approximately U.S.$600,000 and U.S.$1,400,000 respectively.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May 31, 2002 and 2003, a U.S. subsidiary had a net operating loss carryforwards for U.S. Federal and State income tax purposes, available to offset against future taxable income if any of approximately U.S.$2,000,000, which expires between 2009 and 2020. Under section 382 of the Internal Revenue Code of 1986, as amended, the subsidiary's ability to use the net operating loss carryforward is limited to U.S.$113,000 per year since the subsidiary experienced a change in ownership of more than 50 percentage points in 2000.</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 valuation allowance is provided when it is more likely than not that some portion or all of the deferred tax assets will not be realized. The Company has provided a valuation allowance for the years ended May 31, 2002 and 2003 of U.S.$1,618,000</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130" w:right="1440" w:bottom="1440" w:gutter="0" w:footer="0" w:header="0"/>
        </w:sectPr>
      </w:pPr>
    </w:p>
    <w:bookmarkStart w:id="26" w:name="page27"/>
    <w:bookmarkEnd w:id="26"/>
    <w:p>
      <w:pPr>
        <w:ind w:left="10" w:right="3259"/>
        <w:spacing w:after="0" w:line="237" w:lineRule="auto"/>
        <w:rPr>
          <w:sz w:val="20"/>
          <w:szCs w:val="20"/>
          <w:color w:val="auto"/>
        </w:rPr>
      </w:pPr>
      <w:r>
        <w:rPr>
          <w:rFonts w:ascii="Courier New" w:cs="Courier New" w:eastAsia="Courier New" w:hAnsi="Courier New"/>
          <w:sz w:val="15"/>
          <w:szCs w:val="15"/>
          <w:color w:val="auto"/>
        </w:rPr>
        <w:t>and U.S.$1,916,000 respectively. This valuation allowance is based on management's belief that it is more likely than not that the European and US entities' losses and other deferred tax assets will not be utilized given their history of operating losses.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 Significant Concentrations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does business with most major international pharmaceutical companies (see note 15). The Company has not written off any accounts receivable since inception.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5" w:lineRule="exact"/>
        <w:rPr>
          <w:sz w:val="20"/>
          <w:szCs w:val="20"/>
          <w:color w:val="auto"/>
        </w:rPr>
      </w:pPr>
    </w:p>
    <w:p>
      <w:pPr>
        <w:ind w:left="10" w:right="3259"/>
        <w:spacing w:after="0" w:line="260" w:lineRule="auto"/>
        <w:rPr>
          <w:sz w:val="20"/>
          <w:szCs w:val="20"/>
          <w:color w:val="auto"/>
        </w:rPr>
      </w:pPr>
      <w:r>
        <w:rPr>
          <w:rFonts w:ascii="Courier New" w:cs="Courier New" w:eastAsia="Courier New" w:hAnsi="Courier New"/>
          <w:sz w:val="14"/>
          <w:szCs w:val="14"/>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6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Company has several non-cancellable operating leases, primarily for facilities, that expire over the next 10 years. These leases generally contain renewal options and require the Company to pay all executory costs such as maintenance and insurance. The Company paid U.S.$7,618,000, U.S.$10,963,000 and U.S.$15,743,000 in rental expense for the fiscal years ended May 31, 2001, 2002 and 2003, respectively. Future minimum rental commitments for operating leases with non-cancellable terms in excess of one year are as follows:</w:t>
      </w:r>
    </w:p>
    <w:p>
      <w:pPr>
        <w:spacing w:after="0" w:line="162"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Minimum rental payments</w:t>
            </w:r>
          </w:p>
        </w:tc>
      </w:tr>
      <w:tr>
        <w:trPr>
          <w:trHeight w:val="170"/>
        </w:trPr>
        <w:tc>
          <w:tcPr>
            <w:tcW w:w="2740" w:type="dxa"/>
            <w:vAlign w:val="bottom"/>
          </w:tcPr>
          <w:p>
            <w:pPr>
              <w:spacing w:after="0"/>
              <w:rPr>
                <w:sz w:val="14"/>
                <w:szCs w:val="14"/>
                <w:color w:val="auto"/>
              </w:rPr>
            </w:pPr>
          </w:p>
        </w:tc>
        <w:tc>
          <w:tcPr>
            <w:tcW w:w="3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9"/>
              </w:rPr>
              <w:t>2004</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$16,975</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9"/>
              </w:rPr>
              <w:t>2005</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16,633</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9"/>
              </w:rPr>
              <w:t>2006</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14,755</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9"/>
              </w:rPr>
              <w:t>2007</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11,730</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9"/>
              </w:rPr>
              <w:t>2008</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10,720</w:t>
            </w:r>
          </w:p>
        </w:tc>
      </w:tr>
      <w:tr>
        <w:trPr>
          <w:trHeight w:val="170"/>
        </w:trPr>
        <w:tc>
          <w:tcPr>
            <w:tcW w:w="2740" w:type="dxa"/>
            <w:vAlign w:val="bottom"/>
          </w:tcPr>
          <w:p>
            <w:pPr>
              <w:jc w:val="center"/>
              <w:ind w:right="1787"/>
              <w:spacing w:after="0"/>
              <w:rPr>
                <w:sz w:val="20"/>
                <w:szCs w:val="20"/>
                <w:color w:val="auto"/>
              </w:rPr>
            </w:pPr>
            <w:r>
              <w:rPr>
                <w:rFonts w:ascii="Courier New" w:cs="Courier New" w:eastAsia="Courier New" w:hAnsi="Courier New"/>
                <w:sz w:val="15"/>
                <w:szCs w:val="15"/>
                <w:color w:val="auto"/>
                <w:w w:val="97"/>
              </w:rPr>
              <w:t>Thereafter</w:t>
            </w:r>
          </w:p>
        </w:tc>
        <w:tc>
          <w:tcPr>
            <w:tcW w:w="3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$58,776</w:t>
            </w:r>
          </w:p>
        </w:tc>
      </w:tr>
    </w:tbl>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The Company has a number of finance leases, primarily over furniture and equipment, that expire over the next four years. Future commitments are as follows:</w:t>
      </w:r>
    </w:p>
    <w:tbl>
      <w:tblPr>
        <w:tblLayout w:type="fixed"/>
        <w:tblInd w:w="35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600" w:type="dxa"/>
            <w:vAlign w:val="bottom"/>
          </w:tcPr>
          <w:p>
            <w:pPr>
              <w:ind w:left="1380"/>
              <w:spacing w:after="0"/>
              <w:rPr>
                <w:sz w:val="20"/>
                <w:szCs w:val="20"/>
                <w:color w:val="auto"/>
              </w:rPr>
            </w:pPr>
            <w:r>
              <w:rPr>
                <w:rFonts w:ascii="Courier New" w:cs="Courier New" w:eastAsia="Courier New" w:hAnsi="Courier New"/>
                <w:sz w:val="15"/>
                <w:szCs w:val="15"/>
                <w:color w:val="auto"/>
                <w:w w:val="95"/>
              </w:rPr>
              <w:t>Lease payments</w:t>
            </w:r>
          </w:p>
        </w:tc>
      </w:tr>
      <w:tr>
        <w:trPr>
          <w:trHeight w:val="170"/>
        </w:trPr>
        <w:tc>
          <w:tcPr>
            <w:tcW w:w="3740" w:type="dxa"/>
            <w:vAlign w:val="bottom"/>
          </w:tcPr>
          <w:p>
            <w:pPr>
              <w:spacing w:after="0"/>
              <w:rPr>
                <w:sz w:val="14"/>
                <w:szCs w:val="14"/>
                <w:color w:val="auto"/>
              </w:rPr>
            </w:pPr>
          </w:p>
        </w:tc>
        <w:tc>
          <w:tcPr>
            <w:tcW w:w="2600" w:type="dxa"/>
            <w:vAlign w:val="bottom"/>
          </w:tcPr>
          <w:p>
            <w:pPr>
              <w:ind w:left="1380"/>
              <w:spacing w:after="0"/>
              <w:rPr>
                <w:sz w:val="20"/>
                <w:szCs w:val="20"/>
                <w:color w:val="auto"/>
              </w:rPr>
            </w:pPr>
            <w:r>
              <w:rPr>
                <w:rFonts w:ascii="Courier New" w:cs="Courier New" w:eastAsia="Courier New" w:hAnsi="Courier New"/>
                <w:sz w:val="15"/>
                <w:szCs w:val="15"/>
                <w:color w:val="auto"/>
                <w:w w:val="95"/>
              </w:rPr>
              <w:t>(in thousands)</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600" w:type="dxa"/>
            <w:vAlign w:val="bottom"/>
          </w:tcPr>
          <w:p>
            <w:pPr>
              <w:ind w:left="1820"/>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600" w:type="dxa"/>
            <w:vAlign w:val="bottom"/>
          </w:tcPr>
          <w:p>
            <w:pPr>
              <w:ind w:left="1900"/>
              <w:spacing w:after="0"/>
              <w:rPr>
                <w:sz w:val="20"/>
                <w:szCs w:val="20"/>
                <w:color w:val="auto"/>
              </w:rPr>
            </w:pPr>
            <w:r>
              <w:rPr>
                <w:rFonts w:ascii="Courier New" w:cs="Courier New" w:eastAsia="Courier New" w:hAnsi="Courier New"/>
                <w:sz w:val="15"/>
                <w:szCs w:val="15"/>
                <w:color w:val="auto"/>
              </w:rPr>
              <w:t>244</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600" w:type="dxa"/>
            <w:vAlign w:val="bottom"/>
          </w:tcPr>
          <w:p>
            <w:pPr>
              <w:ind w:left="1900"/>
              <w:spacing w:after="0"/>
              <w:rPr>
                <w:sz w:val="20"/>
                <w:szCs w:val="20"/>
                <w:color w:val="auto"/>
              </w:rPr>
            </w:pPr>
            <w:r>
              <w:rPr>
                <w:rFonts w:ascii="Courier New" w:cs="Courier New" w:eastAsia="Courier New" w:hAnsi="Courier New"/>
                <w:sz w:val="15"/>
                <w:szCs w:val="15"/>
                <w:color w:val="auto"/>
              </w:rPr>
              <w:t>79</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600" w:type="dxa"/>
            <w:vAlign w:val="bottom"/>
          </w:tcPr>
          <w:p>
            <w:pPr>
              <w:ind w:left="1900"/>
              <w:spacing w:after="0"/>
              <w:rPr>
                <w:sz w:val="20"/>
                <w:szCs w:val="20"/>
                <w:color w:val="auto"/>
              </w:rPr>
            </w:pPr>
            <w:r>
              <w:rPr>
                <w:rFonts w:ascii="Courier New" w:cs="Courier New" w:eastAsia="Courier New" w:hAnsi="Courier New"/>
                <w:sz w:val="15"/>
                <w:szCs w:val="15"/>
                <w:color w:val="auto"/>
              </w:rPr>
              <w:t>48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600" w:type="dxa"/>
            <w:vAlign w:val="bottom"/>
          </w:tcPr>
          <w:p>
            <w:pPr>
              <w:ind w:left="1900"/>
              <w:spacing w:after="0"/>
              <w:rPr>
                <w:sz w:val="20"/>
                <w:szCs w:val="20"/>
                <w:color w:val="auto"/>
              </w:rPr>
            </w:pPr>
            <w:r>
              <w:rPr>
                <w:rFonts w:ascii="Courier New" w:cs="Courier New" w:eastAsia="Courier New" w:hAnsi="Courier New"/>
                <w:sz w:val="15"/>
                <w:szCs w:val="15"/>
                <w:color w:val="auto"/>
              </w:rPr>
              <w:t>19</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Less future finance charges</w:t>
            </w:r>
          </w:p>
        </w:tc>
        <w:tc>
          <w:tcPr>
            <w:tcW w:w="2600" w:type="dxa"/>
            <w:vAlign w:val="bottom"/>
          </w:tcPr>
          <w:p>
            <w:pPr>
              <w:ind w:left="1820"/>
              <w:spacing w:after="0"/>
              <w:rPr>
                <w:sz w:val="20"/>
                <w:szCs w:val="20"/>
                <w:color w:val="auto"/>
              </w:rPr>
            </w:pPr>
            <w:r>
              <w:rPr>
                <w:rFonts w:ascii="Courier New" w:cs="Courier New" w:eastAsia="Courier New" w:hAnsi="Courier New"/>
                <w:sz w:val="15"/>
                <w:szCs w:val="15"/>
                <w:color w:val="auto"/>
              </w:rPr>
              <w:t>(134)</w:t>
            </w:r>
          </w:p>
        </w:tc>
      </w:tr>
    </w:tbl>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0"/>
        <w:spacing w:after="0"/>
        <w:tabs>
          <w:tab w:leader="none" w:pos="5889"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$524</w:t>
      </w:r>
    </w:p>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made a number of acquisitions in recent years with earn-out provisions built into the purchase contracts, which may require cash payments of U.S.$8,946,000 to be made during fiscal 2005 if the specified earn-out targets are achieved.</w:t>
      </w:r>
    </w:p>
    <w:p>
      <w:pPr>
        <w:spacing w:after="0" w:line="171"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On June 8, 2000, the Company acquired for cash UCT (U.S.), Inc. ("UCT"), subsequently renamed ICON Laboratories Inc., a central laboratory company based in New York, USA. This, together with laboratory services based in Dublin, form the central laboratory information disclosed below.</w:t>
      </w:r>
    </w:p>
    <w:p>
      <w:pPr>
        <w:spacing w:after="0" w:line="200" w:lineRule="exact"/>
        <w:rPr>
          <w:sz w:val="20"/>
          <w:szCs w:val="20"/>
          <w:color w:val="auto"/>
        </w:rPr>
      </w:pPr>
    </w:p>
    <w:p>
      <w:pPr>
        <w:spacing w:after="0" w:line="30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627" w:right="1440" w:bottom="1440" w:gutter="0" w:footer="0" w:header="0"/>
        </w:sectPr>
      </w:pPr>
    </w:p>
    <w:bookmarkStart w:id="27" w:name="page28"/>
    <w:bookmarkEnd w:id="27"/>
    <w:p>
      <w:pPr>
        <w:ind w:right="3539"/>
        <w:spacing w:after="0" w:line="237"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South Africa and India. Segment information for the fiscal years ended May 31, 2001, 2002 and 2003 is as follows: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980" w:type="dxa"/>
            <w:vAlign w:val="bottom"/>
          </w:tcPr>
          <w:p>
            <w:pPr>
              <w:spacing w:after="0"/>
              <w:rPr>
                <w:sz w:val="14"/>
                <w:szCs w:val="14"/>
                <w:color w:val="auto"/>
              </w:rPr>
            </w:pPr>
          </w:p>
        </w:tc>
      </w:tr>
      <w:tr>
        <w:trPr>
          <w:trHeight w:val="170"/>
        </w:trPr>
        <w:tc>
          <w:tcPr>
            <w:tcW w:w="17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$20,406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$26,293</w:t>
            </w:r>
          </w:p>
        </w:tc>
      </w:t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21,939</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24,605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34,727</w:t>
            </w:r>
          </w:p>
        </w:tc>
      </w:t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82,572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107,520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158,707</w:t>
            </w:r>
          </w:p>
        </w:tc>
      </w:t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4,024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5,998</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$116,163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$156,555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780" w:hanging="173"/>
        <w:spacing w:after="0"/>
        <w:tabs>
          <w:tab w:leader="none" w:pos="7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338" w:lineRule="exact"/>
        <w:rPr>
          <w:rFonts w:ascii="Courier New" w:cs="Courier New" w:eastAsia="Courier New" w:hAnsi="Courier New"/>
          <w:sz w:val="15"/>
          <w:szCs w:val="15"/>
          <w:color w:val="auto"/>
        </w:rPr>
      </w:pPr>
    </w:p>
    <w:p>
      <w:pPr>
        <w:ind w:left="700" w:hanging="269"/>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980" w:type="dxa"/>
            <w:vAlign w:val="bottom"/>
          </w:tcPr>
          <w:p>
            <w:pPr>
              <w:spacing w:after="0"/>
              <w:rPr>
                <w:sz w:val="14"/>
                <w:szCs w:val="14"/>
                <w:color w:val="auto"/>
              </w:rPr>
            </w:pPr>
          </w:p>
        </w:tc>
      </w:tr>
      <w:tr>
        <w:trPr>
          <w:trHeight w:val="170"/>
        </w:trPr>
        <w:tc>
          <w:tcPr>
            <w:tcW w:w="20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$13,564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$25,887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$26,168</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102,599</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130,668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199,557</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$116,163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$156,555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$225,725</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700" w:hanging="269"/>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income from operations by geographical area was as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$7,706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$6,532</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3,250</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(3,397)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1,192</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6,424</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13,398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17,091</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$11,076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$18,213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700" w:hanging="269"/>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28" w:name="page29"/>
    <w:bookmarkEnd w:id="28"/>
    <w:tbl>
      <w:tblPr>
        <w:tblLayout w:type="fixed"/>
        <w:tblInd w:w="16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20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$3,660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11,392</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14,553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24,814</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$11,076</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$18,213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$24,929</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431" w:right="3259" w:firstLine="431"/>
        <w:spacing w:after="0" w:line="235" w:lineRule="auto"/>
        <w:tabs>
          <w:tab w:leader="none" w:pos="2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2780" w:type="dxa"/>
            <w:vAlign w:val="bottom"/>
            <w:gridSpan w:val="2"/>
          </w:tcPr>
          <w:p>
            <w:pPr>
              <w:ind w:left="1540"/>
              <w:spacing w:after="0"/>
              <w:rPr>
                <w:sz w:val="20"/>
                <w:szCs w:val="20"/>
                <w:color w:val="auto"/>
              </w:rPr>
            </w:pPr>
            <w:r>
              <w:rPr>
                <w:rFonts w:ascii="Courier New" w:cs="Courier New" w:eastAsia="Courier New" w:hAnsi="Courier New"/>
                <w:sz w:val="15"/>
                <w:szCs w:val="15"/>
                <w:color w:val="auto"/>
                <w:w w:val="96"/>
              </w:rPr>
              <w:t>Year Ended May</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2340" w:type="dxa"/>
            <w:vAlign w:val="bottom"/>
          </w:tcPr>
          <w:p>
            <w:pPr>
              <w:spacing w:after="0"/>
              <w:rPr>
                <w:sz w:val="14"/>
                <w:szCs w:val="14"/>
                <w:color w:val="auto"/>
              </w:rPr>
            </w:pP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340" w:type="dxa"/>
            <w:vAlign w:val="bottom"/>
          </w:tcPr>
          <w:p>
            <w:pPr>
              <w:spacing w:after="0"/>
              <w:rPr>
                <w:sz w:val="14"/>
                <w:szCs w:val="14"/>
                <w:color w:val="auto"/>
              </w:rPr>
            </w:pPr>
          </w:p>
        </w:tc>
        <w:tc>
          <w:tcPr>
            <w:tcW w:w="2780" w:type="dxa"/>
            <w:vAlign w:val="bottom"/>
            <w:gridSpan w:val="2"/>
          </w:tcPr>
          <w:p>
            <w:pPr>
              <w:ind w:left="1540"/>
              <w:spacing w:after="0"/>
              <w:rPr>
                <w:sz w:val="20"/>
                <w:szCs w:val="20"/>
                <w:color w:val="auto"/>
              </w:rPr>
            </w:pPr>
            <w:r>
              <w:rPr>
                <w:rFonts w:ascii="Courier New" w:cs="Courier New" w:eastAsia="Courier New" w:hAnsi="Courier New"/>
                <w:sz w:val="15"/>
                <w:szCs w:val="15"/>
                <w:color w:val="auto"/>
                <w:w w:val="96"/>
              </w:rPr>
              <w:t>(in thousands)</w:t>
            </w:r>
          </w:p>
        </w:tc>
        <w:tc>
          <w:tcPr>
            <w:tcW w:w="520" w:type="dxa"/>
            <w:vAlign w:val="bottom"/>
          </w:tcPr>
          <w:p>
            <w:pPr>
              <w:spacing w:after="0"/>
              <w:rPr>
                <w:sz w:val="14"/>
                <w:szCs w:val="14"/>
                <w:color w:val="auto"/>
              </w:rPr>
            </w:pP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$9,795</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$17,003</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3,581</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6,316</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11,438</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15,066</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668</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bl>
    <w:p>
      <w:pPr>
        <w:ind w:left="16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$25,482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ind w:left="169"/>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left="-431" w:right="3619" w:firstLine="431"/>
        <w:spacing w:after="0" w:line="235" w:lineRule="auto"/>
        <w:tabs>
          <w:tab w:leader="none" w:pos="2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Year Ended May 31,</w:t>
            </w:r>
          </w:p>
        </w:tc>
      </w:tr>
      <w:tr>
        <w:trPr>
          <w:trHeight w:val="170"/>
        </w:trPr>
        <w:tc>
          <w:tcPr>
            <w:tcW w:w="26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660" w:type="dxa"/>
            <w:vAlign w:val="bottom"/>
          </w:tcPr>
          <w:p>
            <w:pPr>
              <w:spacing w:after="0"/>
              <w:rPr>
                <w:sz w:val="14"/>
                <w:szCs w:val="14"/>
                <w:color w:val="auto"/>
              </w:rPr>
            </w:pPr>
          </w:p>
        </w:tc>
        <w:tc>
          <w:tcPr>
            <w:tcW w:w="32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$2,721</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22,761</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35,943</w:t>
            </w:r>
          </w:p>
        </w:tc>
      </w:tr>
    </w:tbl>
    <w:p>
      <w:pPr>
        <w:ind w:left="16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$25,482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ind w:left="169"/>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431" w:right="3359" w:firstLine="431"/>
        <w:spacing w:after="0" w:line="235" w:lineRule="auto"/>
        <w:tabs>
          <w:tab w:leader="none" w:pos="27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geographical area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$973</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$2,330</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728</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3,136</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3,535</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bl>
    <w:p>
      <w:pPr>
        <w:ind w:left="16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$4,975</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ind w:left="169"/>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431" w:right="3439" w:firstLine="431"/>
        <w:spacing w:after="0" w:line="235" w:lineRule="auto"/>
        <w:tabs>
          <w:tab w:leader="none" w:pos="2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business segment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Year Ended May 31,</w:t>
            </w:r>
          </w:p>
        </w:tc>
        <w:tc>
          <w:tcPr>
            <w:tcW w:w="880" w:type="dxa"/>
            <w:vAlign w:val="bottom"/>
          </w:tcPr>
          <w:p>
            <w:pPr>
              <w:spacing w:after="0"/>
              <w:rPr>
                <w:sz w:val="14"/>
                <w:szCs w:val="14"/>
                <w:color w:val="auto"/>
              </w:rPr>
            </w:pPr>
          </w:p>
        </w:tc>
      </w:tr>
      <w:tr>
        <w:trPr>
          <w:trHeight w:val="170"/>
        </w:trPr>
        <w:tc>
          <w:tcPr>
            <w:tcW w:w="20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0"/>
        </w:trPr>
        <w:tc>
          <w:tcPr>
            <w:tcW w:w="20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$737</w:t>
            </w:r>
          </w:p>
        </w:tc>
        <w:tc>
          <w:tcPr>
            <w:tcW w:w="22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$591</w:t>
            </w:r>
          </w:p>
        </w:tc>
        <w:tc>
          <w:tcPr>
            <w:tcW w:w="880" w:type="dxa"/>
            <w:vAlign w:val="bottom"/>
          </w:tcPr>
          <w:p>
            <w:pPr>
              <w:spacing w:after="0"/>
              <w:rPr>
                <w:sz w:val="14"/>
                <w:szCs w:val="14"/>
                <w:color w:val="auto"/>
              </w:rPr>
            </w:pP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4,238</w:t>
            </w:r>
          </w:p>
        </w:tc>
        <w:tc>
          <w:tcPr>
            <w:tcW w:w="22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5,429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6,573</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$4,975</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88"/>
          </w:cols>
          <w:pgMar w:left="671" w:top="622" w:right="1440" w:bottom="1440" w:gutter="0" w:footer="0" w:header="0"/>
        </w:sectPr>
      </w:pPr>
    </w:p>
    <w:bookmarkStart w:id="29" w:name="page30"/>
    <w:bookmarkEnd w:id="29"/>
    <w:p>
      <w:pPr>
        <w:ind w:left="440"/>
        <w:spacing w:after="0"/>
        <w:rPr>
          <w:sz w:val="20"/>
          <w:szCs w:val="20"/>
          <w:color w:val="auto"/>
        </w:rPr>
      </w:pPr>
      <w:r>
        <w:rPr>
          <w:rFonts w:ascii="Courier New" w:cs="Courier New" w:eastAsia="Courier New" w:hAnsi="Courier New"/>
          <w:sz w:val="14"/>
          <w:szCs w:val="14"/>
          <w:color w:val="auto"/>
        </w:rPr>
        <w:t>i) The distribution of total assets by geographical area was as follows:</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Year Ended May 31,</w:t>
            </w:r>
          </w:p>
        </w:tc>
        <w:tc>
          <w:tcPr>
            <w:tcW w:w="660" w:type="dxa"/>
            <w:vAlign w:val="bottom"/>
          </w:tcPr>
          <w:p>
            <w:pPr>
              <w:spacing w:after="0"/>
              <w:rPr>
                <w:sz w:val="14"/>
                <w:szCs w:val="14"/>
                <w:color w:val="auto"/>
              </w:rPr>
            </w:pPr>
          </w:p>
        </w:tc>
      </w:tr>
      <w:tr>
        <w:trPr>
          <w:trHeight w:val="170"/>
        </w:trPr>
        <w:tc>
          <w:tcPr>
            <w:tcW w:w="2220" w:type="dxa"/>
            <w:vAlign w:val="bottom"/>
          </w:tcPr>
          <w:p>
            <w:pPr>
              <w:spacing w:after="0"/>
              <w:rPr>
                <w:sz w:val="14"/>
                <w:szCs w:val="14"/>
                <w:color w:val="auto"/>
              </w:rPr>
            </w:pPr>
          </w:p>
        </w:tc>
        <w:tc>
          <w:tcPr>
            <w:tcW w:w="2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2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$36,549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$59,838</w:t>
            </w: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66,719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60,982</w:t>
            </w: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60,789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110,602</w:t>
            </w: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1,737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3,592</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$165,794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 The distribution of total assets by business segment was as follows:</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440" w:type="dxa"/>
            <w:vAlign w:val="bottom"/>
          </w:tcPr>
          <w:p>
            <w:pPr>
              <w:spacing w:after="0"/>
              <w:rPr>
                <w:sz w:val="14"/>
                <w:szCs w:val="14"/>
                <w:color w:val="auto"/>
              </w:rPr>
            </w:pP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440" w:type="dxa"/>
            <w:vAlign w:val="bottom"/>
          </w:tcPr>
          <w:p>
            <w:pPr>
              <w:spacing w:after="0"/>
              <w:rPr>
                <w:sz w:val="14"/>
                <w:szCs w:val="14"/>
                <w:color w:val="auto"/>
              </w:rPr>
            </w:pPr>
          </w:p>
        </w:tc>
        <w:tc>
          <w:tcPr>
            <w:tcW w:w="2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$19,175</w:t>
            </w:r>
          </w:p>
        </w:tc>
      </w:tr>
      <w:tr>
        <w:trPr>
          <w:trHeight w:val="170"/>
        </w:trPr>
        <w:tc>
          <w:tcPr>
            <w:tcW w:w="2440" w:type="dxa"/>
            <w:vAlign w:val="bottom"/>
          </w:tcPr>
          <w:p>
            <w:pPr>
              <w:spacing w:after="0"/>
              <w:rPr>
                <w:sz w:val="14"/>
                <w:szCs w:val="14"/>
                <w:color w:val="auto"/>
              </w:rPr>
            </w:pP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$16,566</w:t>
            </w:r>
          </w:p>
        </w:tc>
        <w:tc>
          <w:tcPr>
            <w:tcW w:w="740" w:type="dxa"/>
            <w:vAlign w:val="bottom"/>
          </w:tcPr>
          <w:p>
            <w:pPr>
              <w:spacing w:after="0"/>
              <w:rPr>
                <w:sz w:val="14"/>
                <w:szCs w:val="14"/>
                <w:color w:val="auto"/>
              </w:rPr>
            </w:pPr>
          </w:p>
        </w:tc>
      </w:t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149,228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215,839</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$165,794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700" w:hanging="269"/>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capital expenditures by geographical area was as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7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$1,656</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$3,158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$6,375</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2,563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1,686</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4,341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4,938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7,274</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$6,689</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$10,950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$15,993</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700" w:hanging="269"/>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capital expenditures by business segment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200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$547</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6,142</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8,985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14,473</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$6,689</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$10,950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$15,993</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797" w:right="1440" w:bottom="1440" w:gutter="0" w:footer="0" w:header="0"/>
        </w:sectPr>
      </w:pPr>
    </w:p>
    <w:bookmarkStart w:id="30" w:name="page31"/>
    <w:bookmarkEnd w:id="30"/>
    <w:p>
      <w:pPr>
        <w:ind w:left="10" w:right="3179" w:firstLine="431"/>
        <w:spacing w:after="0" w:line="235" w:lineRule="auto"/>
        <w:tabs>
          <w:tab w:leader="none" w:pos="7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clients which represented 10% or more of the Company's net revenue in each of the periods set out below.</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64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Client A</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Client B</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Client C</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Client 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Client E</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169" w:lineRule="exact"/>
        <w:rPr>
          <w:sz w:val="20"/>
          <w:szCs w:val="20"/>
          <w:color w:val="auto"/>
        </w:rPr>
      </w:pPr>
    </w:p>
    <w:p>
      <w:pPr>
        <w:ind w:left="1410" w:hanging="352"/>
        <w:spacing w:after="0"/>
        <w:tabs>
          <w:tab w:leader="none" w:pos="141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 did not exceed 10%</w:t>
      </w:r>
    </w:p>
    <w:p>
      <w:pPr>
        <w:spacing w:after="0" w:line="33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Cash Flow Information</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Year Ended May 31,</w:t>
            </w:r>
          </w:p>
        </w:tc>
        <w:tc>
          <w:tcPr>
            <w:tcW w:w="74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2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0"/>
        </w:trPr>
        <w:tc>
          <w:tcPr>
            <w:tcW w:w="2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339"/>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paid for interest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w:t>
            </w:r>
          </w:p>
        </w:tc>
        <w:tc>
          <w:tcPr>
            <w:tcW w:w="2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$462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Cash paid for income taxes</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$727</w:t>
            </w:r>
          </w:p>
        </w:tc>
        <w:tc>
          <w:tcPr>
            <w:tcW w:w="14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$7,186</w:t>
            </w:r>
          </w:p>
        </w:tc>
      </w:tr>
    </w:tbl>
    <w:p>
      <w:pPr>
        <w:ind w:left="6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New Accounting Pronouncements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July 2001, the FASB issued SFAS No. 143, "Accounting for Asset Retirement Obligations". SFAS No. 143, which was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The adoption of this standard did not have a material impact on the Company's results of operations and financial position.</w:t>
      </w:r>
    </w:p>
    <w:p>
      <w:pPr>
        <w:spacing w:after="0" w:line="182"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The Company adopted SFAS No. 144 on June 1, 2002. Adoption of SFAS No. 144 did not have a material impact on the Company's results of operations and financial position.</w:t>
      </w:r>
    </w:p>
    <w:p>
      <w:pPr>
        <w:spacing w:after="0" w:line="18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Reimbursed costs include such items as payments to investigators and travel costs for our clinical research staff. The Company does not generally earn a profit on these costs. The Company has always</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27" w:right="1440" w:bottom="1440" w:gutter="0" w:footer="0" w:header="0"/>
        </w:sectPr>
      </w:pPr>
    </w:p>
    <w:bookmarkStart w:id="31" w:name="page32"/>
    <w:bookmarkEnd w:id="31"/>
    <w:p>
      <w:pPr>
        <w:ind w:right="3179"/>
        <w:spacing w:after="0" w:line="235" w:lineRule="auto"/>
        <w:rPr>
          <w:sz w:val="20"/>
          <w:szCs w:val="20"/>
          <w:color w:val="auto"/>
        </w:rPr>
      </w:pPr>
      <w:r>
        <w:rPr>
          <w:rFonts w:ascii="Courier New" w:cs="Courier New" w:eastAsia="Courier New" w:hAnsi="Courier New"/>
          <w:sz w:val="15"/>
          <w:szCs w:val="15"/>
          <w:color w:val="auto"/>
        </w:rPr>
        <w:t>included such reimbursed costs within the measure of gross revenues and adoption of EITF Issue 01-14 had no effect on the reported results.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the Company's results of operations and financial position.</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costs associated with an exit or disposal activity be recognized and measured initially at fair value only when the liability is incurred. SFAS No. 146 is effective for exit or disposal activities that are initiated after December 31, 2002. SFAS No. 146 did not have a material impact on our results of operations and financial postion.</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This interpretation addresses the disclosure to be made by a 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the Company's financial position or results of operations.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148"). SFAS 148 provides alternative methods of transition for a voluntary change to the fair value based method of accounting for stock-based employee compensation. In addition, this statement amends the disclosure requirements of SFAS 123 to require prominent disclosures in both annual and interim financial statements about the method of accounting for stock-based employee compensation and the effect of the method used on reported results. The transition provisions of SFAS 148 are effective for fiscal years ending after December 15, 2002. The enhanced disclosure requirements are included in the financial statements. The Company has decided to continue to account for stock options in accordance with the provisions of APB No. 25.</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The Company did not create or obtain an interest in a VIE after January 31, 2003 and does not expect the impact of fully adopting FIN 46 to have a significant impact on our financial statements.</w:t>
      </w:r>
    </w:p>
    <w:p>
      <w:pPr>
        <w:spacing w:after="0" w:line="16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32" w:name="page33"/>
    <w:bookmarkEnd w:id="32"/>
    <w:p>
      <w:pPr>
        <w:ind w:right="3359"/>
        <w:spacing w:after="0" w:line="237" w:lineRule="auto"/>
        <w:rPr>
          <w:sz w:val="20"/>
          <w:szCs w:val="20"/>
          <w:color w:val="auto"/>
        </w:rPr>
      </w:pPr>
      <w:r>
        <w:rPr>
          <w:rFonts w:ascii="Courier New" w:cs="Courier New" w:eastAsia="Courier New" w:hAnsi="Courier New"/>
          <w:sz w:val="15"/>
          <w:szCs w:val="15"/>
          <w:color w:val="auto"/>
        </w:rPr>
        <w:t>Company's foreign exchange contracts do not qualify for hedge accounting treatment. The Company does not expect the impact of adopting Statement 149 to have a significant impact on our financial statements.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The Company does not expect the impact of adopting Statement 150 to have a significant impact on our financial statements.</w:t>
      </w:r>
    </w:p>
    <w:p>
      <w:pPr>
        <w:spacing w:after="0" w:line="33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The Company will adopt EITF Issue No. 00-21 on June 1, 2003 and does not expect this will have a significant impact on its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Related Parties</w:t>
      </w:r>
    </w:p>
    <w:p>
      <w:pPr>
        <w:spacing w:after="0" w:line="175" w:lineRule="exact"/>
        <w:rPr>
          <w:sz w:val="20"/>
          <w:szCs w:val="20"/>
          <w:color w:val="auto"/>
        </w:rPr>
      </w:pPr>
    </w:p>
    <w:p>
      <w:pPr>
        <w:ind w:left="260" w:right="3179"/>
        <w:spacing w:after="0" w:line="257" w:lineRule="auto"/>
        <w:rPr>
          <w:sz w:val="20"/>
          <w:szCs w:val="20"/>
          <w:color w:val="auto"/>
        </w:rPr>
      </w:pPr>
      <w:r>
        <w:rPr>
          <w:rFonts w:ascii="Courier New" w:cs="Courier New" w:eastAsia="Courier New" w:hAnsi="Courier New"/>
          <w:sz w:val="14"/>
          <w:szCs w:val="14"/>
          <w:color w:val="auto"/>
        </w:rPr>
        <w:t>On February 6, 1998, the Company entered into an Option Agreement with Rosa Investment Limited ("Rosa"). Rosa's sole activity is to hold an investment in Clear Investments Limited ("Clear"), the sole activity of which is to hold Mr. Gray's option to exercise 54,000 ordinary shares. At any time between April 26, 2000 and April 26, 2004, Rosa may sell Clear to the Company in exchange for 54,000 ordinary shares, provided that Clear still holds Mr. Gray's option and cash equal to the exercise price of Mr. Gray's option. Such sale to the Company would be the economic equivalent of an exercise of stock options directly by Mr. Gray. Mr. Gray is a director of Rosa and Clear. Rosa is owned by a trust of which Mr. Gray is a beneficiary.</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33" w:name="page34"/>
    <w:bookmarkEnd w:id="3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Form 6-K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ICON public limited company</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500" w:space="720"/>
            <w:col w:w="5999"/>
          </w:cols>
          <w:pgMar w:left="240" w:top="9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sectPr>
      <w:pgSz w:w="11900" w:h="16838" w:orient="portrait"/>
      <w:cols w:equalWidth="0" w:num="1">
        <w:col w:w="10219"/>
      </w:cols>
      <w:pgMar w:left="240" w:top="96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5"/>
    </w:lvl>
  </w:abstractNum>
  <w:abstractNum w:abstractNumId="6">
    <w:nsid w:val="66EF438D"/>
    <w:multiLevelType w:val="hybridMultilevel"/>
    <w:lvl w:ilvl="0">
      <w:lvlJc w:val="left"/>
      <w:lvlText w:val="%1)"/>
      <w:numFmt w:val="lowerLetter"/>
      <w:start w:val="1"/>
    </w:lvl>
    <w:lvl w:ilvl="1">
      <w:lvlJc w:val="left"/>
      <w:lvlText w:val="*"/>
      <w:numFmt w:val="bullet"/>
      <w:start w:val="1"/>
    </w:lvl>
  </w:abstractNum>
  <w:abstractNum w:abstractNumId="7">
    <w:nsid w:val="140E0F76"/>
    <w:multiLevelType w:val="hybridMultilevel"/>
    <w:lvl w:ilvl="0">
      <w:lvlJc w:val="left"/>
      <w:lvlText w:val="%1)"/>
      <w:numFmt w:val="lowerLetter"/>
      <w:start w:val="3"/>
    </w:lvl>
  </w:abstractNum>
  <w:abstractNum w:abstractNumId="8">
    <w:nsid w:val="3352255A"/>
    <w:multiLevelType w:val="hybridMultilevel"/>
    <w:lvl w:ilvl="0">
      <w:lvlJc w:val="left"/>
      <w:lvlText w:val="%1)"/>
      <w:numFmt w:val="lowerLetter"/>
      <w:start w:val="4"/>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lowerLetter"/>
      <w:start w:val="6"/>
    </w:lvl>
  </w:abstractNum>
  <w:abstractNum w:abstractNumId="11">
    <w:nsid w:val="7FDCC233"/>
    <w:multiLevelType w:val="hybridMultilevel"/>
    <w:lvl w:ilvl="0">
      <w:lvlJc w:val="left"/>
      <w:lvlText w:val="%1)"/>
      <w:numFmt w:val="lowerLetter"/>
      <w:start w:val="7"/>
    </w:lvl>
  </w:abstractNum>
  <w:abstractNum w:abstractNumId="12">
    <w:nsid w:val="1BEFD79F"/>
    <w:multiLevelType w:val="hybridMultilevel"/>
    <w:lvl w:ilvl="0">
      <w:lvlJc w:val="left"/>
      <w:lvlText w:val="%1)"/>
      <w:numFmt w:val="lowerLetter"/>
      <w:start w:val="8"/>
    </w:lvl>
  </w:abstractNum>
  <w:abstractNum w:abstractNumId="13">
    <w:nsid w:val="41A7C4C9"/>
    <w:multiLevelType w:val="hybridMultilevel"/>
    <w:lvl w:ilvl="0">
      <w:lvlJc w:val="left"/>
      <w:lvlText w:val="%1)"/>
      <w:numFmt w:val="lowerLetter"/>
      <w:start w:val="11"/>
    </w:lvl>
  </w:abstractNum>
  <w:abstractNum w:abstractNumId="14">
    <w:nsid w:val="6B68079A"/>
    <w:multiLevelType w:val="hybridMultilevel"/>
    <w:lvl w:ilvl="0">
      <w:lvlJc w:val="left"/>
      <w:lvlText w:val="%1)"/>
      <w:numFmt w:val="lowerLetter"/>
      <w:start w:val="12"/>
    </w:lvl>
  </w:abstractNum>
  <w:abstractNum w:abstractNumId="15">
    <w:nsid w:val="4E6AFB66"/>
    <w:multiLevelType w:val="hybridMultilevel"/>
    <w:lvl w:ilvl="0">
      <w:lvlJc w:val="left"/>
      <w:lvlText w:val="%1)"/>
      <w:numFmt w:val="lowerLetter"/>
      <w:start w:val="13"/>
    </w:lvl>
  </w:abstractNum>
  <w:abstractNum w:abstractNumId="16">
    <w:nsid w:val="25E45D32"/>
    <w:multiLevelType w:val="hybridMultilevel"/>
    <w:lvl w:ilvl="0">
      <w:lvlJc w:val="left"/>
      <w:lvlText w:val="%1."/>
      <w:numFmt w:val="decimal"/>
      <w:start w:val="1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2019-12-14T20:47:43Z</dcterms:created>
  <dcterms:modified xsi:type="dcterms:W3CDTF">2019-12-14T20:47:43Z</dcterms:modified>
</cp:coreProperties>
</file>