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 - 16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period ended August 31, 2005</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name)</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0-29714</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jc w:val="center"/>
        <w:ind w:right="3320"/>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248" w:lineRule="exact"/>
        <w:rPr>
          <w:sz w:val="24"/>
          <w:szCs w:val="24"/>
          <w:color w:val="auto"/>
        </w:rPr>
      </w:pPr>
    </w:p>
    <w:p>
      <w:pPr>
        <w:ind w:left="2800"/>
        <w:spacing w:after="0"/>
        <w:tabs>
          <w:tab w:leader="none" w:pos="3200" w:val="left"/>
          <w:tab w:leader="none" w:pos="490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1937385</wp:posOffset>
            </wp:positionH>
            <wp:positionV relativeFrom="paragraph">
              <wp:posOffset>-13970</wp:posOffset>
            </wp:positionV>
            <wp:extent cx="303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3530" cy="8890"/>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-13970</wp:posOffset>
            </wp:positionV>
            <wp:extent cx="278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765"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19" w:lineRule="exact"/>
        <w:rPr>
          <w:sz w:val="24"/>
          <w:szCs w:val="24"/>
          <w:color w:val="auto"/>
        </w:rPr>
      </w:pPr>
    </w:p>
    <w:p>
      <w:pPr>
        <w:ind w:left="2800"/>
        <w:spacing w:after="0"/>
        <w:tabs>
          <w:tab w:leader="none" w:pos="4900" w:val="left"/>
          <w:tab w:leader="none" w:pos="52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1937385</wp:posOffset>
            </wp:positionH>
            <wp:positionV relativeFrom="paragraph">
              <wp:posOffset>-10160</wp:posOffset>
            </wp:positionV>
            <wp:extent cx="278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76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-10160</wp:posOffset>
            </wp:positionV>
            <wp:extent cx="303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19" w:lineRule="exact"/>
        <w:rPr>
          <w:sz w:val="24"/>
          <w:szCs w:val="24"/>
          <w:color w:val="auto"/>
        </w:rPr>
      </w:pPr>
    </w:p>
    <w:p>
      <w:pPr>
        <w:ind w:left="2800"/>
        <w:spacing w:after="0"/>
        <w:tabs>
          <w:tab w:leader="none" w:pos="4900" w:val="left"/>
          <w:tab w:leader="none" w:pos="52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1937385</wp:posOffset>
            </wp:positionH>
            <wp:positionV relativeFrom="paragraph">
              <wp:posOffset>-10160</wp:posOffset>
            </wp:positionV>
            <wp:extent cx="278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76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-10160</wp:posOffset>
            </wp:positionV>
            <wp:extent cx="303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21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0" w:lineRule="exact"/>
        <w:rPr>
          <w:sz w:val="24"/>
          <w:szCs w:val="24"/>
          <w:color w:val="auto"/>
        </w:rPr>
      </w:pPr>
    </w:p>
    <w:p>
      <w:pPr>
        <w:ind w:left="2800"/>
        <w:spacing w:after="0"/>
        <w:tabs>
          <w:tab w:leader="none" w:pos="4900" w:val="left"/>
          <w:tab w:leader="none" w:pos="52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1937385</wp:posOffset>
            </wp:positionH>
            <wp:positionV relativeFrom="paragraph">
              <wp:posOffset>-10160</wp:posOffset>
            </wp:positionV>
            <wp:extent cx="278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76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-10160</wp:posOffset>
            </wp:positionV>
            <wp:extent cx="303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784860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Other Events</w:t>
      </w:r>
      <w:r>
        <w:rPr>
          <w:rFonts w:ascii="Arial" w:cs="Arial" w:eastAsia="Arial" w:hAnsi="Arial"/>
          <w:sz w:val="18"/>
          <w:szCs w:val="18"/>
          <w:b w:val="1"/>
          <w:bCs w:val="1"/>
          <w:color w:val="auto"/>
        </w:rPr>
        <w:t>.</w:t>
      </w:r>
    </w:p>
    <w:p>
      <w:pPr>
        <w:spacing w:after="0" w:line="33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registrant hereby incorporates by reference the press release attached hereto as Exhibit 99.1 into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7" w:lineRule="exact"/>
        <w:rPr>
          <w:sz w:val="20"/>
          <w:szCs w:val="20"/>
          <w:color w:val="auto"/>
        </w:rPr>
      </w:pPr>
    </w:p>
    <w:p>
      <w:pPr>
        <w:ind w:left="1340" w:hanging="751"/>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60" w:type="dxa"/>
            <w:vAlign w:val="bottom"/>
          </w:tcPr>
          <w:p>
            <w:pPr>
              <w:jc w:val="right"/>
              <w:ind w:right="1152"/>
              <w:spacing w:after="0"/>
              <w:rPr>
                <w:sz w:val="20"/>
                <w:szCs w:val="20"/>
                <w:color w:val="auto"/>
              </w:rPr>
            </w:pPr>
            <w:r>
              <w:rPr>
                <w:rFonts w:ascii="Arial" w:cs="Arial" w:eastAsia="Arial" w:hAnsi="Arial"/>
                <w:sz w:val="18"/>
                <w:szCs w:val="18"/>
                <w:color w:val="auto"/>
              </w:rPr>
              <w:t>EXHIBIT NO.</w:t>
            </w:r>
          </w:p>
        </w:tc>
        <w:tc>
          <w:tcPr>
            <w:tcW w:w="7580" w:type="dxa"/>
            <w:vAlign w:val="bottom"/>
          </w:tcPr>
          <w:p>
            <w:pPr>
              <w:jc w:val="center"/>
              <w:ind w:right="3872"/>
              <w:spacing w:after="0"/>
              <w:rPr>
                <w:sz w:val="20"/>
                <w:szCs w:val="20"/>
                <w:color w:val="auto"/>
              </w:rPr>
            </w:pPr>
            <w:r>
              <w:rPr>
                <w:rFonts w:ascii="Arial" w:cs="Arial" w:eastAsia="Arial" w:hAnsi="Arial"/>
                <w:sz w:val="18"/>
                <w:szCs w:val="18"/>
                <w:color w:val="auto"/>
                <w:w w:val="92"/>
              </w:rPr>
              <w:t>DESCRIPTION</w:t>
            </w:r>
          </w:p>
        </w:tc>
      </w:tr>
      <w:tr>
        <w:trPr>
          <w:trHeight w:val="365"/>
        </w:trPr>
        <w:tc>
          <w:tcPr>
            <w:tcW w:w="3860" w:type="dxa"/>
            <w:vAlign w:val="bottom"/>
          </w:tcPr>
          <w:p>
            <w:pPr>
              <w:jc w:val="right"/>
              <w:ind w:right="1312"/>
              <w:spacing w:after="0"/>
              <w:rPr>
                <w:sz w:val="20"/>
                <w:szCs w:val="20"/>
                <w:color w:val="auto"/>
              </w:rPr>
            </w:pPr>
            <w:r>
              <w:rPr>
                <w:rFonts w:ascii="Arial" w:cs="Arial" w:eastAsia="Arial" w:hAnsi="Arial"/>
                <w:sz w:val="18"/>
                <w:szCs w:val="18"/>
                <w:color w:val="auto"/>
              </w:rPr>
              <w:t>99.1</w:t>
            </w:r>
          </w:p>
        </w:tc>
        <w:tc>
          <w:tcPr>
            <w:tcW w:w="7580" w:type="dxa"/>
            <w:vAlign w:val="bottom"/>
          </w:tcPr>
          <w:p>
            <w:pPr>
              <w:jc w:val="center"/>
              <w:ind w:right="3892"/>
              <w:spacing w:after="0"/>
              <w:rPr>
                <w:sz w:val="20"/>
                <w:szCs w:val="20"/>
                <w:color w:val="auto"/>
              </w:rPr>
            </w:pPr>
            <w:r>
              <w:rPr>
                <w:rFonts w:ascii="Arial" w:cs="Arial" w:eastAsia="Arial" w:hAnsi="Arial"/>
                <w:sz w:val="18"/>
                <w:szCs w:val="18"/>
                <w:color w:val="auto"/>
                <w:w w:val="81"/>
              </w:rPr>
              <w:t>Press Release</w:t>
            </w:r>
          </w:p>
        </w:tc>
      </w:tr>
      <w:tr>
        <w:trPr>
          <w:trHeight w:val="1808"/>
        </w:trPr>
        <w:tc>
          <w:tcPr>
            <w:tcW w:w="3860" w:type="dxa"/>
            <w:vAlign w:val="bottom"/>
            <w:tcBorders>
              <w:bottom w:val="single" w:sz="8" w:color="808080"/>
            </w:tcBorders>
          </w:tcPr>
          <w:p>
            <w:pPr>
              <w:spacing w:after="0"/>
              <w:rPr>
                <w:sz w:val="24"/>
                <w:szCs w:val="24"/>
                <w:color w:val="auto"/>
              </w:rPr>
            </w:pPr>
          </w:p>
        </w:tc>
        <w:tc>
          <w:tcPr>
            <w:tcW w:w="7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60" w:type="dxa"/>
            <w:vAlign w:val="bottom"/>
            <w:gridSpan w:val="3"/>
          </w:tcPr>
          <w:p>
            <w:pPr>
              <w:ind w:left="1500"/>
              <w:spacing w:after="0"/>
              <w:rPr>
                <w:sz w:val="20"/>
                <w:szCs w:val="20"/>
                <w:color w:val="auto"/>
              </w:rPr>
            </w:pPr>
            <w:r>
              <w:rPr>
                <w:rFonts w:ascii="Arial" w:cs="Arial" w:eastAsia="Arial" w:hAnsi="Arial"/>
                <w:sz w:val="18"/>
                <w:szCs w:val="18"/>
                <w:b w:val="1"/>
                <w:bCs w:val="1"/>
                <w:color w:val="auto"/>
              </w:rPr>
              <w:t>ICON plc</w:t>
            </w:r>
          </w:p>
        </w:tc>
      </w:tr>
      <w:tr>
        <w:trPr>
          <w:trHeight w:val="826"/>
        </w:trPr>
        <w:tc>
          <w:tcPr>
            <w:tcW w:w="1420" w:type="dxa"/>
            <w:vAlign w:val="bottom"/>
          </w:tcPr>
          <w:p>
            <w:pPr>
              <w:spacing w:after="0"/>
              <w:rPr>
                <w:sz w:val="20"/>
                <w:szCs w:val="20"/>
                <w:color w:val="auto"/>
              </w:rPr>
            </w:pPr>
            <w:r>
              <w:rPr>
                <w:rFonts w:ascii="Arial" w:cs="Arial" w:eastAsia="Arial" w:hAnsi="Arial"/>
                <w:sz w:val="18"/>
                <w:szCs w:val="18"/>
                <w:color w:val="auto"/>
                <w:w w:val="85"/>
              </w:rPr>
              <w:t>September 27, 2005</w:t>
            </w:r>
          </w:p>
        </w:tc>
        <w:tc>
          <w:tcPr>
            <w:tcW w:w="1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/s/ Sean Leech</w:t>
            </w:r>
          </w:p>
        </w:tc>
      </w:tr>
      <w:tr>
        <w:trPr>
          <w:trHeight w:val="228"/>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Sean Leech</w:t>
            </w:r>
          </w:p>
        </w:tc>
        <w:tc>
          <w:tcPr>
            <w:tcW w:w="620" w:type="dxa"/>
            <w:vAlign w:val="bottom"/>
          </w:tcPr>
          <w:p>
            <w:pPr>
              <w:spacing w:after="0"/>
              <w:rPr>
                <w:sz w:val="19"/>
                <w:szCs w:val="19"/>
                <w:color w:val="auto"/>
              </w:rPr>
            </w:pPr>
          </w:p>
        </w:tc>
      </w:tr>
      <w:tr>
        <w:trPr>
          <w:trHeight w:val="222"/>
        </w:trPr>
        <w:tc>
          <w:tcPr>
            <w:tcW w:w="1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w w:val="91"/>
              </w:rPr>
              <w:t>Chief Financial Officer</w:t>
            </w:r>
          </w:p>
        </w:tc>
      </w:tr>
    </w:tbl>
    <w:p>
      <w:pPr>
        <w:sectPr>
          <w:pgSz w:w="11900" w:h="16838" w:orient="portrait"/>
          <w:cols w:equalWidth="0" w:num="1">
            <w:col w:w="11420"/>
          </w:cols>
          <w:pgMar w:left="240" w:top="55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ICON reports 10% increase in net revenues and EPS of 45 cents. (NASDAQ:ICLR)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 First Quarter Fiscal 2006</w:t>
      </w:r>
    </w:p>
    <w:p>
      <w:pPr>
        <w:spacing w:after="0" w:line="220"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First Quarter net revenues increased 10% over the first quarter of fiscal 2005 to $85.9 million.</w:t>
      </w:r>
    </w:p>
    <w:p>
      <w:pPr>
        <w:spacing w:after="0" w:line="198" w:lineRule="exact"/>
        <w:rPr>
          <w:rFonts w:ascii="Arial" w:cs="Arial" w:eastAsia="Arial" w:hAnsi="Arial"/>
          <w:sz w:val="18"/>
          <w:szCs w:val="18"/>
          <w:color w:val="auto"/>
        </w:rPr>
      </w:pPr>
    </w:p>
    <w:p>
      <w:pPr>
        <w:ind w:left="500" w:right="540" w:hanging="492"/>
        <w:spacing w:after="0" w:line="23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Income from operations decreased by 12% over the first quarter of fiscal 2005 to $8.4 million and increased by 14% over the previous quarter.</w:t>
      </w:r>
    </w:p>
    <w:p>
      <w:pPr>
        <w:spacing w:after="0" w:line="195" w:lineRule="exact"/>
        <w:rPr>
          <w:rFonts w:ascii="Arial" w:cs="Arial" w:eastAsia="Arial" w:hAnsi="Arial"/>
          <w:sz w:val="18"/>
          <w:szCs w:val="18"/>
          <w:color w:val="auto"/>
        </w:rPr>
      </w:pPr>
    </w:p>
    <w:p>
      <w:pPr>
        <w:ind w:left="500" w:right="540" w:hanging="492"/>
        <w:spacing w:after="0" w:line="23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Diluted earnings per share decreased by 13% for the first quarter to 45 cents compared to 52 cents for the same quarter last year and increased by 7% over the previous quarter.</w:t>
      </w:r>
    </w:p>
    <w:p>
      <w:pPr>
        <w:spacing w:after="0" w:line="208"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$122 million of net new business awarded to ICON during the quarter.</w:t>
      </w:r>
    </w:p>
    <w:p>
      <w:pPr>
        <w:spacing w:after="0" w:line="198"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Dublin, Ireland, September 27, 2005 – ICON plc (NASDAQ: ICLR), a global contract clinical research organisation, which has over 2,800 employees providing services to the pharmaceutical, biotech and medical device industries from 37 locations in 23 countries worldwide, today reported the financial results for its first quarter ended August 31, 2005.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the quarter were $85.9 million, representing a 10% increase over net revenues of $78.3 million for the same quarter last year.</w:t>
      </w:r>
    </w:p>
    <w:p>
      <w:pPr>
        <w:spacing w:after="0"/>
        <w:rPr>
          <w:sz w:val="20"/>
          <w:szCs w:val="20"/>
          <w:color w:val="auto"/>
        </w:rPr>
      </w:pPr>
      <w:r>
        <w:rPr>
          <w:rFonts w:ascii="Arial" w:cs="Arial" w:eastAsia="Arial" w:hAnsi="Arial"/>
          <w:sz w:val="18"/>
          <w:szCs w:val="18"/>
          <w:color w:val="auto"/>
        </w:rPr>
        <w:t>Excluding the impact of acquisitions, revenue growth was 9% over the same quarter last year.</w:t>
      </w:r>
    </w:p>
    <w:p>
      <w:pPr>
        <w:spacing w:after="0" w:line="198" w:lineRule="exact"/>
        <w:rPr>
          <w:sz w:val="20"/>
          <w:szCs w:val="20"/>
          <w:color w:val="auto"/>
        </w:rPr>
      </w:pPr>
    </w:p>
    <w:p>
      <w:pPr>
        <w:jc w:val="both"/>
        <w:ind w:right="400"/>
        <w:spacing w:after="0" w:line="275" w:lineRule="auto"/>
        <w:rPr>
          <w:sz w:val="20"/>
          <w:szCs w:val="20"/>
          <w:color w:val="auto"/>
        </w:rPr>
      </w:pPr>
      <w:r>
        <w:rPr>
          <w:rFonts w:ascii="Arial" w:cs="Arial" w:eastAsia="Arial" w:hAnsi="Arial"/>
          <w:sz w:val="16"/>
          <w:szCs w:val="16"/>
          <w:color w:val="auto"/>
        </w:rPr>
        <w:t>Income from operations was $8.4 million, which represents a decrease of 12% from the $9.5 million reported for the first quarter last year and represents a 14% increase over the $7.4 million reported for the previous quarter. Operating margin for the quarter was 9.7%, compared with 12.1% for the equivalent period last year and 8.6% last quarter. Net income for the quarter was $6.4 million or 45 cents per share, on a diluted basis, compared with $7.3 million or 52 cents per share for the first quarter last year and $5.9 million or 42 cents per share last quarter.</w:t>
      </w:r>
    </w:p>
    <w:p>
      <w:pPr>
        <w:spacing w:after="0" w:line="17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Days sales outstanding, comprising accounts receivable and unbilled revenue less payments on account, were 70 days at August 31, 2005, an increase from the 63 days reported at May 31, 2005.</w:t>
      </w:r>
    </w:p>
    <w:p>
      <w:pPr>
        <w:spacing w:after="0" w:line="1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the quarter ending August 31, 2005, cash flows from operating activities were $2.8 million, capital expenditure was $3.2 million and $3.4 million was paid related to prior year acquisitions. As a result, the company’s net cash, short-term debt and short-term investments were $75.4 million at August 31, 2005, compared to $78.4 million at May 31, 2005.</w:t>
      </w:r>
    </w:p>
    <w:p>
      <w:pPr>
        <w:spacing w:after="0" w:line="19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are very pleased with our performance in the first quarter,” commented Chairman Dr. John Climax. “Operating margin again improved and we achieved another strong quarter of business wins, which has further strengthened our backlog. With a continued strong business flow we expect to maintain this momentum through the rest of the year”.</w:t>
      </w:r>
    </w:p>
    <w:p>
      <w:pPr>
        <w:spacing w:after="0" w:line="1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will hold its first quarter conference call today, September 27, 2005 at 08:00 EST [13:00 Ireland &amp; UK / 14:00 CET]. This call and linked slide presentation can be accessed live from our website at http://www.iconclinical.com. A recording will also be available on the website for 90 days following the call. In addition, a calendar of company events, including upcoming conference presentations, is available on our website, under “shareholders services”. This calendar will be updated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spacing w:after="0" w:line="236" w:lineRule="auto"/>
        <w:rPr>
          <w:sz w:val="20"/>
          <w:szCs w:val="20"/>
          <w:color w:val="auto"/>
        </w:rPr>
      </w:pPr>
      <w:r>
        <w:rPr>
          <w:rFonts w:ascii="Arial" w:cs="Arial" w:eastAsia="Arial" w:hAnsi="Arial"/>
          <w:sz w:val="18"/>
          <w:szCs w:val="18"/>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financial information presented herein has been prepared in accordance with U.S. GAAP.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Source: ICON plc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Contact : Investor Relations 1-888-381-7923 or</w:t>
      </w:r>
    </w:p>
    <w:p>
      <w:pPr>
        <w:spacing w:after="0" w:line="234" w:lineRule="auto"/>
        <w:rPr>
          <w:sz w:val="20"/>
          <w:szCs w:val="20"/>
          <w:color w:val="auto"/>
        </w:rPr>
      </w:pPr>
      <w:r>
        <w:rPr>
          <w:rFonts w:ascii="Arial" w:cs="Arial" w:eastAsia="Arial" w:hAnsi="Arial"/>
          <w:sz w:val="18"/>
          <w:szCs w:val="18"/>
          <w:color w:val="auto"/>
        </w:rPr>
        <w:t>Sean Leech CFO + 353 –1-291-2000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Both at ICON.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http://www.iconclinical.com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490220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75" w:right="279" w:bottom="1440" w:gutter="0" w:footer="0" w:header="0"/>
        </w:sectPr>
      </w:pPr>
    </w:p>
    <w:bookmarkStart w:id="6" w:name="page7"/>
    <w:bookmarkEnd w:id="6"/>
    <w:p>
      <w:pPr>
        <w:ind w:left="3440"/>
        <w:spacing w:after="0"/>
        <w:rPr>
          <w:sz w:val="20"/>
          <w:szCs w:val="20"/>
          <w:color w:val="auto"/>
        </w:rPr>
      </w:pPr>
      <w:r>
        <w:rPr>
          <w:rFonts w:ascii="Arial" w:cs="Arial" w:eastAsia="Arial" w:hAnsi="Arial"/>
          <w:sz w:val="18"/>
          <w:szCs w:val="18"/>
          <w:b w:val="1"/>
          <w:bCs w:val="1"/>
          <w:color w:val="auto"/>
        </w:rPr>
        <w:t>ICON plc</w:t>
      </w:r>
    </w:p>
    <w:p>
      <w:pPr>
        <w:spacing w:after="0" w:line="360" w:lineRule="exact"/>
        <w:rPr>
          <w:sz w:val="20"/>
          <w:szCs w:val="20"/>
          <w:color w:val="auto"/>
        </w:rPr>
      </w:pPr>
    </w:p>
    <w:p>
      <w:pPr>
        <w:jc w:val="center"/>
        <w:ind w:right="3840"/>
        <w:spacing w:after="0"/>
        <w:rPr>
          <w:sz w:val="20"/>
          <w:szCs w:val="20"/>
          <w:color w:val="auto"/>
        </w:rPr>
      </w:pPr>
      <w:r>
        <w:rPr>
          <w:rFonts w:ascii="Arial" w:cs="Arial" w:eastAsia="Arial" w:hAnsi="Arial"/>
          <w:sz w:val="18"/>
          <w:szCs w:val="18"/>
          <w:b w:val="1"/>
          <w:bCs w:val="1"/>
          <w:color w:val="auto"/>
        </w:rPr>
        <w:t>Consolidated Income Statements</w:t>
      </w:r>
    </w:p>
    <w:p>
      <w:pPr>
        <w:spacing w:after="0" w:line="77" w:lineRule="exact"/>
        <w:rPr>
          <w:sz w:val="20"/>
          <w:szCs w:val="20"/>
          <w:color w:val="auto"/>
        </w:rPr>
      </w:pPr>
    </w:p>
    <w:p>
      <w:pPr>
        <w:jc w:val="center"/>
        <w:ind w:right="3840"/>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jc w:val="center"/>
        <w:ind w:right="3840"/>
        <w:spacing w:after="0"/>
        <w:rPr>
          <w:sz w:val="20"/>
          <w:szCs w:val="20"/>
          <w:color w:val="auto"/>
        </w:rPr>
      </w:pPr>
      <w:r>
        <w:rPr>
          <w:rFonts w:ascii="Arial" w:cs="Arial" w:eastAsia="Arial" w:hAnsi="Arial"/>
          <w:sz w:val="18"/>
          <w:szCs w:val="18"/>
          <w:b w:val="1"/>
          <w:bCs w:val="1"/>
          <w:color w:val="auto"/>
        </w:rPr>
        <w:t>Three months ended August 31, 2005 and 2004</w:t>
      </w:r>
    </w:p>
    <w:p>
      <w:pPr>
        <w:spacing w:after="0" w:line="77" w:lineRule="exact"/>
        <w:rPr>
          <w:sz w:val="20"/>
          <w:szCs w:val="20"/>
          <w:color w:val="auto"/>
        </w:rPr>
      </w:pPr>
    </w:p>
    <w:p>
      <w:pPr>
        <w:jc w:val="center"/>
        <w:ind w:right="384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238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Three Months Ended</w:t>
            </w: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1"/>
                <w:szCs w:val="21"/>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b w:val="1"/>
                <w:bCs w:val="1"/>
                <w:color w:val="auto"/>
              </w:rPr>
              <w:t>Aug 31,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Aug 31,</w:t>
            </w:r>
          </w:p>
        </w:tc>
        <w:tc>
          <w:tcPr>
            <w:tcW w:w="4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4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444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1120" w:type="dxa"/>
            <w:vAlign w:val="bottom"/>
          </w:tcPr>
          <w:p>
            <w:pPr>
              <w:jc w:val="right"/>
              <w:spacing w:after="0"/>
              <w:rPr>
                <w:sz w:val="20"/>
                <w:szCs w:val="20"/>
                <w:color w:val="auto"/>
              </w:rPr>
            </w:pPr>
            <w:r>
              <w:rPr>
                <w:rFonts w:ascii="Arial" w:cs="Arial" w:eastAsia="Arial" w:hAnsi="Arial"/>
                <w:sz w:val="18"/>
                <w:szCs w:val="18"/>
                <w:color w:val="auto"/>
              </w:rPr>
              <w:t>$115,352</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$117,195</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0"/>
              <w:spacing w:after="0"/>
              <w:rPr>
                <w:sz w:val="20"/>
                <w:szCs w:val="20"/>
                <w:color w:val="auto"/>
              </w:rPr>
            </w:pPr>
            <w:r>
              <w:rPr>
                <w:rFonts w:ascii="Arial" w:cs="Arial" w:eastAsia="Arial" w:hAnsi="Arial"/>
                <w:sz w:val="18"/>
                <w:szCs w:val="18"/>
                <w:color w:val="auto"/>
              </w:rPr>
              <w:t>Subcontractor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29,431</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38,856</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Revenue</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44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85,921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78,339</w:t>
            </w: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Direct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47,310</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42,453</w:t>
            </w: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jc w:val="right"/>
              <w:spacing w:after="0"/>
              <w:rPr>
                <w:sz w:val="20"/>
                <w:szCs w:val="20"/>
                <w:color w:val="auto"/>
              </w:rPr>
            </w:pPr>
            <w:r>
              <w:rPr>
                <w:rFonts w:ascii="Arial" w:cs="Arial" w:eastAsia="Arial" w:hAnsi="Arial"/>
                <w:sz w:val="18"/>
                <w:szCs w:val="18"/>
                <w:color w:val="auto"/>
              </w:rPr>
              <w:t>26,809</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23,339</w:t>
            </w: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120" w:type="dxa"/>
            <w:vAlign w:val="bottom"/>
          </w:tcPr>
          <w:p>
            <w:pPr>
              <w:jc w:val="right"/>
              <w:spacing w:after="0"/>
              <w:rPr>
                <w:sz w:val="20"/>
                <w:szCs w:val="20"/>
                <w:color w:val="auto"/>
              </w:rPr>
            </w:pPr>
            <w:r>
              <w:rPr>
                <w:rFonts w:ascii="Arial" w:cs="Arial" w:eastAsia="Arial" w:hAnsi="Arial"/>
                <w:sz w:val="18"/>
                <w:szCs w:val="18"/>
                <w:color w:val="auto"/>
              </w:rPr>
              <w:t>3,434</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3,062</w:t>
            </w: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44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77,553</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68,854</w:t>
            </w: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8,368</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9,485</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1120" w:type="dxa"/>
            <w:vAlign w:val="bottom"/>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Income before provision of income taxes</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44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8,783</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9,649</w:t>
            </w: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120" w:type="dxa"/>
            <w:vAlign w:val="bottom"/>
          </w:tcPr>
          <w:p>
            <w:pPr>
              <w:jc w:val="right"/>
              <w:spacing w:after="0"/>
              <w:rPr>
                <w:sz w:val="20"/>
                <w:szCs w:val="20"/>
                <w:color w:val="auto"/>
              </w:rPr>
            </w:pPr>
            <w:r>
              <w:rPr>
                <w:rFonts w:ascii="Arial" w:cs="Arial" w:eastAsia="Arial" w:hAnsi="Arial"/>
                <w:sz w:val="18"/>
                <w:szCs w:val="18"/>
                <w:color w:val="auto"/>
              </w:rPr>
              <w:t>2,459</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2,322</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440" w:type="dxa"/>
            <w:vAlign w:val="bottom"/>
          </w:tcPr>
          <w:p>
            <w:pPr>
              <w:ind w:left="20"/>
              <w:spacing w:after="0"/>
              <w:rPr>
                <w:sz w:val="20"/>
                <w:szCs w:val="20"/>
                <w:color w:val="auto"/>
              </w:rPr>
            </w:pPr>
            <w:r>
              <w:rPr>
                <w:rFonts w:ascii="Arial" w:cs="Arial" w:eastAsia="Arial" w:hAnsi="Arial"/>
                <w:sz w:val="18"/>
                <w:szCs w:val="18"/>
                <w:color w:val="auto"/>
              </w:rPr>
              <w:t>Minority Interest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4"/>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w:t>
            </w:r>
          </w:p>
        </w:tc>
        <w:tc>
          <w:tcPr>
            <w:tcW w:w="14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Net income per ordinary share</w:t>
            </w: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4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440" w:type="dxa"/>
            <w:vAlign w:val="bottom"/>
          </w:tcPr>
          <w:p>
            <w:pPr>
              <w:ind w:left="20"/>
              <w:spacing w:after="0"/>
              <w:rPr>
                <w:sz w:val="20"/>
                <w:szCs w:val="20"/>
                <w:color w:val="auto"/>
              </w:rPr>
            </w:pPr>
            <w:r>
              <w:rPr>
                <w:rFonts w:ascii="Arial" w:cs="Arial" w:eastAsia="Arial" w:hAnsi="Arial"/>
                <w:sz w:val="18"/>
                <w:szCs w:val="18"/>
                <w:color w:val="auto"/>
              </w:rPr>
              <w:t>Basic</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4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4440" w:type="dxa"/>
            <w:vAlign w:val="bottom"/>
          </w:tcPr>
          <w:p>
            <w:pPr>
              <w:ind w:left="20"/>
              <w:spacing w:after="0"/>
              <w:rPr>
                <w:sz w:val="20"/>
                <w:szCs w:val="20"/>
                <w:color w:val="auto"/>
              </w:rPr>
            </w:pPr>
            <w:r>
              <w:rPr>
                <w:rFonts w:ascii="Arial" w:cs="Arial" w:eastAsia="Arial" w:hAnsi="Arial"/>
                <w:sz w:val="18"/>
                <w:szCs w:val="18"/>
                <w:color w:val="auto"/>
              </w:rPr>
              <w:t>Diluted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440" w:type="dxa"/>
            <w:vAlign w:val="bottom"/>
          </w:tcPr>
          <w:p>
            <w:pPr>
              <w:ind w:left="20"/>
              <w:spacing w:after="0"/>
              <w:rPr>
                <w:sz w:val="20"/>
                <w:szCs w:val="20"/>
                <w:color w:val="auto"/>
              </w:rPr>
            </w:pPr>
            <w:r>
              <w:rPr>
                <w:rFonts w:ascii="Arial" w:cs="Arial" w:eastAsia="Arial" w:hAnsi="Arial"/>
                <w:sz w:val="18"/>
                <w:szCs w:val="18"/>
                <w:color w:val="auto"/>
              </w:rPr>
              <w:t>Weighted average number of ordinary shares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Basic</w:t>
            </w:r>
          </w:p>
        </w:tc>
        <w:tc>
          <w:tcPr>
            <w:tcW w:w="1120" w:type="dxa"/>
            <w:vAlign w:val="bottom"/>
          </w:tcPr>
          <w:p>
            <w:pPr>
              <w:jc w:val="right"/>
              <w:spacing w:after="0"/>
              <w:rPr>
                <w:sz w:val="20"/>
                <w:szCs w:val="20"/>
                <w:color w:val="auto"/>
              </w:rPr>
            </w:pPr>
            <w:r>
              <w:rPr>
                <w:rFonts w:ascii="Arial" w:cs="Arial" w:eastAsia="Arial" w:hAnsi="Arial"/>
                <w:sz w:val="18"/>
                <w:szCs w:val="18"/>
                <w:color w:val="auto"/>
              </w:rPr>
              <w:t>13,919,606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13,837,986</w:t>
            </w: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0"/>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spacing w:after="0"/>
              <w:rPr>
                <w:sz w:val="20"/>
                <w:szCs w:val="20"/>
                <w:color w:val="auto"/>
              </w:rPr>
            </w:pPr>
            <w:r>
              <w:rPr>
                <w:rFonts w:ascii="Arial" w:cs="Arial" w:eastAsia="Arial" w:hAnsi="Arial"/>
                <w:sz w:val="18"/>
                <w:szCs w:val="18"/>
                <w:color w:val="auto"/>
              </w:rPr>
              <w:t>14,150,212</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14,105,288</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8"/>
        </w:trPr>
        <w:tc>
          <w:tcPr>
            <w:tcW w:w="44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54" w:right="219" w:bottom="1440" w:gutter="0" w:footer="0" w:header="0"/>
        </w:sectPr>
      </w:pPr>
    </w:p>
    <w:bookmarkStart w:id="7" w:name="page8"/>
    <w:bookmarkEnd w:id="7"/>
    <w:p>
      <w:pPr>
        <w:ind w:left="3240"/>
        <w:spacing w:after="0"/>
        <w:rPr>
          <w:sz w:val="20"/>
          <w:szCs w:val="20"/>
          <w:color w:val="auto"/>
        </w:rPr>
      </w:pPr>
      <w:r>
        <w:rPr>
          <w:rFonts w:ascii="Arial" w:cs="Arial" w:eastAsia="Arial" w:hAnsi="Arial"/>
          <w:sz w:val="18"/>
          <w:szCs w:val="18"/>
          <w:b w:val="1"/>
          <w:bCs w:val="1"/>
          <w:color w:val="auto"/>
        </w:rPr>
        <w:t>ICON plc</w:t>
      </w:r>
    </w:p>
    <w:p>
      <w:pPr>
        <w:spacing w:after="0" w:line="36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Summary Balance Sheet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9"/>
        <w:spacing w:after="0"/>
        <w:rPr>
          <w:sz w:val="20"/>
          <w:szCs w:val="20"/>
          <w:color w:val="auto"/>
        </w:rPr>
      </w:pPr>
      <w:r>
        <w:rPr>
          <w:rFonts w:ascii="Arial" w:cs="Arial" w:eastAsia="Arial" w:hAnsi="Arial"/>
          <w:sz w:val="18"/>
          <w:szCs w:val="18"/>
          <w:b w:val="1"/>
          <w:bCs w:val="1"/>
          <w:color w:val="auto"/>
        </w:rPr>
        <w:t>August 31, 2005 and May 31, 2005</w:t>
      </w:r>
    </w:p>
    <w:p>
      <w:pPr>
        <w:spacing w:after="0" w:line="77" w:lineRule="exact"/>
        <w:rPr>
          <w:sz w:val="20"/>
          <w:szCs w:val="20"/>
          <w:color w:val="auto"/>
        </w:rPr>
      </w:pPr>
    </w:p>
    <w:p>
      <w:pPr>
        <w:jc w:val="center"/>
        <w:ind w:right="2999"/>
        <w:spacing w:after="0"/>
        <w:rPr>
          <w:sz w:val="20"/>
          <w:szCs w:val="20"/>
          <w:color w:val="auto"/>
        </w:rPr>
      </w:pPr>
      <w:r>
        <w:rPr>
          <w:rFonts w:ascii="Arial" w:cs="Arial" w:eastAsia="Arial" w:hAnsi="Arial"/>
          <w:sz w:val="18"/>
          <w:szCs w:val="18"/>
          <w:b w:val="1"/>
          <w:bCs w:val="1"/>
          <w:color w:val="auto"/>
        </w:rPr>
        <w:t>(Dollars,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20" w:type="dxa"/>
            <w:vAlign w:val="bottom"/>
          </w:tcPr>
          <w:p>
            <w:pPr>
              <w:spacing w:after="0"/>
              <w:rPr>
                <w:sz w:val="19"/>
                <w:szCs w:val="19"/>
                <w:color w:val="auto"/>
              </w:rPr>
            </w:pPr>
          </w:p>
        </w:tc>
        <w:tc>
          <w:tcPr>
            <w:tcW w:w="3420" w:type="dxa"/>
            <w:vAlign w:val="bottom"/>
          </w:tcPr>
          <w:p>
            <w:pPr>
              <w:jc w:val="right"/>
              <w:ind w:right="872"/>
              <w:spacing w:after="0"/>
              <w:rPr>
                <w:sz w:val="20"/>
                <w:szCs w:val="20"/>
                <w:color w:val="auto"/>
              </w:rPr>
            </w:pPr>
            <w:r>
              <w:rPr>
                <w:rFonts w:ascii="Arial" w:cs="Arial" w:eastAsia="Arial" w:hAnsi="Arial"/>
                <w:sz w:val="18"/>
                <w:szCs w:val="18"/>
                <w:b w:val="1"/>
                <w:bCs w:val="1"/>
                <w:color w:val="auto"/>
              </w:rPr>
              <w:t>August 31,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May 31,</w:t>
            </w:r>
          </w:p>
        </w:tc>
      </w:tr>
      <w:tr>
        <w:trPr>
          <w:trHeight w:val="230"/>
        </w:trPr>
        <w:tc>
          <w:tcPr>
            <w:tcW w:w="3020" w:type="dxa"/>
            <w:vAlign w:val="bottom"/>
          </w:tcPr>
          <w:p>
            <w:pPr>
              <w:spacing w:after="0"/>
              <w:rPr>
                <w:sz w:val="19"/>
                <w:szCs w:val="19"/>
                <w:color w:val="auto"/>
              </w:rPr>
            </w:pPr>
          </w:p>
        </w:tc>
        <w:tc>
          <w:tcPr>
            <w:tcW w:w="3420" w:type="dxa"/>
            <w:vAlign w:val="bottom"/>
          </w:tcPr>
          <w:p>
            <w:pPr>
              <w:jc w:val="right"/>
              <w:ind w:right="872"/>
              <w:spacing w:after="0"/>
              <w:rPr>
                <w:sz w:val="20"/>
                <w:szCs w:val="20"/>
                <w:color w:val="auto"/>
              </w:rPr>
            </w:pPr>
            <w:r>
              <w:rPr>
                <w:rFonts w:ascii="Arial" w:cs="Arial" w:eastAsia="Arial" w:hAnsi="Arial"/>
                <w:sz w:val="18"/>
                <w:szCs w:val="18"/>
                <w:b w:val="1"/>
                <w:bCs w:val="1"/>
                <w:color w:val="auto"/>
              </w:rPr>
              <w:t>2005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r>
      <w:tr>
        <w:trPr>
          <w:trHeight w:val="230"/>
        </w:trPr>
        <w:tc>
          <w:tcPr>
            <w:tcW w:w="3020" w:type="dxa"/>
            <w:vAlign w:val="bottom"/>
          </w:tcPr>
          <w:p>
            <w:pPr>
              <w:spacing w:after="0"/>
              <w:rPr>
                <w:sz w:val="19"/>
                <w:szCs w:val="19"/>
                <w:color w:val="auto"/>
              </w:rPr>
            </w:pPr>
          </w:p>
        </w:tc>
        <w:tc>
          <w:tcPr>
            <w:tcW w:w="3420" w:type="dxa"/>
            <w:vAlign w:val="bottom"/>
          </w:tcPr>
          <w:p>
            <w:pPr>
              <w:jc w:val="right"/>
              <w:ind w:right="872"/>
              <w:spacing w:after="0"/>
              <w:rPr>
                <w:sz w:val="20"/>
                <w:szCs w:val="20"/>
                <w:color w:val="auto"/>
              </w:rPr>
            </w:pPr>
            <w:r>
              <w:rPr>
                <w:rFonts w:ascii="Arial" w:cs="Arial" w:eastAsia="Arial" w:hAnsi="Arial"/>
                <w:sz w:val="18"/>
                <w:szCs w:val="18"/>
                <w:b w:val="1"/>
                <w:bCs w:val="1"/>
                <w:color w:val="auto"/>
              </w:rPr>
              <w:t>(unaudited)</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7"/>
              </w:rPr>
              <w:t>(audited)</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3420" w:type="dxa"/>
            <w:vAlign w:val="bottom"/>
          </w:tcPr>
          <w:p>
            <w:pPr>
              <w:jc w:val="right"/>
              <w:ind w:right="872"/>
              <w:spacing w:after="0"/>
              <w:rPr>
                <w:sz w:val="20"/>
                <w:szCs w:val="20"/>
                <w:color w:val="auto"/>
              </w:rPr>
            </w:pPr>
            <w:r>
              <w:rPr>
                <w:rFonts w:ascii="Arial" w:cs="Arial" w:eastAsia="Arial" w:hAnsi="Arial"/>
                <w:sz w:val="18"/>
                <w:szCs w:val="18"/>
                <w:color w:val="auto"/>
              </w:rPr>
              <w:t>75,351</w:t>
            </w:r>
          </w:p>
        </w:tc>
        <w:tc>
          <w:tcPr>
            <w:tcW w:w="760" w:type="dxa"/>
            <w:vAlign w:val="bottom"/>
          </w:tcPr>
          <w:p>
            <w:pPr>
              <w:jc w:val="right"/>
              <w:spacing w:after="0"/>
              <w:rPr>
                <w:sz w:val="20"/>
                <w:szCs w:val="20"/>
                <w:color w:val="auto"/>
              </w:rPr>
            </w:pPr>
            <w:r>
              <w:rPr>
                <w:rFonts w:ascii="Arial" w:cs="Arial" w:eastAsia="Arial" w:hAnsi="Arial"/>
                <w:sz w:val="18"/>
                <w:szCs w:val="18"/>
                <w:color w:val="auto"/>
              </w:rPr>
              <w:t>78,375</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Short-term debt</w:t>
            </w:r>
          </w:p>
        </w:tc>
        <w:tc>
          <w:tcPr>
            <w:tcW w:w="342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Net cash</w:t>
            </w:r>
          </w:p>
        </w:tc>
        <w:tc>
          <w:tcPr>
            <w:tcW w:w="3420" w:type="dxa"/>
            <w:vAlign w:val="bottom"/>
          </w:tcPr>
          <w:p>
            <w:pPr>
              <w:jc w:val="right"/>
              <w:ind w:right="872"/>
              <w:spacing w:after="0"/>
              <w:rPr>
                <w:sz w:val="20"/>
                <w:szCs w:val="20"/>
                <w:color w:val="auto"/>
              </w:rPr>
            </w:pPr>
            <w:r>
              <w:rPr>
                <w:rFonts w:ascii="Arial" w:cs="Arial" w:eastAsia="Arial" w:hAnsi="Arial"/>
                <w:sz w:val="18"/>
                <w:szCs w:val="18"/>
                <w:color w:val="auto"/>
              </w:rPr>
              <w:t>75,351</w:t>
            </w:r>
          </w:p>
        </w:tc>
        <w:tc>
          <w:tcPr>
            <w:tcW w:w="760" w:type="dxa"/>
            <w:vAlign w:val="bottom"/>
          </w:tcPr>
          <w:p>
            <w:pPr>
              <w:jc w:val="right"/>
              <w:spacing w:after="0"/>
              <w:rPr>
                <w:sz w:val="20"/>
                <w:szCs w:val="20"/>
                <w:color w:val="auto"/>
              </w:rPr>
            </w:pPr>
            <w:r>
              <w:rPr>
                <w:rFonts w:ascii="Arial" w:cs="Arial" w:eastAsia="Arial" w:hAnsi="Arial"/>
                <w:sz w:val="18"/>
                <w:szCs w:val="18"/>
                <w:color w:val="auto"/>
              </w:rPr>
              <w:t>78,375</w:t>
            </w:r>
          </w:p>
        </w:tc>
      </w:tr>
      <w:tr>
        <w:trPr>
          <w:trHeight w:val="459"/>
        </w:trPr>
        <w:tc>
          <w:tcPr>
            <w:tcW w:w="3020" w:type="dxa"/>
            <w:vAlign w:val="bottom"/>
          </w:tcPr>
          <w:p>
            <w:pPr>
              <w:spacing w:after="0"/>
              <w:rPr>
                <w:sz w:val="20"/>
                <w:szCs w:val="20"/>
                <w:color w:val="auto"/>
              </w:rPr>
            </w:pPr>
            <w:r>
              <w:rPr>
                <w:rFonts w:ascii="Arial" w:cs="Arial" w:eastAsia="Arial" w:hAnsi="Arial"/>
                <w:sz w:val="18"/>
                <w:szCs w:val="18"/>
                <w:color w:val="auto"/>
              </w:rPr>
              <w:t>Accounts receivable</w:t>
            </w:r>
          </w:p>
        </w:tc>
        <w:tc>
          <w:tcPr>
            <w:tcW w:w="3420" w:type="dxa"/>
            <w:vAlign w:val="bottom"/>
          </w:tcPr>
          <w:p>
            <w:pPr>
              <w:jc w:val="right"/>
              <w:ind w:right="872"/>
              <w:spacing w:after="0"/>
              <w:rPr>
                <w:sz w:val="20"/>
                <w:szCs w:val="20"/>
                <w:color w:val="auto"/>
              </w:rPr>
            </w:pPr>
            <w:r>
              <w:rPr>
                <w:rFonts w:ascii="Arial" w:cs="Arial" w:eastAsia="Arial" w:hAnsi="Arial"/>
                <w:sz w:val="18"/>
                <w:szCs w:val="18"/>
                <w:color w:val="auto"/>
              </w:rPr>
              <w:t>68,224</w:t>
            </w:r>
          </w:p>
        </w:tc>
        <w:tc>
          <w:tcPr>
            <w:tcW w:w="760" w:type="dxa"/>
            <w:vAlign w:val="bottom"/>
          </w:tcPr>
          <w:p>
            <w:pPr>
              <w:jc w:val="right"/>
              <w:spacing w:after="0"/>
              <w:rPr>
                <w:sz w:val="20"/>
                <w:szCs w:val="20"/>
                <w:color w:val="auto"/>
              </w:rPr>
            </w:pPr>
            <w:r>
              <w:rPr>
                <w:rFonts w:ascii="Arial" w:cs="Arial" w:eastAsia="Arial" w:hAnsi="Arial"/>
                <w:sz w:val="18"/>
                <w:szCs w:val="18"/>
                <w:color w:val="auto"/>
              </w:rPr>
              <w:t>80,486</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Unbilled revenue</w:t>
            </w:r>
          </w:p>
        </w:tc>
        <w:tc>
          <w:tcPr>
            <w:tcW w:w="3420" w:type="dxa"/>
            <w:vAlign w:val="bottom"/>
          </w:tcPr>
          <w:p>
            <w:pPr>
              <w:jc w:val="right"/>
              <w:ind w:right="872"/>
              <w:spacing w:after="0"/>
              <w:rPr>
                <w:sz w:val="20"/>
                <w:szCs w:val="20"/>
                <w:color w:val="auto"/>
              </w:rPr>
            </w:pPr>
            <w:r>
              <w:rPr>
                <w:rFonts w:ascii="Arial" w:cs="Arial" w:eastAsia="Arial" w:hAnsi="Arial"/>
                <w:sz w:val="18"/>
                <w:szCs w:val="18"/>
                <w:color w:val="auto"/>
              </w:rPr>
              <w:t>71,584</w:t>
            </w:r>
          </w:p>
        </w:tc>
        <w:tc>
          <w:tcPr>
            <w:tcW w:w="760" w:type="dxa"/>
            <w:vAlign w:val="bottom"/>
          </w:tcPr>
          <w:p>
            <w:pPr>
              <w:jc w:val="right"/>
              <w:spacing w:after="0"/>
              <w:rPr>
                <w:sz w:val="20"/>
                <w:szCs w:val="20"/>
                <w:color w:val="auto"/>
              </w:rPr>
            </w:pPr>
            <w:r>
              <w:rPr>
                <w:rFonts w:ascii="Arial" w:cs="Arial" w:eastAsia="Arial" w:hAnsi="Arial"/>
                <w:sz w:val="18"/>
                <w:szCs w:val="18"/>
                <w:color w:val="auto"/>
              </w:rPr>
              <w:t>56,762</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Payments on account</w:t>
            </w:r>
          </w:p>
        </w:tc>
        <w:tc>
          <w:tcPr>
            <w:tcW w:w="3420" w:type="dxa"/>
            <w:vAlign w:val="bottom"/>
          </w:tcPr>
          <w:p>
            <w:pPr>
              <w:jc w:val="right"/>
              <w:ind w:right="872"/>
              <w:spacing w:after="0"/>
              <w:rPr>
                <w:sz w:val="20"/>
                <w:szCs w:val="20"/>
                <w:color w:val="auto"/>
              </w:rPr>
            </w:pPr>
            <w:r>
              <w:rPr>
                <w:rFonts w:ascii="Arial" w:cs="Arial" w:eastAsia="Arial" w:hAnsi="Arial"/>
                <w:sz w:val="18"/>
                <w:szCs w:val="18"/>
                <w:color w:val="auto"/>
              </w:rPr>
              <w:t>(51,707)</w:t>
            </w:r>
          </w:p>
        </w:tc>
        <w:tc>
          <w:tcPr>
            <w:tcW w:w="760" w:type="dxa"/>
            <w:vAlign w:val="bottom"/>
          </w:tcPr>
          <w:p>
            <w:pPr>
              <w:jc w:val="right"/>
              <w:spacing w:after="0"/>
              <w:rPr>
                <w:sz w:val="20"/>
                <w:szCs w:val="20"/>
                <w:color w:val="auto"/>
              </w:rPr>
            </w:pPr>
            <w:r>
              <w:rPr>
                <w:rFonts w:ascii="Arial" w:cs="Arial" w:eastAsia="Arial" w:hAnsi="Arial"/>
                <w:sz w:val="18"/>
                <w:szCs w:val="18"/>
                <w:color w:val="auto"/>
              </w:rPr>
              <w:t>(52,583)</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3420" w:type="dxa"/>
            <w:vAlign w:val="bottom"/>
          </w:tcPr>
          <w:p>
            <w:pPr>
              <w:jc w:val="right"/>
              <w:ind w:right="872"/>
              <w:spacing w:after="0"/>
              <w:rPr>
                <w:sz w:val="20"/>
                <w:szCs w:val="20"/>
                <w:color w:val="auto"/>
              </w:rPr>
            </w:pPr>
            <w:r>
              <w:rPr>
                <w:rFonts w:ascii="Arial" w:cs="Arial" w:eastAsia="Arial" w:hAnsi="Arial"/>
                <w:sz w:val="18"/>
                <w:szCs w:val="18"/>
                <w:color w:val="auto"/>
              </w:rPr>
              <w:t>88,101</w:t>
            </w:r>
          </w:p>
        </w:tc>
        <w:tc>
          <w:tcPr>
            <w:tcW w:w="760" w:type="dxa"/>
            <w:vAlign w:val="bottom"/>
          </w:tcPr>
          <w:p>
            <w:pPr>
              <w:jc w:val="right"/>
              <w:spacing w:after="0"/>
              <w:rPr>
                <w:sz w:val="20"/>
                <w:szCs w:val="20"/>
                <w:color w:val="auto"/>
              </w:rPr>
            </w:pPr>
            <w:r>
              <w:rPr>
                <w:rFonts w:ascii="Arial" w:cs="Arial" w:eastAsia="Arial" w:hAnsi="Arial"/>
                <w:sz w:val="18"/>
                <w:szCs w:val="18"/>
                <w:color w:val="auto"/>
              </w:rPr>
              <w:t>84,665</w:t>
            </w:r>
          </w:p>
        </w:tc>
      </w:tr>
      <w:tr>
        <w:trPr>
          <w:trHeight w:val="459"/>
        </w:trPr>
        <w:tc>
          <w:tcPr>
            <w:tcW w:w="3020" w:type="dxa"/>
            <w:vAlign w:val="bottom"/>
          </w:tcPr>
          <w:p>
            <w:pPr>
              <w:spacing w:after="0"/>
              <w:rPr>
                <w:sz w:val="20"/>
                <w:szCs w:val="20"/>
                <w:color w:val="auto"/>
              </w:rPr>
            </w:pPr>
            <w:r>
              <w:rPr>
                <w:rFonts w:ascii="Arial" w:cs="Arial" w:eastAsia="Arial" w:hAnsi="Arial"/>
                <w:sz w:val="18"/>
                <w:szCs w:val="18"/>
                <w:color w:val="auto"/>
              </w:rPr>
              <w:t>Working Capital</w:t>
            </w:r>
          </w:p>
        </w:tc>
        <w:tc>
          <w:tcPr>
            <w:tcW w:w="3420" w:type="dxa"/>
            <w:vAlign w:val="bottom"/>
          </w:tcPr>
          <w:p>
            <w:pPr>
              <w:jc w:val="right"/>
              <w:ind w:right="872"/>
              <w:spacing w:after="0"/>
              <w:rPr>
                <w:sz w:val="20"/>
                <w:szCs w:val="20"/>
                <w:color w:val="auto"/>
              </w:rPr>
            </w:pPr>
            <w:r>
              <w:rPr>
                <w:rFonts w:ascii="Arial" w:cs="Arial" w:eastAsia="Arial" w:hAnsi="Arial"/>
                <w:sz w:val="18"/>
                <w:szCs w:val="18"/>
                <w:color w:val="auto"/>
              </w:rPr>
              <w:t>132,020</w:t>
            </w:r>
          </w:p>
        </w:tc>
        <w:tc>
          <w:tcPr>
            <w:tcW w:w="760" w:type="dxa"/>
            <w:vAlign w:val="bottom"/>
          </w:tcPr>
          <w:p>
            <w:pPr>
              <w:jc w:val="right"/>
              <w:spacing w:after="0"/>
              <w:rPr>
                <w:sz w:val="20"/>
                <w:szCs w:val="20"/>
                <w:color w:val="auto"/>
              </w:rPr>
            </w:pPr>
            <w:r>
              <w:rPr>
                <w:rFonts w:ascii="Arial" w:cs="Arial" w:eastAsia="Arial" w:hAnsi="Arial"/>
                <w:sz w:val="18"/>
                <w:szCs w:val="18"/>
                <w:color w:val="auto"/>
              </w:rPr>
              <w:t>125,288</w:t>
            </w:r>
          </w:p>
        </w:tc>
      </w:tr>
      <w:tr>
        <w:trPr>
          <w:trHeight w:val="459"/>
        </w:trPr>
        <w:tc>
          <w:tcPr>
            <w:tcW w:w="3020" w:type="dxa"/>
            <w:vAlign w:val="bottom"/>
          </w:tcPr>
          <w:p>
            <w:pPr>
              <w:spacing w:after="0"/>
              <w:rPr>
                <w:sz w:val="20"/>
                <w:szCs w:val="20"/>
                <w:color w:val="auto"/>
              </w:rPr>
            </w:pPr>
            <w:r>
              <w:rPr>
                <w:rFonts w:ascii="Arial" w:cs="Arial" w:eastAsia="Arial" w:hAnsi="Arial"/>
                <w:sz w:val="18"/>
                <w:szCs w:val="18"/>
                <w:color w:val="auto"/>
              </w:rPr>
              <w:t>Total assets</w:t>
            </w:r>
          </w:p>
        </w:tc>
        <w:tc>
          <w:tcPr>
            <w:tcW w:w="3420" w:type="dxa"/>
            <w:vAlign w:val="bottom"/>
          </w:tcPr>
          <w:p>
            <w:pPr>
              <w:jc w:val="right"/>
              <w:ind w:right="872"/>
              <w:spacing w:after="0"/>
              <w:rPr>
                <w:sz w:val="20"/>
                <w:szCs w:val="20"/>
                <w:color w:val="auto"/>
              </w:rPr>
            </w:pPr>
            <w:r>
              <w:rPr>
                <w:rFonts w:ascii="Arial" w:cs="Arial" w:eastAsia="Arial" w:hAnsi="Arial"/>
                <w:sz w:val="18"/>
                <w:szCs w:val="18"/>
                <w:color w:val="auto"/>
              </w:rPr>
              <w:t>346,600</w:t>
            </w:r>
          </w:p>
        </w:tc>
        <w:tc>
          <w:tcPr>
            <w:tcW w:w="760" w:type="dxa"/>
            <w:vAlign w:val="bottom"/>
          </w:tcPr>
          <w:p>
            <w:pPr>
              <w:jc w:val="right"/>
              <w:spacing w:after="0"/>
              <w:rPr>
                <w:sz w:val="20"/>
                <w:szCs w:val="20"/>
                <w:color w:val="auto"/>
              </w:rPr>
            </w:pPr>
            <w:r>
              <w:rPr>
                <w:rFonts w:ascii="Arial" w:cs="Arial" w:eastAsia="Arial" w:hAnsi="Arial"/>
                <w:sz w:val="18"/>
                <w:szCs w:val="18"/>
                <w:color w:val="auto"/>
              </w:rPr>
              <w:t>347,553</w:t>
            </w:r>
          </w:p>
        </w:tc>
      </w:tr>
      <w:tr>
        <w:trPr>
          <w:trHeight w:val="459"/>
        </w:trPr>
        <w:tc>
          <w:tcPr>
            <w:tcW w:w="3020" w:type="dxa"/>
            <w:vAlign w:val="bottom"/>
          </w:tcPr>
          <w:p>
            <w:pPr>
              <w:spacing w:after="0"/>
              <w:rPr>
                <w:sz w:val="20"/>
                <w:szCs w:val="20"/>
                <w:color w:val="auto"/>
              </w:rPr>
            </w:pPr>
            <w:r>
              <w:rPr>
                <w:rFonts w:ascii="Arial" w:cs="Arial" w:eastAsia="Arial" w:hAnsi="Arial"/>
                <w:sz w:val="18"/>
                <w:szCs w:val="18"/>
                <w:color w:val="auto"/>
              </w:rPr>
              <w:t>Shareholder's equity</w:t>
            </w:r>
          </w:p>
        </w:tc>
        <w:tc>
          <w:tcPr>
            <w:tcW w:w="3420" w:type="dxa"/>
            <w:vAlign w:val="bottom"/>
          </w:tcPr>
          <w:p>
            <w:pPr>
              <w:jc w:val="right"/>
              <w:ind w:right="872"/>
              <w:spacing w:after="0"/>
              <w:rPr>
                <w:sz w:val="20"/>
                <w:szCs w:val="20"/>
                <w:color w:val="auto"/>
              </w:rPr>
            </w:pPr>
            <w:r>
              <w:rPr>
                <w:rFonts w:ascii="Arial" w:cs="Arial" w:eastAsia="Arial" w:hAnsi="Arial"/>
                <w:sz w:val="18"/>
                <w:szCs w:val="18"/>
                <w:color w:val="auto"/>
              </w:rPr>
              <w:t>238,761</w:t>
            </w:r>
          </w:p>
        </w:tc>
        <w:tc>
          <w:tcPr>
            <w:tcW w:w="760" w:type="dxa"/>
            <w:vAlign w:val="bottom"/>
          </w:tcPr>
          <w:p>
            <w:pPr>
              <w:jc w:val="right"/>
              <w:spacing w:after="0"/>
              <w:rPr>
                <w:sz w:val="20"/>
                <w:szCs w:val="20"/>
                <w:color w:val="auto"/>
              </w:rPr>
            </w:pPr>
            <w:r>
              <w:rPr>
                <w:rFonts w:ascii="Arial" w:cs="Arial" w:eastAsia="Arial" w:hAnsi="Arial"/>
                <w:sz w:val="18"/>
                <w:szCs w:val="18"/>
                <w:color w:val="auto"/>
              </w:rPr>
              <w:t>233,066</w:t>
            </w:r>
          </w:p>
        </w:tc>
      </w:tr>
      <w:tr>
        <w:trPr>
          <w:trHeight w:val="689"/>
        </w:trPr>
        <w:tc>
          <w:tcPr>
            <w:tcW w:w="3020" w:type="dxa"/>
            <w:vAlign w:val="bottom"/>
          </w:tcPr>
          <w:p>
            <w:pPr>
              <w:spacing w:after="0"/>
              <w:rPr>
                <w:sz w:val="20"/>
                <w:szCs w:val="20"/>
                <w:color w:val="auto"/>
              </w:rPr>
            </w:pPr>
            <w:r>
              <w:rPr>
                <w:rFonts w:ascii="Arial" w:cs="Arial" w:eastAsia="Arial" w:hAnsi="Arial"/>
                <w:sz w:val="18"/>
                <w:szCs w:val="18"/>
                <w:b w:val="1"/>
                <w:bCs w:val="1"/>
                <w:color w:val="auto"/>
              </w:rPr>
              <w:t>Source:</w:t>
            </w:r>
          </w:p>
        </w:tc>
        <w:tc>
          <w:tcPr>
            <w:tcW w:w="3420" w:type="dxa"/>
            <w:vAlign w:val="bottom"/>
          </w:tcPr>
          <w:p>
            <w:pPr>
              <w:ind w:left="700"/>
              <w:spacing w:after="0"/>
              <w:rPr>
                <w:sz w:val="20"/>
                <w:szCs w:val="20"/>
                <w:color w:val="auto"/>
              </w:rPr>
            </w:pPr>
            <w:r>
              <w:rPr>
                <w:rFonts w:ascii="Arial" w:cs="Arial" w:eastAsia="Arial" w:hAnsi="Arial"/>
                <w:sz w:val="18"/>
                <w:szCs w:val="18"/>
                <w:color w:val="auto"/>
              </w:rPr>
              <w:t>ICON plc</w:t>
            </w:r>
          </w:p>
        </w:tc>
        <w:tc>
          <w:tcPr>
            <w:tcW w:w="760" w:type="dxa"/>
            <w:vAlign w:val="bottom"/>
          </w:tcPr>
          <w:p>
            <w:pPr>
              <w:spacing w:after="0"/>
              <w:rPr>
                <w:sz w:val="24"/>
                <w:szCs w:val="24"/>
                <w:color w:val="auto"/>
              </w:rPr>
            </w:pPr>
          </w:p>
        </w:tc>
      </w:tr>
      <w:tr>
        <w:trPr>
          <w:trHeight w:val="459"/>
        </w:trPr>
        <w:tc>
          <w:tcPr>
            <w:tcW w:w="3020" w:type="dxa"/>
            <w:vAlign w:val="bottom"/>
          </w:tcPr>
          <w:p>
            <w:pPr>
              <w:spacing w:after="0"/>
              <w:rPr>
                <w:sz w:val="20"/>
                <w:szCs w:val="20"/>
                <w:color w:val="auto"/>
              </w:rPr>
            </w:pPr>
            <w:r>
              <w:rPr>
                <w:rFonts w:ascii="Arial" w:cs="Arial" w:eastAsia="Arial" w:hAnsi="Arial"/>
                <w:sz w:val="18"/>
                <w:szCs w:val="18"/>
                <w:b w:val="1"/>
                <w:bCs w:val="1"/>
                <w:color w:val="auto"/>
              </w:rPr>
              <w:t>Contact:</w:t>
            </w:r>
          </w:p>
        </w:tc>
        <w:tc>
          <w:tcPr>
            <w:tcW w:w="3420" w:type="dxa"/>
            <w:vAlign w:val="bottom"/>
          </w:tcPr>
          <w:p>
            <w:pPr>
              <w:ind w:left="700"/>
              <w:spacing w:after="0"/>
              <w:rPr>
                <w:sz w:val="20"/>
                <w:szCs w:val="20"/>
                <w:color w:val="auto"/>
              </w:rPr>
            </w:pPr>
            <w:r>
              <w:rPr>
                <w:rFonts w:ascii="Arial" w:cs="Arial" w:eastAsia="Arial" w:hAnsi="Arial"/>
                <w:sz w:val="18"/>
                <w:szCs w:val="18"/>
                <w:color w:val="auto"/>
                <w:w w:val="90"/>
              </w:rPr>
              <w:t>Investor Relations 1-888-381-7923 or</w:t>
            </w:r>
          </w:p>
        </w:tc>
        <w:tc>
          <w:tcPr>
            <w:tcW w:w="760" w:type="dxa"/>
            <w:vAlign w:val="bottom"/>
          </w:tcPr>
          <w:p>
            <w:pPr>
              <w:spacing w:after="0"/>
              <w:rPr>
                <w:sz w:val="24"/>
                <w:szCs w:val="24"/>
                <w:color w:val="auto"/>
              </w:rPr>
            </w:pPr>
          </w:p>
        </w:tc>
      </w:tr>
      <w:tr>
        <w:trPr>
          <w:trHeight w:val="230"/>
        </w:trPr>
        <w:tc>
          <w:tcPr>
            <w:tcW w:w="3020" w:type="dxa"/>
            <w:vAlign w:val="bottom"/>
          </w:tcPr>
          <w:p>
            <w:pPr>
              <w:spacing w:after="0"/>
              <w:rPr>
                <w:sz w:val="19"/>
                <w:szCs w:val="19"/>
                <w:color w:val="auto"/>
              </w:rPr>
            </w:pPr>
          </w:p>
        </w:tc>
        <w:tc>
          <w:tcPr>
            <w:tcW w:w="3420" w:type="dxa"/>
            <w:vAlign w:val="bottom"/>
          </w:tcPr>
          <w:p>
            <w:pPr>
              <w:ind w:left="700"/>
              <w:spacing w:after="0"/>
              <w:rPr>
                <w:sz w:val="20"/>
                <w:szCs w:val="20"/>
                <w:color w:val="auto"/>
              </w:rPr>
            </w:pPr>
            <w:r>
              <w:rPr>
                <w:rFonts w:ascii="Arial" w:cs="Arial" w:eastAsia="Arial" w:hAnsi="Arial"/>
                <w:sz w:val="18"/>
                <w:szCs w:val="18"/>
                <w:color w:val="auto"/>
                <w:w w:val="94"/>
              </w:rPr>
              <w:t>Sean Leech CFO + 353 1 291 2000</w:t>
            </w:r>
          </w:p>
        </w:tc>
        <w:tc>
          <w:tcPr>
            <w:tcW w:w="760" w:type="dxa"/>
            <w:vAlign w:val="bottom"/>
          </w:tcPr>
          <w:p>
            <w:pPr>
              <w:spacing w:after="0"/>
              <w:rPr>
                <w:sz w:val="19"/>
                <w:szCs w:val="19"/>
                <w:color w:val="auto"/>
              </w:rPr>
            </w:pPr>
          </w:p>
        </w:tc>
      </w:tr>
      <w:tr>
        <w:trPr>
          <w:trHeight w:val="230"/>
        </w:trPr>
        <w:tc>
          <w:tcPr>
            <w:tcW w:w="3020" w:type="dxa"/>
            <w:vAlign w:val="bottom"/>
          </w:tcPr>
          <w:p>
            <w:pPr>
              <w:spacing w:after="0"/>
              <w:rPr>
                <w:sz w:val="19"/>
                <w:szCs w:val="19"/>
                <w:color w:val="auto"/>
              </w:rPr>
            </w:pPr>
          </w:p>
        </w:tc>
        <w:tc>
          <w:tcPr>
            <w:tcW w:w="3420" w:type="dxa"/>
            <w:vAlign w:val="bottom"/>
          </w:tcPr>
          <w:p>
            <w:pPr>
              <w:ind w:left="700"/>
              <w:spacing w:after="0"/>
              <w:rPr>
                <w:sz w:val="20"/>
                <w:szCs w:val="20"/>
                <w:color w:val="auto"/>
              </w:rPr>
            </w:pPr>
            <w:r>
              <w:rPr>
                <w:rFonts w:ascii="Arial" w:cs="Arial" w:eastAsia="Arial" w:hAnsi="Arial"/>
                <w:sz w:val="18"/>
                <w:szCs w:val="18"/>
                <w:color w:val="auto"/>
              </w:rPr>
              <w:t>both at ICON.</w:t>
            </w:r>
          </w:p>
        </w:tc>
        <w:tc>
          <w:tcPr>
            <w:tcW w:w="760" w:type="dxa"/>
            <w:vAlign w:val="bottom"/>
          </w:tcPr>
          <w:p>
            <w:pPr>
              <w:spacing w:after="0"/>
              <w:rPr>
                <w:sz w:val="19"/>
                <w:szCs w:val="19"/>
                <w:color w:val="auto"/>
              </w:rPr>
            </w:pPr>
          </w:p>
        </w:tc>
      </w:tr>
    </w:tbl>
    <w:p>
      <w:pPr>
        <w:spacing w:after="0" w:line="2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http://www.iconclinical.com</w:t>
      </w:r>
    </w:p>
    <w:sectPr>
      <w:pgSz w:w="11900" w:h="16838" w:orient="portrait"/>
      <w:cols w:equalWidth="0" w:num="1">
        <w:col w:w="10199"/>
      </w:cols>
      <w:pgMar w:left="260" w:top="8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2019-12-14T20:47:13Z</dcterms:created>
  <dcterms:modified xsi:type="dcterms:W3CDTF">2019-12-14T20:47:13Z</dcterms:modified>
</cp:coreProperties>
</file>