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For the month ended April,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April 28, 2021 - ICON Reports First Quarter 2021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760" w:right="2800" w:hanging="6749"/>
        <w:spacing w:after="0" w:line="290" w:lineRule="auto"/>
        <w:tabs>
          <w:tab w:leader="none" w:pos="6740" w:val="left"/>
        </w:tabs>
        <w:rPr>
          <w:sz w:val="20"/>
          <w:szCs w:val="20"/>
          <w:color w:val="auto"/>
        </w:rPr>
      </w:pPr>
      <w:r>
        <w:rPr>
          <w:rFonts w:ascii="Arial" w:cs="Arial" w:eastAsia="Arial" w:hAnsi="Arial"/>
          <w:sz w:val="18"/>
          <w:szCs w:val="18"/>
          <w:color w:val="auto"/>
        </w:rPr>
        <w:t>Date: April 28, 2021</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First Quarter 2021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480"/>
        <w:spacing w:after="0" w:line="256" w:lineRule="auto"/>
        <w:rPr>
          <w:sz w:val="20"/>
          <w:szCs w:val="20"/>
          <w:color w:val="auto"/>
        </w:rPr>
      </w:pPr>
      <w:r>
        <w:rPr>
          <w:rFonts w:ascii="Arial" w:cs="Arial" w:eastAsia="Arial" w:hAnsi="Arial"/>
          <w:sz w:val="22"/>
          <w:szCs w:val="22"/>
          <w:b w:val="1"/>
          <w:bCs w:val="1"/>
          <w:color w:val="auto"/>
        </w:rPr>
        <w:t>Record net business wins in the quarter of $1,100 million, an increase of 27% year on year; a net book to bill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closing backlog of $10 billion, an increase of 14.0%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160"/>
        <w:spacing w:after="0" w:line="256" w:lineRule="auto"/>
        <w:rPr>
          <w:sz w:val="20"/>
          <w:szCs w:val="20"/>
          <w:color w:val="auto"/>
        </w:rPr>
      </w:pPr>
      <w:r>
        <w:rPr>
          <w:rFonts w:ascii="Arial" w:cs="Arial" w:eastAsia="Arial" w:hAnsi="Arial"/>
          <w:sz w:val="22"/>
          <w:szCs w:val="22"/>
          <w:b w:val="1"/>
          <w:bCs w:val="1"/>
          <w:color w:val="auto"/>
        </w:rPr>
        <w:t>Quarter 1 reported revenue of $858.2 million representing a year on year increase of 20.0% and 12.9% increase on Quarter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80"/>
        <w:spacing w:after="0" w:line="256" w:lineRule="auto"/>
        <w:rPr>
          <w:sz w:val="20"/>
          <w:szCs w:val="20"/>
          <w:color w:val="auto"/>
        </w:rPr>
      </w:pPr>
      <w:r>
        <w:rPr>
          <w:rFonts w:ascii="Arial" w:cs="Arial" w:eastAsia="Arial" w:hAnsi="Arial"/>
          <w:sz w:val="22"/>
          <w:szCs w:val="22"/>
          <w:b w:val="1"/>
          <w:bCs w:val="1"/>
          <w:color w:val="auto"/>
        </w:rPr>
        <w:t>Adjusted earnings per share* attributable to the Group for the quarter of $2.06, an increase of 21.0% over Quarter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jc w:val="both"/>
        <w:ind w:left="540" w:right="900"/>
        <w:spacing w:after="0" w:line="243" w:lineRule="auto"/>
        <w:rPr>
          <w:sz w:val="20"/>
          <w:szCs w:val="20"/>
          <w:color w:val="auto"/>
        </w:rPr>
      </w:pPr>
      <w:r>
        <w:rPr>
          <w:rFonts w:ascii="Arial" w:cs="Arial" w:eastAsia="Arial" w:hAnsi="Arial"/>
          <w:sz w:val="22"/>
          <w:szCs w:val="22"/>
          <w:b w:val="1"/>
          <w:bCs w:val="1"/>
          <w:color w:val="auto"/>
        </w:rPr>
        <w:t>US GAAP income from operations amounted to $116.0 million or 13.5% of revenue. US GAAP net income attributable to the Group was $97.1 million or $1.82 per diluted share, compared to $1.62 per share for the equivalent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right="240"/>
        <w:spacing w:after="0" w:line="256" w:lineRule="auto"/>
        <w:rPr>
          <w:sz w:val="20"/>
          <w:szCs w:val="20"/>
          <w:color w:val="auto"/>
        </w:rPr>
      </w:pPr>
      <w:r>
        <w:rPr>
          <w:rFonts w:ascii="Arial" w:cs="Arial" w:eastAsia="Arial" w:hAnsi="Arial"/>
          <w:sz w:val="22"/>
          <w:szCs w:val="22"/>
          <w:b w:val="1"/>
          <w:bCs w:val="1"/>
          <w:color w:val="auto"/>
        </w:rPr>
        <w:t>Strong cash generation resulting in a record net cash position of $595.6 million. Days sales outstanding reduced to 39 days from 55 days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42" w:lineRule="exact"/>
        <w:rPr>
          <w:sz w:val="20"/>
          <w:szCs w:val="20"/>
          <w:color w:val="auto"/>
        </w:rPr>
      </w:pPr>
    </w:p>
    <w:p>
      <w:pPr>
        <w:ind w:left="540" w:right="120"/>
        <w:spacing w:after="0" w:line="239" w:lineRule="auto"/>
        <w:rPr>
          <w:sz w:val="20"/>
          <w:szCs w:val="20"/>
          <w:color w:val="auto"/>
        </w:rPr>
      </w:pPr>
      <w:r>
        <w:rPr>
          <w:rFonts w:ascii="Arial" w:cs="Arial" w:eastAsia="Arial" w:hAnsi="Arial"/>
          <w:sz w:val="22"/>
          <w:szCs w:val="22"/>
          <w:b w:val="1"/>
          <w:bCs w:val="1"/>
          <w:color w:val="auto"/>
        </w:rPr>
        <w:t>Standalone full year 2021 revenue guidance increased from a range of $3,200 - $3,300 million to a range of $3,400 - $3,500 million, representing a year over year increase of 21.6% - 25.1%. Standalone full year 2021 earnings per share guidance (before transaction-related costs) increased from a range of $8.10 - $8.50 to a range of $8.40 - $8.80, representing a year over year increase of 28.6% - 34.8%.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*before transaction-related costs of $12.9 million.</w:t>
      </w:r>
    </w:p>
    <w:p>
      <w:pPr>
        <w:spacing w:after="0" w:line="206" w:lineRule="exact"/>
        <w:rPr>
          <w:sz w:val="20"/>
          <w:szCs w:val="20"/>
          <w:color w:val="auto"/>
        </w:rPr>
      </w:pPr>
    </w:p>
    <w:p>
      <w:pPr>
        <w:jc w:val="both"/>
        <w:ind w:right="20"/>
        <w:spacing w:after="0" w:line="260" w:lineRule="auto"/>
        <w:rPr>
          <w:sz w:val="20"/>
          <w:szCs w:val="20"/>
          <w:color w:val="auto"/>
        </w:rPr>
      </w:pPr>
      <w:r>
        <w:rPr>
          <w:rFonts w:ascii="Arial" w:cs="Arial" w:eastAsia="Arial" w:hAnsi="Arial"/>
          <w:sz w:val="21"/>
          <w:szCs w:val="21"/>
          <w:color w:val="auto"/>
        </w:rPr>
        <w:t>DUBLIN--(BUSINESS WIRE)--April 28, 2021--</w:t>
      </w:r>
      <w:r>
        <w:rPr>
          <w:rFonts w:ascii="Arial" w:cs="Arial" w:eastAsia="Arial" w:hAnsi="Arial"/>
          <w:sz w:val="21"/>
          <w:szCs w:val="21"/>
          <w:b w:val="1"/>
          <w:bCs w:val="1"/>
          <w:color w:val="auto"/>
        </w:rPr>
        <w:t>ICONplc (NASDAQ: ICLR),</w:t>
      </w:r>
      <w:r>
        <w:rPr>
          <w:rFonts w:ascii="Arial" w:cs="Arial" w:eastAsia="Arial" w:hAnsi="Arial"/>
          <w:sz w:val="21"/>
          <w:szCs w:val="21"/>
          <w:color w:val="auto"/>
        </w:rPr>
        <w:t xml:space="preserve"> a global provider of outsourced drug and device development and commercialisation services to pharmaceutical, biotechnology, medical device and government and public health organisations, today reported its financial results for the first quarter ended March 31, 2021.</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CEO Dr. Steve Cutler commented, </w:t>
      </w:r>
      <w:r>
        <w:rPr>
          <w:rFonts w:ascii="Arial" w:cs="Arial" w:eastAsia="Arial" w:hAnsi="Arial"/>
          <w:sz w:val="22"/>
          <w:szCs w:val="22"/>
          <w:i w:val="1"/>
          <w:iCs w:val="1"/>
          <w:color w:val="auto"/>
        </w:rPr>
        <w:t>“I am very pleased with the strong start ICON has made to 2021 which builds on our</w:t>
      </w:r>
      <w:r>
        <w:rPr>
          <w:rFonts w:ascii="Arial" w:cs="Arial" w:eastAsia="Arial" w:hAnsi="Arial"/>
          <w:sz w:val="22"/>
          <w:szCs w:val="22"/>
          <w:color w:val="auto"/>
        </w:rPr>
        <w:t xml:space="preserve"> </w:t>
      </w:r>
      <w:r>
        <w:rPr>
          <w:rFonts w:ascii="Arial" w:cs="Arial" w:eastAsia="Arial" w:hAnsi="Arial"/>
          <w:sz w:val="22"/>
          <w:szCs w:val="22"/>
          <w:i w:val="1"/>
          <w:iCs w:val="1"/>
          <w:color w:val="auto"/>
        </w:rPr>
        <w:t>momentum from last year. During the quarter ICON produced a record net business wins of $1.1 billion, an increase of 27% year on year, growing our backlog to $10 billion, an increase of 14% year on year. Revenue grew to $858 million, a 20% year on year increase, and adjusted earnings per share increased by 21% to $2.06.</w:t>
      </w:r>
    </w:p>
    <w:p>
      <w:pPr>
        <w:spacing w:after="0" w:line="185"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i w:val="1"/>
          <w:iCs w:val="1"/>
          <w:color w:val="auto"/>
        </w:rPr>
        <w:t>Given our strong progress this year we are increasing our standalone 2021 revenue guidance from a range of $3,200 - $3,300 million to a range of $3,400 - $3,500 million, an increase of 21.6% - 25.1% year over year. And we are increasing standalone adjusted earnings per share guidance from a range of $8.10 - $8.50 to $8.40 - $8.80, representing an increase of 28.6% - 34.8% year over year.</w:t>
      </w:r>
    </w:p>
    <w:p>
      <w:pPr>
        <w:spacing w:after="0" w:line="185" w:lineRule="exact"/>
        <w:rPr>
          <w:sz w:val="20"/>
          <w:szCs w:val="20"/>
          <w:color w:val="auto"/>
        </w:rPr>
      </w:pPr>
    </w:p>
    <w:p>
      <w:pPr>
        <w:ind w:right="600"/>
        <w:spacing w:after="0" w:line="252" w:lineRule="auto"/>
        <w:rPr>
          <w:sz w:val="20"/>
          <w:szCs w:val="20"/>
          <w:color w:val="auto"/>
        </w:rPr>
      </w:pPr>
      <w:r>
        <w:rPr>
          <w:rFonts w:ascii="Arial" w:cs="Arial" w:eastAsia="Arial" w:hAnsi="Arial"/>
          <w:sz w:val="21"/>
          <w:szCs w:val="21"/>
          <w:i w:val="1"/>
          <w:iCs w:val="1"/>
          <w:color w:val="auto"/>
        </w:rPr>
        <w:t>Our planning for the acquisition of PRA continues and we remain on track for closing in July. We believe our strong new business performance in Q1 demonstrates our customers’ confidence in our continued operational performance and our commitment to deliver enhanced and innovative patient centred solutions. We look forward to the union of two high quality organisations to form the world's leading healthcare intelligence and clinical CRO.”</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2021 Results</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Gross business wins in the first quarter were $1,295 million and cancellations were $195 million. This resulted in net business wins of $1,100 million and a book to bill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400"/>
        <w:spacing w:after="0" w:line="250" w:lineRule="auto"/>
        <w:rPr>
          <w:sz w:val="20"/>
          <w:szCs w:val="20"/>
          <w:color w:val="auto"/>
        </w:rPr>
      </w:pPr>
      <w:r>
        <w:rPr>
          <w:rFonts w:ascii="Arial" w:cs="Arial" w:eastAsia="Arial" w:hAnsi="Arial"/>
          <w:sz w:val="22"/>
          <w:szCs w:val="22"/>
          <w:color w:val="auto"/>
        </w:rPr>
        <w:t>Reported revenue for Quarter 1 was $858.2 million. This represents a year on year increase of 20.0% or 17.9% on a constant currency basis.</w:t>
      </w:r>
    </w:p>
    <w:p>
      <w:pPr>
        <w:spacing w:after="0" w:line="175"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US GAAP income from operations amounted to $116.0 million or 13.5% of revenue. Adjusted income from operations* in the quarter was $128.5 million or 15.0% of revenue compared to $106.3 million or 14.9% of revenue for Quarter 1 2020. This represents a year on year increase of 20.9%.</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US GAAP net income attributable to the Group was $97.1 million or 11.3% of revenue. Adjusted net income* attributable to the Group for the quarter was $109.7 million or 12.8% of revenue compared with $91.7 million or 12.8% of revenue in Quarter 1 2020. This represents year on year growth of 19.6%.</w:t>
      </w:r>
    </w:p>
    <w:p>
      <w:pPr>
        <w:spacing w:after="0" w:line="186" w:lineRule="exact"/>
        <w:rPr>
          <w:sz w:val="20"/>
          <w:szCs w:val="20"/>
          <w:color w:val="auto"/>
        </w:rPr>
      </w:pPr>
    </w:p>
    <w:p>
      <w:pPr>
        <w:ind w:right="300"/>
        <w:spacing w:after="0" w:line="257" w:lineRule="auto"/>
        <w:rPr>
          <w:sz w:val="20"/>
          <w:szCs w:val="20"/>
          <w:color w:val="auto"/>
        </w:rPr>
      </w:pPr>
      <w:r>
        <w:rPr>
          <w:rFonts w:ascii="Arial" w:cs="Arial" w:eastAsia="Arial" w:hAnsi="Arial"/>
          <w:sz w:val="21"/>
          <w:szCs w:val="21"/>
          <w:color w:val="auto"/>
        </w:rPr>
        <w:t>US GAAP earnings per share attributable to the Group on a diluted basis was $1.82 compared to $1.62 per share for the equivalent prior year period. Adjusted earnings per share* attributable to the Group on a diluted basis was $2.06, compared to $1.70 per share for Quarter 1 2020. This represents a year on year increase of 21.0%.</w:t>
      </w:r>
    </w:p>
    <w:p>
      <w:pPr>
        <w:spacing w:after="0" w:line="169"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During the quarter the company recorded $12.9m of transaction-related costs. On a comparative basis, non-GAAP days sales outstanding were 39 days at March 31, 2021, compared with 41 days at the end of December 2020 and 55 days at the end of March 2020.</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Cash generated from operating activities for the quarter was $111.9 million. During the quarter, $8.7 million was spent on capital expenditure. As a result, at March 31, 2021, the Group had net cash of $595.6 million, compared to net cash of $493.6 million at December 31, 2020 and $134.4 million at the end of March 2020.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before transaction-related costs.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Non-GAAP operating and net income and non-GAAP diluted earnings per share exclude transaction-related costs. While non-GAAP financial measures are not superior to or a substitute for the comparable GAAP measures, ICON believes certain non-GAAP information is useful to investors for historical comparison purposes.</w:t>
      </w:r>
    </w:p>
    <w:p>
      <w:pPr>
        <w:spacing w:after="0" w:line="147"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Adjusted earnings per share attributable to the Group (Non-GAAP) has been computed by dividing non-GAAP net income attributable to the Group by the weighted average number of shares outstanding.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May 23, 2019. ICON exercised its call on the outstanding shares in MeDiNova and derecognized the non-controlling interest effective from March 2020.</w:t>
      </w:r>
    </w:p>
    <w:p>
      <w:pPr>
        <w:spacing w:after="0" w:line="170" w:lineRule="exact"/>
        <w:rPr>
          <w:sz w:val="20"/>
          <w:szCs w:val="20"/>
          <w:color w:val="auto"/>
        </w:rPr>
      </w:pPr>
    </w:p>
    <w:p>
      <w:pPr>
        <w:ind w:right="100"/>
        <w:spacing w:after="0" w:line="217" w:lineRule="auto"/>
        <w:rPr>
          <w:sz w:val="20"/>
          <w:szCs w:val="20"/>
          <w:color w:val="auto"/>
        </w:rPr>
      </w:pPr>
      <w:r>
        <w:rPr>
          <w:rFonts w:ascii="Arial" w:cs="Arial" w:eastAsia="Arial" w:hAnsi="Arial"/>
          <w:sz w:val="21"/>
          <w:szCs w:val="21"/>
          <w:color w:val="auto"/>
        </w:rPr>
        <w:t>ICON will hold a conference call tomorrow, April 29</w:t>
      </w:r>
      <w:r>
        <w:rPr>
          <w:rFonts w:ascii="Arial" w:cs="Arial" w:eastAsia="Arial" w:hAnsi="Arial"/>
          <w:sz w:val="34"/>
          <w:szCs w:val="34"/>
          <w:color w:val="auto"/>
          <w:vertAlign w:val="superscript"/>
        </w:rPr>
        <w:t>th</w:t>
      </w:r>
      <w:r>
        <w:rPr>
          <w:rFonts w:ascii="Arial" w:cs="Arial" w:eastAsia="Arial" w:hAnsi="Arial"/>
          <w:sz w:val="21"/>
          <w:szCs w:val="21"/>
          <w:color w:val="auto"/>
        </w:rPr>
        <w:t>, 2021 at 10:00 EDT [15:00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5" w:name="page6"/>
    <w:bookmarkEnd w:id="5"/>
    <w:p>
      <w:pPr>
        <w:ind w:right="60"/>
        <w:spacing w:after="0" w:line="238" w:lineRule="auto"/>
        <w:rPr>
          <w:sz w:val="20"/>
          <w:szCs w:val="20"/>
          <w:color w:val="auto"/>
        </w:rPr>
      </w:pPr>
      <w:r>
        <w:rPr>
          <w:rFonts w:ascii="Arial" w:cs="Arial" w:eastAsia="Arial" w:hAnsi="Arial"/>
          <w:sz w:val="20"/>
          <w:szCs w:val="20"/>
          <w:color w:val="auto"/>
        </w:rPr>
        <w:t>As announced on February 24</w:t>
      </w:r>
      <w:r>
        <w:rPr>
          <w:rFonts w:ascii="Arial" w:cs="Arial" w:eastAsia="Arial" w:hAnsi="Arial"/>
          <w:sz w:val="32"/>
          <w:szCs w:val="32"/>
          <w:color w:val="auto"/>
          <w:vertAlign w:val="superscript"/>
        </w:rPr>
        <w:t>th</w:t>
      </w:r>
      <w:r>
        <w:rPr>
          <w:rFonts w:ascii="Arial" w:cs="Arial" w:eastAsia="Arial" w:hAnsi="Arial"/>
          <w:sz w:val="20"/>
          <w:szCs w:val="20"/>
          <w:color w:val="auto"/>
        </w:rPr>
        <w:t>, 2021, ICON and PRA Health Sciences (“PRA”) have entered into a definitive merger agreement. This communication does not constitute an offer to sell or buy or the solicitation of any offer to buy or sell any securities, nor shall there be any sale of securities in a jurisdiction in which such offer, solicitation, or sale would be unlawful prior to registration or qualification under the securities law of any such jurisdiction. No offering of securities shall be made except by means of a prospectus meeting regulatory requirements of Section 10 of the Securities Act of 1933. In connection with the proposed transaction, ICON has filed a registration statement on Form F-4 (File No. 333-254891) with the SEC containing a prospectus of ICON that also constitutes a proxy statement of each of ICON and PRA.</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0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57"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16,070 employees in 89 locations in 43 countries as at March 31, 2021. For further information about ICON, visit: www.iconplc.com and www.iconplc.com/pra.</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38" w:lineRule="auto"/>
        <w:rPr>
          <w:sz w:val="20"/>
          <w:szCs w:val="20"/>
          <w:color w:val="auto"/>
        </w:rPr>
      </w:pPr>
      <w:r>
        <w:rPr>
          <w:rFonts w:ascii="Arial" w:cs="Arial" w:eastAsia="Arial" w:hAnsi="Arial"/>
          <w:sz w:val="22"/>
          <w:szCs w:val="22"/>
          <w:color w:val="auto"/>
        </w:rPr>
        <w:t>Contact: Investor Relations +1888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231" w:lineRule="auto"/>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rPr>
          <w:sz w:val="20"/>
          <w:szCs w:val="20"/>
          <w:color w:val="auto"/>
        </w:rPr>
      </w:pPr>
      <w:r>
        <w:rPr>
          <w:rFonts w:ascii="Arial" w:cs="Arial" w:eastAsia="Arial" w:hAnsi="Arial"/>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(US GAAP)</w:t>
      </w:r>
    </w:p>
    <w:p>
      <w:pPr>
        <w:jc w:val="center"/>
        <w:ind w:right="40"/>
        <w:spacing w:after="0" w:line="231" w:lineRule="auto"/>
        <w:rPr>
          <w:sz w:val="20"/>
          <w:szCs w:val="20"/>
          <w:color w:val="auto"/>
        </w:rPr>
      </w:pPr>
      <w:r>
        <w:rPr>
          <w:rFonts w:ascii="Arial" w:cs="Arial" w:eastAsia="Arial" w:hAnsi="Arial"/>
          <w:sz w:val="22"/>
          <w:szCs w:val="22"/>
          <w:b w:val="1"/>
          <w:bCs w:val="1"/>
          <w:color w:val="auto"/>
        </w:rPr>
        <w:t>Three Months ended March 31, 2021 and March 31, 2020</w:t>
      </w:r>
    </w:p>
    <w:p>
      <w:pPr>
        <w:jc w:val="center"/>
        <w:ind w:right="40"/>
        <w:spacing w:after="0" w:line="230"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6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2120" w:type="dxa"/>
            <w:vAlign w:val="bottom"/>
          </w:tcPr>
          <w:p>
            <w:pPr>
              <w:spacing w:after="0"/>
              <w:rPr>
                <w:sz w:val="20"/>
                <w:szCs w:val="20"/>
                <w:color w:val="auto"/>
              </w:rPr>
            </w:pPr>
          </w:p>
        </w:tc>
      </w:tr>
      <w:tr>
        <w:trPr>
          <w:trHeight w:val="203"/>
        </w:trPr>
        <w:tc>
          <w:tcPr>
            <w:tcW w:w="2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March</w:t>
            </w:r>
          </w:p>
        </w:tc>
        <w:tc>
          <w:tcPr>
            <w:tcW w:w="140" w:type="dxa"/>
            <w:vAlign w:val="bottom"/>
          </w:tcPr>
          <w:p>
            <w:pPr>
              <w:spacing w:after="0"/>
              <w:rPr>
                <w:sz w:val="17"/>
                <w:szCs w:val="17"/>
                <w:color w:val="auto"/>
              </w:rPr>
            </w:pPr>
          </w:p>
        </w:tc>
        <w:tc>
          <w:tcPr>
            <w:tcW w:w="7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March</w:t>
            </w:r>
          </w:p>
        </w:tc>
        <w:tc>
          <w:tcPr>
            <w:tcW w:w="212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31, 2021</w:t>
            </w:r>
          </w:p>
        </w:tc>
        <w:tc>
          <w:tcPr>
            <w:tcW w:w="120" w:type="dxa"/>
            <w:vAlign w:val="bottom"/>
          </w:tcPr>
          <w:p>
            <w:pPr>
              <w:spacing w:after="0"/>
              <w:rPr>
                <w:sz w:val="19"/>
                <w:szCs w:val="19"/>
                <w:color w:val="auto"/>
              </w:rPr>
            </w:pPr>
          </w:p>
        </w:tc>
        <w:tc>
          <w:tcPr>
            <w:tcW w:w="8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31, 2020</w:t>
            </w:r>
          </w:p>
        </w:tc>
        <w:tc>
          <w:tcPr>
            <w:tcW w:w="2120" w:type="dxa"/>
            <w:vAlign w:val="bottom"/>
          </w:tcPr>
          <w:p>
            <w:pPr>
              <w:spacing w:after="0"/>
              <w:rPr>
                <w:sz w:val="19"/>
                <w:szCs w:val="19"/>
                <w:color w:val="auto"/>
              </w:rPr>
            </w:pPr>
          </w:p>
        </w:tc>
      </w:tr>
      <w:tr>
        <w:trPr>
          <w:trHeight w:val="264"/>
        </w:trPr>
        <w:tc>
          <w:tcPr>
            <w:tcW w:w="2140" w:type="dxa"/>
            <w:vAlign w:val="bottom"/>
          </w:tcPr>
          <w:p>
            <w:pPr>
              <w:spacing w:after="0"/>
              <w:rPr>
                <w:sz w:val="22"/>
                <w:szCs w:val="22"/>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2"/>
                <w:szCs w:val="22"/>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858,198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715,102</w:t>
            </w: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486"/>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43"/>
        </w:trPr>
        <w:tc>
          <w:tcPr>
            <w:tcW w:w="214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 costs</w:t>
            </w:r>
          </w:p>
        </w:tc>
        <w:tc>
          <w:tcPr>
            <w:tcW w:w="1000" w:type="dxa"/>
            <w:vAlign w:val="bottom"/>
            <w:gridSpan w:val="5"/>
          </w:tcPr>
          <w:p>
            <w:pPr>
              <w:jc w:val="center"/>
              <w:ind w:left="30"/>
              <w:spacing w:after="0"/>
              <w:rPr>
                <w:sz w:val="20"/>
                <w:szCs w:val="20"/>
                <w:color w:val="auto"/>
              </w:rPr>
            </w:pPr>
            <w:r>
              <w:rPr>
                <w:rFonts w:ascii="Arial" w:cs="Arial" w:eastAsia="Arial" w:hAnsi="Arial"/>
                <w:sz w:val="18"/>
                <w:szCs w:val="18"/>
                <w:color w:val="auto"/>
                <w:w w:val="93"/>
              </w:rPr>
              <w:t>(626,244)</w:t>
            </w:r>
          </w:p>
        </w:tc>
        <w:tc>
          <w:tcPr>
            <w:tcW w:w="860" w:type="dxa"/>
            <w:vAlign w:val="bottom"/>
            <w:gridSpan w:val="5"/>
          </w:tcPr>
          <w:p>
            <w:pPr>
              <w:jc w:val="center"/>
              <w:spacing w:after="0"/>
              <w:rPr>
                <w:sz w:val="20"/>
                <w:szCs w:val="20"/>
                <w:color w:val="auto"/>
              </w:rPr>
            </w:pPr>
            <w:r>
              <w:rPr>
                <w:rFonts w:ascii="Arial" w:cs="Arial" w:eastAsia="Arial" w:hAnsi="Arial"/>
                <w:sz w:val="18"/>
                <w:szCs w:val="18"/>
                <w:color w:val="auto"/>
                <w:w w:val="90"/>
              </w:rPr>
              <w:t>(505,293)</w:t>
            </w:r>
          </w:p>
        </w:tc>
        <w:tc>
          <w:tcPr>
            <w:tcW w:w="2120" w:type="dxa"/>
            <w:vAlign w:val="bottom"/>
          </w:tcPr>
          <w:p>
            <w:pPr>
              <w:spacing w:after="0"/>
              <w:rPr>
                <w:sz w:val="21"/>
                <w:szCs w:val="21"/>
                <w:color w:val="auto"/>
              </w:rPr>
            </w:pPr>
          </w:p>
        </w:tc>
      </w:tr>
      <w:tr>
        <w:trPr>
          <w:trHeight w:val="243"/>
        </w:trPr>
        <w:tc>
          <w:tcPr>
            <w:tcW w:w="214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880" w:type="dxa"/>
            <w:vAlign w:val="bottom"/>
            <w:gridSpan w:val="4"/>
          </w:tcPr>
          <w:p>
            <w:pPr>
              <w:jc w:val="center"/>
              <w:ind w:left="150"/>
              <w:spacing w:after="0"/>
              <w:rPr>
                <w:sz w:val="20"/>
                <w:szCs w:val="20"/>
                <w:color w:val="auto"/>
              </w:rPr>
            </w:pPr>
            <w:r>
              <w:rPr>
                <w:rFonts w:ascii="Arial" w:cs="Arial" w:eastAsia="Arial" w:hAnsi="Arial"/>
                <w:sz w:val="18"/>
                <w:szCs w:val="18"/>
                <w:color w:val="auto"/>
                <w:w w:val="89"/>
              </w:rPr>
              <w:t>(98,535)</w:t>
            </w:r>
          </w:p>
        </w:tc>
        <w:tc>
          <w:tcPr>
            <w:tcW w:w="120" w:type="dxa"/>
            <w:vAlign w:val="bottom"/>
          </w:tcPr>
          <w:p>
            <w:pPr>
              <w:spacing w:after="0"/>
              <w:rPr>
                <w:sz w:val="21"/>
                <w:szCs w:val="21"/>
                <w:color w:val="auto"/>
              </w:rPr>
            </w:pPr>
          </w:p>
        </w:tc>
        <w:tc>
          <w:tcPr>
            <w:tcW w:w="76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(87,196)</w:t>
            </w: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50"/>
        </w:trPr>
        <w:tc>
          <w:tcPr>
            <w:tcW w:w="2140" w:type="dxa"/>
            <w:vAlign w:val="bottom"/>
          </w:tcPr>
          <w:p>
            <w:pPr>
              <w:spacing w:after="0"/>
              <w:rPr>
                <w:sz w:val="21"/>
                <w:szCs w:val="21"/>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89"/>
              </w:rPr>
              <w:t>(17,405)</w:t>
            </w: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(16,322)</w:t>
            </w:r>
          </w:p>
        </w:tc>
        <w:tc>
          <w:tcPr>
            <w:tcW w:w="100" w:type="dxa"/>
            <w:vAlign w:val="bottom"/>
            <w:tcBorders>
              <w:bottom w:val="single" w:sz="8" w:color="auto"/>
            </w:tcBorders>
          </w:tcPr>
          <w:p>
            <w:pPr>
              <w:spacing w:after="0"/>
              <w:rPr>
                <w:sz w:val="21"/>
                <w:szCs w:val="21"/>
                <w:color w:val="auto"/>
              </w:rPr>
            </w:pPr>
          </w:p>
        </w:tc>
        <w:tc>
          <w:tcPr>
            <w:tcW w:w="2120" w:type="dxa"/>
            <w:vAlign w:val="bottom"/>
          </w:tcPr>
          <w:p>
            <w:pPr>
              <w:spacing w:after="0"/>
              <w:rPr>
                <w:sz w:val="21"/>
                <w:szCs w:val="21"/>
                <w:color w:val="auto"/>
              </w:rPr>
            </w:pPr>
          </w:p>
        </w:tc>
      </w:tr>
      <w:tr>
        <w:trPr>
          <w:trHeight w:val="479"/>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000" w:type="dxa"/>
            <w:vAlign w:val="bottom"/>
            <w:tcBorders>
              <w:bottom w:val="single" w:sz="8" w:color="auto"/>
            </w:tcBorders>
            <w:gridSpan w:val="5"/>
          </w:tcPr>
          <w:p>
            <w:pPr>
              <w:jc w:val="center"/>
              <w:ind w:left="30"/>
              <w:spacing w:after="0"/>
              <w:rPr>
                <w:sz w:val="20"/>
                <w:szCs w:val="20"/>
                <w:color w:val="auto"/>
              </w:rPr>
            </w:pPr>
            <w:r>
              <w:rPr>
                <w:rFonts w:ascii="Arial" w:cs="Arial" w:eastAsia="Arial" w:hAnsi="Arial"/>
                <w:sz w:val="18"/>
                <w:szCs w:val="18"/>
                <w:color w:val="auto"/>
                <w:w w:val="93"/>
              </w:rPr>
              <w:t>(742,184)</w:t>
            </w:r>
          </w:p>
        </w:tc>
        <w:tc>
          <w:tcPr>
            <w:tcW w:w="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(608,811)</w:t>
            </w: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gridSpan w:val="4"/>
          </w:tcPr>
          <w:p>
            <w:pPr>
              <w:jc w:val="center"/>
              <w:ind w:left="130"/>
              <w:spacing w:after="0"/>
              <w:rPr>
                <w:sz w:val="20"/>
                <w:szCs w:val="20"/>
                <w:color w:val="auto"/>
              </w:rPr>
            </w:pPr>
            <w:r>
              <w:rPr>
                <w:rFonts w:ascii="Arial" w:cs="Arial" w:eastAsia="Arial" w:hAnsi="Arial"/>
                <w:sz w:val="18"/>
                <w:szCs w:val="18"/>
                <w:color w:val="auto"/>
                <w:w w:val="89"/>
              </w:rPr>
              <w:t>116,014</w:t>
            </w:r>
          </w:p>
        </w:tc>
        <w:tc>
          <w:tcPr>
            <w:tcW w:w="120" w:type="dxa"/>
            <w:vAlign w:val="bottom"/>
          </w:tcPr>
          <w:p>
            <w:pPr>
              <w:spacing w:after="0"/>
              <w:rPr>
                <w:sz w:val="24"/>
                <w:szCs w:val="24"/>
                <w:color w:val="auto"/>
              </w:rPr>
            </w:pPr>
          </w:p>
        </w:tc>
        <w:tc>
          <w:tcPr>
            <w:tcW w:w="76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106,291</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8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91"/>
              </w:rPr>
              <w:t>(2,470)</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4"/>
              </w:rPr>
              <w:t>(1,372)</w:t>
            </w: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880" w:type="dxa"/>
            <w:vAlign w:val="bottom"/>
            <w:gridSpan w:val="4"/>
          </w:tcPr>
          <w:p>
            <w:pPr>
              <w:jc w:val="center"/>
              <w:ind w:left="130"/>
              <w:spacing w:after="0"/>
              <w:rPr>
                <w:sz w:val="20"/>
                <w:szCs w:val="20"/>
                <w:color w:val="auto"/>
              </w:rPr>
            </w:pPr>
            <w:r>
              <w:rPr>
                <w:rFonts w:ascii="Arial" w:cs="Arial" w:eastAsia="Arial" w:hAnsi="Arial"/>
                <w:sz w:val="18"/>
                <w:szCs w:val="18"/>
                <w:color w:val="auto"/>
                <w:w w:val="89"/>
              </w:rPr>
              <w:t>113,544</w:t>
            </w:r>
          </w:p>
        </w:tc>
        <w:tc>
          <w:tcPr>
            <w:tcW w:w="120" w:type="dxa"/>
            <w:vAlign w:val="bottom"/>
          </w:tcPr>
          <w:p>
            <w:pPr>
              <w:spacing w:after="0"/>
              <w:rPr>
                <w:sz w:val="24"/>
                <w:szCs w:val="24"/>
                <w:color w:val="auto"/>
              </w:rPr>
            </w:pPr>
          </w:p>
        </w:tc>
        <w:tc>
          <w:tcPr>
            <w:tcW w:w="76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104,919</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89"/>
              </w:rPr>
              <w:t>(16,148)</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(12,590)</w:t>
            </w: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w w:val="90"/>
              </w:rPr>
              <w:t>Income before share of earnings from equity method investments</w:t>
            </w:r>
          </w:p>
        </w:tc>
        <w:tc>
          <w:tcPr>
            <w:tcW w:w="80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97,396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92,329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method investments</w:t>
            </w:r>
          </w:p>
        </w:tc>
        <w:tc>
          <w:tcPr>
            <w:tcW w:w="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5"/>
              </w:rPr>
              <w:t>(274)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97,122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92,329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80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0"/>
              </w:rPr>
              <w:t>(633)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80"/>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87"/>
              </w:rPr>
              <w:t>97,122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0"/>
              </w:rPr>
              <w:t>91,696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88"/>
              </w:rPr>
              <w:t>$1.84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3"/>
              </w:rPr>
              <w:t>$1.63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80"/>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88"/>
              </w:rPr>
              <w:t>$1.82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3"/>
              </w:rPr>
              <w:t>$1.62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860" w:type="dxa"/>
            <w:vAlign w:val="bottom"/>
            <w:tcBorders>
              <w:bottom w:val="single" w:sz="8" w:color="auto"/>
            </w:tcBorders>
            <w:gridSpan w:val="10"/>
          </w:tcPr>
          <w:p>
            <w:pPr>
              <w:jc w:val="center"/>
              <w:ind w:left="70"/>
              <w:spacing w:after="0"/>
              <w:rPr>
                <w:sz w:val="20"/>
                <w:szCs w:val="20"/>
                <w:color w:val="auto"/>
              </w:rPr>
            </w:pPr>
            <w:r>
              <w:rPr>
                <w:rFonts w:ascii="Arial" w:cs="Arial" w:eastAsia="Arial" w:hAnsi="Arial"/>
                <w:sz w:val="18"/>
                <w:szCs w:val="18"/>
                <w:color w:val="auto"/>
                <w:w w:val="91"/>
              </w:rPr>
              <w:t>52,811,460 53,348,355</w:t>
            </w:r>
          </w:p>
        </w:tc>
        <w:tc>
          <w:tcPr>
            <w:tcW w:w="2120" w:type="dxa"/>
            <w:vAlign w:val="bottom"/>
          </w:tcPr>
          <w:p>
            <w:pPr>
              <w:spacing w:after="0"/>
              <w:rPr>
                <w:sz w:val="24"/>
                <w:szCs w:val="24"/>
                <w:color w:val="auto"/>
              </w:rPr>
            </w:pPr>
          </w:p>
        </w:tc>
      </w:tr>
      <w:tr>
        <w:trPr>
          <w:trHeight w:val="479"/>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860" w:type="dxa"/>
            <w:vAlign w:val="bottom"/>
            <w:tcBorders>
              <w:bottom w:val="single" w:sz="8" w:color="auto"/>
            </w:tcBorders>
            <w:gridSpan w:val="10"/>
          </w:tcPr>
          <w:p>
            <w:pPr>
              <w:jc w:val="center"/>
              <w:ind w:left="70"/>
              <w:spacing w:after="0"/>
              <w:rPr>
                <w:sz w:val="20"/>
                <w:szCs w:val="20"/>
                <w:color w:val="auto"/>
              </w:rPr>
            </w:pPr>
            <w:r>
              <w:rPr>
                <w:rFonts w:ascii="Arial" w:cs="Arial" w:eastAsia="Arial" w:hAnsi="Arial"/>
                <w:sz w:val="18"/>
                <w:szCs w:val="18"/>
                <w:color w:val="auto"/>
                <w:w w:val="91"/>
              </w:rPr>
              <w:t>53,310,453 53,905,022</w:t>
            </w:r>
          </w:p>
        </w:tc>
        <w:tc>
          <w:tcPr>
            <w:tcW w:w="2120" w:type="dxa"/>
            <w:vAlign w:val="bottom"/>
          </w:tcPr>
          <w:p>
            <w:pPr>
              <w:spacing w:after="0"/>
              <w:rPr>
                <w:sz w:val="24"/>
                <w:szCs w:val="24"/>
                <w:color w:val="auto"/>
              </w:rPr>
            </w:pPr>
          </w:p>
        </w:tc>
      </w:tr>
      <w:tr>
        <w:trPr>
          <w:trHeight w:val="425"/>
        </w:trPr>
        <w:tc>
          <w:tcPr>
            <w:tcW w:w="21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(Non-GAAP)</w:t>
      </w:r>
    </w:p>
    <w:p>
      <w:pPr>
        <w:jc w:val="center"/>
        <w:ind w:right="40"/>
        <w:spacing w:after="0" w:line="231" w:lineRule="auto"/>
        <w:rPr>
          <w:sz w:val="20"/>
          <w:szCs w:val="20"/>
          <w:color w:val="auto"/>
        </w:rPr>
      </w:pPr>
      <w:r>
        <w:rPr>
          <w:rFonts w:ascii="Arial" w:cs="Arial" w:eastAsia="Arial" w:hAnsi="Arial"/>
          <w:sz w:val="22"/>
          <w:szCs w:val="22"/>
          <w:b w:val="1"/>
          <w:bCs w:val="1"/>
          <w:color w:val="auto"/>
        </w:rPr>
        <w:t>Three Months ended March 31, 2021 and March 31, 2020</w:t>
      </w:r>
    </w:p>
    <w:p>
      <w:pPr>
        <w:jc w:val="center"/>
        <w:ind w:right="40"/>
        <w:spacing w:after="0" w:line="230" w:lineRule="auto"/>
        <w:rPr>
          <w:sz w:val="20"/>
          <w:szCs w:val="20"/>
          <w:color w:val="auto"/>
        </w:rPr>
      </w:pPr>
      <w:r>
        <w:rPr>
          <w:rFonts w:ascii="Arial" w:cs="Arial" w:eastAsia="Arial" w:hAnsi="Arial"/>
          <w:sz w:val="22"/>
          <w:szCs w:val="22"/>
          <w:b w:val="1"/>
          <w:bCs w:val="1"/>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6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2120" w:type="dxa"/>
            <w:vAlign w:val="bottom"/>
          </w:tcPr>
          <w:p>
            <w:pPr>
              <w:spacing w:after="0"/>
              <w:rPr>
                <w:sz w:val="20"/>
                <w:szCs w:val="20"/>
                <w:color w:val="auto"/>
              </w:rPr>
            </w:pPr>
          </w:p>
        </w:tc>
      </w:tr>
      <w:tr>
        <w:trPr>
          <w:trHeight w:val="203"/>
        </w:trPr>
        <w:tc>
          <w:tcPr>
            <w:tcW w:w="2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March</w:t>
            </w:r>
          </w:p>
        </w:tc>
        <w:tc>
          <w:tcPr>
            <w:tcW w:w="140" w:type="dxa"/>
            <w:vAlign w:val="bottom"/>
          </w:tcPr>
          <w:p>
            <w:pPr>
              <w:spacing w:after="0"/>
              <w:rPr>
                <w:sz w:val="17"/>
                <w:szCs w:val="17"/>
                <w:color w:val="auto"/>
              </w:rPr>
            </w:pPr>
          </w:p>
        </w:tc>
        <w:tc>
          <w:tcPr>
            <w:tcW w:w="7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March</w:t>
            </w:r>
          </w:p>
        </w:tc>
        <w:tc>
          <w:tcPr>
            <w:tcW w:w="212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31, 2021</w:t>
            </w:r>
          </w:p>
        </w:tc>
        <w:tc>
          <w:tcPr>
            <w:tcW w:w="120" w:type="dxa"/>
            <w:vAlign w:val="bottom"/>
          </w:tcPr>
          <w:p>
            <w:pPr>
              <w:spacing w:after="0"/>
              <w:rPr>
                <w:sz w:val="19"/>
                <w:szCs w:val="19"/>
                <w:color w:val="auto"/>
              </w:rPr>
            </w:pPr>
          </w:p>
        </w:tc>
        <w:tc>
          <w:tcPr>
            <w:tcW w:w="8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31, 2020</w:t>
            </w:r>
          </w:p>
        </w:tc>
        <w:tc>
          <w:tcPr>
            <w:tcW w:w="2120" w:type="dxa"/>
            <w:vAlign w:val="bottom"/>
          </w:tcPr>
          <w:p>
            <w:pPr>
              <w:spacing w:after="0"/>
              <w:rPr>
                <w:sz w:val="19"/>
                <w:szCs w:val="19"/>
                <w:color w:val="auto"/>
              </w:rPr>
            </w:pPr>
          </w:p>
        </w:tc>
      </w:tr>
      <w:tr>
        <w:trPr>
          <w:trHeight w:val="264"/>
        </w:trPr>
        <w:tc>
          <w:tcPr>
            <w:tcW w:w="2140" w:type="dxa"/>
            <w:vAlign w:val="bottom"/>
          </w:tcPr>
          <w:p>
            <w:pPr>
              <w:spacing w:after="0"/>
              <w:rPr>
                <w:sz w:val="22"/>
                <w:szCs w:val="22"/>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2"/>
                <w:szCs w:val="22"/>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858,198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715,102</w:t>
            </w: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486"/>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43"/>
        </w:trPr>
        <w:tc>
          <w:tcPr>
            <w:tcW w:w="214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 costs</w:t>
            </w:r>
          </w:p>
        </w:tc>
        <w:tc>
          <w:tcPr>
            <w:tcW w:w="1000" w:type="dxa"/>
            <w:vAlign w:val="bottom"/>
            <w:gridSpan w:val="5"/>
          </w:tcPr>
          <w:p>
            <w:pPr>
              <w:jc w:val="center"/>
              <w:ind w:left="30"/>
              <w:spacing w:after="0"/>
              <w:rPr>
                <w:sz w:val="20"/>
                <w:szCs w:val="20"/>
                <w:color w:val="auto"/>
              </w:rPr>
            </w:pPr>
            <w:r>
              <w:rPr>
                <w:rFonts w:ascii="Arial" w:cs="Arial" w:eastAsia="Arial" w:hAnsi="Arial"/>
                <w:sz w:val="18"/>
                <w:szCs w:val="18"/>
                <w:color w:val="auto"/>
                <w:w w:val="93"/>
              </w:rPr>
              <w:t>(626,244)</w:t>
            </w:r>
          </w:p>
        </w:tc>
        <w:tc>
          <w:tcPr>
            <w:tcW w:w="860" w:type="dxa"/>
            <w:vAlign w:val="bottom"/>
            <w:gridSpan w:val="5"/>
          </w:tcPr>
          <w:p>
            <w:pPr>
              <w:jc w:val="center"/>
              <w:spacing w:after="0"/>
              <w:rPr>
                <w:sz w:val="20"/>
                <w:szCs w:val="20"/>
                <w:color w:val="auto"/>
              </w:rPr>
            </w:pPr>
            <w:r>
              <w:rPr>
                <w:rFonts w:ascii="Arial" w:cs="Arial" w:eastAsia="Arial" w:hAnsi="Arial"/>
                <w:sz w:val="18"/>
                <w:szCs w:val="18"/>
                <w:color w:val="auto"/>
                <w:w w:val="90"/>
              </w:rPr>
              <w:t>(505,293)</w:t>
            </w:r>
          </w:p>
        </w:tc>
        <w:tc>
          <w:tcPr>
            <w:tcW w:w="2120" w:type="dxa"/>
            <w:vAlign w:val="bottom"/>
          </w:tcPr>
          <w:p>
            <w:pPr>
              <w:spacing w:after="0"/>
              <w:rPr>
                <w:sz w:val="21"/>
                <w:szCs w:val="21"/>
                <w:color w:val="auto"/>
              </w:rPr>
            </w:pPr>
          </w:p>
        </w:tc>
      </w:tr>
      <w:tr>
        <w:trPr>
          <w:trHeight w:val="243"/>
        </w:trPr>
        <w:tc>
          <w:tcPr>
            <w:tcW w:w="214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880" w:type="dxa"/>
            <w:vAlign w:val="bottom"/>
            <w:gridSpan w:val="4"/>
          </w:tcPr>
          <w:p>
            <w:pPr>
              <w:jc w:val="center"/>
              <w:ind w:left="150"/>
              <w:spacing w:after="0"/>
              <w:rPr>
                <w:sz w:val="20"/>
                <w:szCs w:val="20"/>
                <w:color w:val="auto"/>
              </w:rPr>
            </w:pPr>
            <w:r>
              <w:rPr>
                <w:rFonts w:ascii="Arial" w:cs="Arial" w:eastAsia="Arial" w:hAnsi="Arial"/>
                <w:sz w:val="18"/>
                <w:szCs w:val="18"/>
                <w:color w:val="auto"/>
                <w:w w:val="89"/>
              </w:rPr>
              <w:t>(86,034)</w:t>
            </w:r>
          </w:p>
        </w:tc>
        <w:tc>
          <w:tcPr>
            <w:tcW w:w="120" w:type="dxa"/>
            <w:vAlign w:val="bottom"/>
          </w:tcPr>
          <w:p>
            <w:pPr>
              <w:spacing w:after="0"/>
              <w:rPr>
                <w:sz w:val="21"/>
                <w:szCs w:val="21"/>
                <w:color w:val="auto"/>
              </w:rPr>
            </w:pPr>
          </w:p>
        </w:tc>
        <w:tc>
          <w:tcPr>
            <w:tcW w:w="76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(87,196)</w:t>
            </w: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50"/>
        </w:trPr>
        <w:tc>
          <w:tcPr>
            <w:tcW w:w="2140" w:type="dxa"/>
            <w:vAlign w:val="bottom"/>
          </w:tcPr>
          <w:p>
            <w:pPr>
              <w:spacing w:after="0"/>
              <w:rPr>
                <w:sz w:val="21"/>
                <w:szCs w:val="21"/>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89"/>
              </w:rPr>
              <w:t>(17,405)</w:t>
            </w: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(16,322)</w:t>
            </w:r>
          </w:p>
        </w:tc>
        <w:tc>
          <w:tcPr>
            <w:tcW w:w="100" w:type="dxa"/>
            <w:vAlign w:val="bottom"/>
            <w:tcBorders>
              <w:bottom w:val="single" w:sz="8" w:color="auto"/>
            </w:tcBorders>
          </w:tcPr>
          <w:p>
            <w:pPr>
              <w:spacing w:after="0"/>
              <w:rPr>
                <w:sz w:val="21"/>
                <w:szCs w:val="21"/>
                <w:color w:val="auto"/>
              </w:rPr>
            </w:pPr>
          </w:p>
        </w:tc>
        <w:tc>
          <w:tcPr>
            <w:tcW w:w="2120" w:type="dxa"/>
            <w:vAlign w:val="bottom"/>
          </w:tcPr>
          <w:p>
            <w:pPr>
              <w:spacing w:after="0"/>
              <w:rPr>
                <w:sz w:val="21"/>
                <w:szCs w:val="21"/>
                <w:color w:val="auto"/>
              </w:rPr>
            </w:pPr>
          </w:p>
        </w:tc>
      </w:tr>
      <w:tr>
        <w:trPr>
          <w:trHeight w:val="479"/>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000" w:type="dxa"/>
            <w:vAlign w:val="bottom"/>
            <w:tcBorders>
              <w:bottom w:val="single" w:sz="8" w:color="auto"/>
            </w:tcBorders>
            <w:gridSpan w:val="5"/>
          </w:tcPr>
          <w:p>
            <w:pPr>
              <w:jc w:val="center"/>
              <w:ind w:left="30"/>
              <w:spacing w:after="0"/>
              <w:rPr>
                <w:sz w:val="20"/>
                <w:szCs w:val="20"/>
                <w:color w:val="auto"/>
              </w:rPr>
            </w:pPr>
            <w:r>
              <w:rPr>
                <w:rFonts w:ascii="Arial" w:cs="Arial" w:eastAsia="Arial" w:hAnsi="Arial"/>
                <w:sz w:val="18"/>
                <w:szCs w:val="18"/>
                <w:color w:val="auto"/>
                <w:w w:val="93"/>
              </w:rPr>
              <w:t>(729,683)</w:t>
            </w:r>
          </w:p>
        </w:tc>
        <w:tc>
          <w:tcPr>
            <w:tcW w:w="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(608,811)</w:t>
            </w: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gridSpan w:val="4"/>
          </w:tcPr>
          <w:p>
            <w:pPr>
              <w:jc w:val="center"/>
              <w:ind w:left="150"/>
              <w:spacing w:after="0"/>
              <w:rPr>
                <w:sz w:val="20"/>
                <w:szCs w:val="20"/>
                <w:color w:val="auto"/>
              </w:rPr>
            </w:pPr>
            <w:r>
              <w:rPr>
                <w:rFonts w:ascii="Arial" w:cs="Arial" w:eastAsia="Arial" w:hAnsi="Arial"/>
                <w:sz w:val="18"/>
                <w:szCs w:val="18"/>
                <w:color w:val="auto"/>
                <w:w w:val="92"/>
              </w:rPr>
              <w:t>128,515</w:t>
            </w:r>
          </w:p>
        </w:tc>
        <w:tc>
          <w:tcPr>
            <w:tcW w:w="120" w:type="dxa"/>
            <w:vAlign w:val="bottom"/>
          </w:tcPr>
          <w:p>
            <w:pPr>
              <w:spacing w:after="0"/>
              <w:rPr>
                <w:sz w:val="24"/>
                <w:szCs w:val="24"/>
                <w:color w:val="auto"/>
              </w:rPr>
            </w:pPr>
          </w:p>
        </w:tc>
        <w:tc>
          <w:tcPr>
            <w:tcW w:w="76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106,291</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8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91"/>
              </w:rPr>
              <w:t>(2,117)</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4"/>
              </w:rPr>
              <w:t>(1,372)</w:t>
            </w: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880" w:type="dxa"/>
            <w:vAlign w:val="bottom"/>
            <w:gridSpan w:val="4"/>
          </w:tcPr>
          <w:p>
            <w:pPr>
              <w:jc w:val="center"/>
              <w:ind w:left="150"/>
              <w:spacing w:after="0"/>
              <w:rPr>
                <w:sz w:val="20"/>
                <w:szCs w:val="20"/>
                <w:color w:val="auto"/>
              </w:rPr>
            </w:pPr>
            <w:r>
              <w:rPr>
                <w:rFonts w:ascii="Arial" w:cs="Arial" w:eastAsia="Arial" w:hAnsi="Arial"/>
                <w:sz w:val="18"/>
                <w:szCs w:val="18"/>
                <w:color w:val="auto"/>
                <w:w w:val="92"/>
              </w:rPr>
              <w:t>126,398</w:t>
            </w:r>
          </w:p>
        </w:tc>
        <w:tc>
          <w:tcPr>
            <w:tcW w:w="120" w:type="dxa"/>
            <w:vAlign w:val="bottom"/>
          </w:tcPr>
          <w:p>
            <w:pPr>
              <w:spacing w:after="0"/>
              <w:rPr>
                <w:sz w:val="24"/>
                <w:szCs w:val="24"/>
                <w:color w:val="auto"/>
              </w:rPr>
            </w:pPr>
          </w:p>
        </w:tc>
        <w:tc>
          <w:tcPr>
            <w:tcW w:w="76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104,919</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89"/>
              </w:rPr>
              <w:t>(16,432)</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(12,590)</w:t>
            </w: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w w:val="90"/>
              </w:rPr>
              <w:t>Income before share of earnings from equity method investments</w:t>
            </w:r>
          </w:p>
        </w:tc>
        <w:tc>
          <w:tcPr>
            <w:tcW w:w="880" w:type="dxa"/>
            <w:vAlign w:val="bottom"/>
            <w:gridSpan w:val="4"/>
          </w:tcPr>
          <w:p>
            <w:pPr>
              <w:jc w:val="center"/>
              <w:ind w:left="150"/>
              <w:spacing w:after="0"/>
              <w:rPr>
                <w:sz w:val="20"/>
                <w:szCs w:val="20"/>
                <w:color w:val="auto"/>
              </w:rPr>
            </w:pPr>
            <w:r>
              <w:rPr>
                <w:rFonts w:ascii="Arial" w:cs="Arial" w:eastAsia="Arial" w:hAnsi="Arial"/>
                <w:sz w:val="18"/>
                <w:szCs w:val="18"/>
                <w:color w:val="auto"/>
                <w:w w:val="92"/>
              </w:rPr>
              <w:t>109,966</w:t>
            </w:r>
          </w:p>
        </w:tc>
        <w:tc>
          <w:tcPr>
            <w:tcW w:w="120" w:type="dxa"/>
            <w:vAlign w:val="bottom"/>
          </w:tcPr>
          <w:p>
            <w:pPr>
              <w:spacing w:after="0"/>
              <w:rPr>
                <w:sz w:val="24"/>
                <w:szCs w:val="24"/>
                <w:color w:val="auto"/>
              </w:rPr>
            </w:pPr>
          </w:p>
        </w:tc>
        <w:tc>
          <w:tcPr>
            <w:tcW w:w="7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92,329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method investments</w:t>
            </w:r>
          </w:p>
        </w:tc>
        <w:tc>
          <w:tcPr>
            <w:tcW w:w="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5"/>
              </w:rPr>
              <w:t>(274)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gridSpan w:val="4"/>
          </w:tcPr>
          <w:p>
            <w:pPr>
              <w:jc w:val="center"/>
              <w:ind w:left="150"/>
              <w:spacing w:after="0"/>
              <w:rPr>
                <w:sz w:val="20"/>
                <w:szCs w:val="20"/>
                <w:color w:val="auto"/>
              </w:rPr>
            </w:pPr>
            <w:r>
              <w:rPr>
                <w:rFonts w:ascii="Arial" w:cs="Arial" w:eastAsia="Arial" w:hAnsi="Arial"/>
                <w:sz w:val="18"/>
                <w:szCs w:val="18"/>
                <w:color w:val="auto"/>
                <w:w w:val="92"/>
              </w:rPr>
              <w:t>109,692</w:t>
            </w:r>
          </w:p>
        </w:tc>
        <w:tc>
          <w:tcPr>
            <w:tcW w:w="120" w:type="dxa"/>
            <w:vAlign w:val="bottom"/>
          </w:tcPr>
          <w:p>
            <w:pPr>
              <w:spacing w:after="0"/>
              <w:rPr>
                <w:sz w:val="24"/>
                <w:szCs w:val="24"/>
                <w:color w:val="auto"/>
              </w:rPr>
            </w:pPr>
          </w:p>
        </w:tc>
        <w:tc>
          <w:tcPr>
            <w:tcW w:w="7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92,329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80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0"/>
              </w:rPr>
              <w:t>(633)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80"/>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8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92"/>
              </w:rPr>
              <w:t>109,692</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0"/>
              </w:rPr>
              <w:t>91,696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7"/>
              </w:rPr>
              <w:t>Adjusted net income per Ordinary Share attributable to the Group:</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basic (non-GAAP)</w:t>
            </w:r>
          </w:p>
        </w:tc>
        <w:tc>
          <w:tcPr>
            <w:tcW w:w="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88"/>
              </w:rPr>
              <w:t>$2.08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3"/>
              </w:rPr>
              <w:t>$1.72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80"/>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diluted (non-GAAP)</w:t>
            </w:r>
          </w:p>
        </w:tc>
        <w:tc>
          <w:tcPr>
            <w:tcW w:w="8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88"/>
              </w:rPr>
              <w:t>$2.06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3"/>
              </w:rPr>
              <w:t>$1.70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473"/>
        </w:trPr>
        <w:tc>
          <w:tcPr>
            <w:tcW w:w="2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93"/>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860" w:type="dxa"/>
            <w:vAlign w:val="bottom"/>
            <w:tcBorders>
              <w:bottom w:val="single" w:sz="8" w:color="auto"/>
            </w:tcBorders>
            <w:gridSpan w:val="10"/>
          </w:tcPr>
          <w:p>
            <w:pPr>
              <w:jc w:val="center"/>
              <w:ind w:left="70"/>
              <w:spacing w:after="0"/>
              <w:rPr>
                <w:sz w:val="20"/>
                <w:szCs w:val="20"/>
                <w:color w:val="auto"/>
              </w:rPr>
            </w:pPr>
            <w:r>
              <w:rPr>
                <w:rFonts w:ascii="Arial" w:cs="Arial" w:eastAsia="Arial" w:hAnsi="Arial"/>
                <w:sz w:val="18"/>
                <w:szCs w:val="18"/>
                <w:color w:val="auto"/>
                <w:w w:val="91"/>
              </w:rPr>
              <w:t>52,811,460 53,348,355</w:t>
            </w:r>
          </w:p>
        </w:tc>
        <w:tc>
          <w:tcPr>
            <w:tcW w:w="2120" w:type="dxa"/>
            <w:vAlign w:val="bottom"/>
          </w:tcPr>
          <w:p>
            <w:pPr>
              <w:spacing w:after="0"/>
              <w:rPr>
                <w:sz w:val="24"/>
                <w:szCs w:val="24"/>
                <w:color w:val="auto"/>
              </w:rPr>
            </w:pPr>
          </w:p>
        </w:tc>
      </w:tr>
      <w:tr>
        <w:trPr>
          <w:trHeight w:val="479"/>
        </w:trPr>
        <w:tc>
          <w:tcPr>
            <w:tcW w:w="214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860" w:type="dxa"/>
            <w:vAlign w:val="bottom"/>
            <w:tcBorders>
              <w:bottom w:val="single" w:sz="8" w:color="auto"/>
            </w:tcBorders>
            <w:gridSpan w:val="10"/>
          </w:tcPr>
          <w:p>
            <w:pPr>
              <w:jc w:val="center"/>
              <w:ind w:left="70"/>
              <w:spacing w:after="0"/>
              <w:rPr>
                <w:sz w:val="20"/>
                <w:szCs w:val="20"/>
                <w:color w:val="auto"/>
              </w:rPr>
            </w:pPr>
            <w:r>
              <w:rPr>
                <w:rFonts w:ascii="Arial" w:cs="Arial" w:eastAsia="Arial" w:hAnsi="Arial"/>
                <w:sz w:val="18"/>
                <w:szCs w:val="18"/>
                <w:color w:val="auto"/>
                <w:w w:val="91"/>
              </w:rPr>
              <w:t>53,310,453 53,905,022</w:t>
            </w:r>
          </w:p>
        </w:tc>
        <w:tc>
          <w:tcPr>
            <w:tcW w:w="2120" w:type="dxa"/>
            <w:vAlign w:val="bottom"/>
          </w:tcPr>
          <w:p>
            <w:pPr>
              <w:spacing w:after="0"/>
              <w:rPr>
                <w:sz w:val="24"/>
                <w:szCs w:val="24"/>
                <w:color w:val="auto"/>
              </w:rPr>
            </w:pPr>
          </w:p>
        </w:tc>
      </w:tr>
      <w:tr>
        <w:trPr>
          <w:trHeight w:val="668"/>
        </w:trPr>
        <w:tc>
          <w:tcPr>
            <w:tcW w:w="21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8" w:name="page9"/>
    <w:bookmarkEnd w:id="8"/>
    <w:p>
      <w:pPr>
        <w:jc w:val="center"/>
        <w:ind w:right="-106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Summary Consolidated Balance Sheet Data</w:t>
      </w:r>
    </w:p>
    <w:p>
      <w:pPr>
        <w:jc w:val="center"/>
        <w:ind w:right="-1060"/>
        <w:spacing w:after="0" w:line="230" w:lineRule="auto"/>
        <w:rPr>
          <w:sz w:val="20"/>
          <w:szCs w:val="20"/>
          <w:color w:val="auto"/>
        </w:rPr>
      </w:pPr>
      <w:r>
        <w:rPr>
          <w:rFonts w:ascii="Arial" w:cs="Arial" w:eastAsia="Arial" w:hAnsi="Arial"/>
          <w:sz w:val="22"/>
          <w:szCs w:val="22"/>
          <w:b w:val="1"/>
          <w:bCs w:val="1"/>
          <w:color w:val="auto"/>
        </w:rPr>
        <w:t>March 31, 2021 and December 31, 2020</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(Dollars, in thousands)</w:t>
      </w:r>
    </w:p>
    <w:p>
      <w:pPr>
        <w:spacing w:after="0" w:line="205" w:lineRule="exact"/>
        <w:rPr>
          <w:sz w:val="20"/>
          <w:szCs w:val="20"/>
          <w:color w:val="auto"/>
        </w:rPr>
      </w:pPr>
    </w:p>
    <w:tbl>
      <w:tblPr>
        <w:tblLayout w:type="fixed"/>
        <w:tblInd w:w="334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43"/>
        </w:trPr>
        <w:tc>
          <w:tcPr>
            <w:tcW w:w="24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43"/>
        </w:trPr>
        <w:tc>
          <w:tcPr>
            <w:tcW w:w="24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(Audited)</w:t>
            </w:r>
          </w:p>
        </w:tc>
      </w:tr>
      <w:tr>
        <w:trPr>
          <w:trHeight w:val="729"/>
        </w:trPr>
        <w:tc>
          <w:tcPr>
            <w:tcW w:w="2420" w:type="dxa"/>
            <w:vAlign w:val="bottom"/>
          </w:tcPr>
          <w:p>
            <w:pPr>
              <w:spacing w:after="0"/>
              <w:rPr>
                <w:sz w:val="20"/>
                <w:szCs w:val="20"/>
                <w:color w:val="auto"/>
              </w:rPr>
            </w:pPr>
            <w:r>
              <w:rPr>
                <w:rFonts w:ascii="Arial" w:cs="Arial" w:eastAsia="Arial" w:hAnsi="Arial"/>
                <w:sz w:val="18"/>
                <w:szCs w:val="18"/>
                <w:color w:val="auto"/>
                <w:w w:val="90"/>
              </w:rPr>
              <w:t>Cash and short-term investments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944,184</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842,034</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Debt</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(348,592)</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(348,477)</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Net cash/(debt)</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595,592</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493,557</w:t>
            </w:r>
          </w:p>
        </w:tc>
      </w:tr>
      <w:tr>
        <w:trPr>
          <w:trHeight w:val="486"/>
        </w:trPr>
        <w:tc>
          <w:tcPr>
            <w:tcW w:w="242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465,585</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483,072</w:t>
            </w:r>
          </w:p>
        </w:tc>
      </w:tr>
      <w:tr>
        <w:trPr>
          <w:trHeight w:val="486"/>
        </w:trPr>
        <w:tc>
          <w:tcPr>
            <w:tcW w:w="2420" w:type="dxa"/>
            <w:vAlign w:val="bottom"/>
          </w:tcPr>
          <w:p>
            <w:pPr>
              <w:spacing w:after="0"/>
              <w:rPr>
                <w:sz w:val="20"/>
                <w:szCs w:val="20"/>
                <w:color w:val="auto"/>
              </w:rPr>
            </w:pPr>
            <w:r>
              <w:rPr>
                <w:rFonts w:ascii="Arial" w:cs="Arial" w:eastAsia="Arial" w:hAnsi="Arial"/>
                <w:sz w:val="18"/>
                <w:szCs w:val="18"/>
                <w:color w:val="auto"/>
              </w:rPr>
              <w:t>Working Capital</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1,088,833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979,035</w:t>
            </w:r>
          </w:p>
        </w:tc>
      </w:tr>
      <w:tr>
        <w:trPr>
          <w:trHeight w:val="486"/>
        </w:trPr>
        <w:tc>
          <w:tcPr>
            <w:tcW w:w="242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3,466,576</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3,435,606</w:t>
            </w:r>
          </w:p>
        </w:tc>
      </w:tr>
      <w:tr>
        <w:trPr>
          <w:trHeight w:val="486"/>
        </w:trPr>
        <w:tc>
          <w:tcPr>
            <w:tcW w:w="2420" w:type="dxa"/>
            <w:vAlign w:val="bottom"/>
          </w:tcPr>
          <w:p>
            <w:pPr>
              <w:spacing w:after="0"/>
              <w:rPr>
                <w:sz w:val="20"/>
                <w:szCs w:val="20"/>
                <w:color w:val="auto"/>
              </w:rPr>
            </w:pPr>
            <w:r>
              <w:rPr>
                <w:rFonts w:ascii="Arial" w:cs="Arial" w:eastAsia="Arial" w:hAnsi="Arial"/>
                <w:sz w:val="18"/>
                <w:szCs w:val="18"/>
                <w:color w:val="auto"/>
              </w:rPr>
              <w:t>Shareholder's Equity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1,934,171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1,850,236</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Contact: Investor Relations +1 888 381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1" w:lineRule="exact"/>
        <w:rPr>
          <w:sz w:val="20"/>
          <w:szCs w:val="20"/>
          <w:color w:val="auto"/>
        </w:rPr>
      </w:pPr>
    </w:p>
    <w:p>
      <w:pPr>
        <w:ind w:right="2319"/>
        <w:spacing w:after="0" w:line="236" w:lineRule="auto"/>
        <w:rPr>
          <w:sz w:val="20"/>
          <w:szCs w:val="20"/>
          <w:color w:val="auto"/>
        </w:rPr>
      </w:pPr>
      <w:r>
        <w:rPr>
          <w:rFonts w:ascii="Arial" w:cs="Arial" w:eastAsia="Arial" w:hAnsi="Arial"/>
          <w:sz w:val="22"/>
          <w:szCs w:val="22"/>
          <w:color w:val="auto"/>
        </w:rPr>
        <w:t>Jonathan Curtain Vice President Corporate Finance &amp; Investor Relations +353 1 291 2000 http://www.iconplc.com</w:t>
      </w:r>
    </w:p>
    <w:sectPr>
      <w:pgSz w:w="11900" w:h="16838" w:orient="portrait"/>
      <w:cols w:equalWidth="0" w:num="1">
        <w:col w:w="10139"/>
      </w:cols>
      <w:pgMar w:left="32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2021-04-28T15:32:09Z</dcterms:created>
  <dcterms:modified xsi:type="dcterms:W3CDTF">2021-04-28T15:32:09Z</dcterms:modified>
</cp:coreProperties>
</file>