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9"/>
        <w:spacing w:after="0"/>
        <w:rPr>
          <w:sz w:val="20"/>
          <w:szCs w:val="20"/>
          <w:color w:val="auto"/>
        </w:rPr>
      </w:pPr>
      <w:r>
        <w:rPr>
          <w:rFonts w:ascii="Arial" w:cs="Arial" w:eastAsia="Arial" w:hAnsi="Arial"/>
          <w:sz w:val="29"/>
          <w:szCs w:val="29"/>
          <w:b w:val="1"/>
          <w:bCs w:val="1"/>
          <w:color w:val="auto"/>
        </w:rPr>
        <w:t>FORM 6-K</w:t>
      </w:r>
    </w:p>
    <w:p>
      <w:pPr>
        <w:spacing w:after="0" w:line="36" w:lineRule="exact"/>
        <w:rPr>
          <w:sz w:val="24"/>
          <w:szCs w:val="24"/>
          <w:color w:val="auto"/>
        </w:rPr>
      </w:pPr>
    </w:p>
    <w:p>
      <w:pPr>
        <w:jc w:val="center"/>
        <w:ind w:right="-799"/>
        <w:spacing w:after="0"/>
        <w:rPr>
          <w:sz w:val="20"/>
          <w:szCs w:val="20"/>
          <w:color w:val="auto"/>
        </w:rPr>
      </w:pPr>
      <w:r>
        <w:rPr>
          <w:rFonts w:ascii="Arial" w:cs="Arial" w:eastAsia="Arial" w:hAnsi="Arial"/>
          <w:sz w:val="29"/>
          <w:szCs w:val="29"/>
          <w:b w:val="1"/>
          <w:bCs w:val="1"/>
          <w:color w:val="auto"/>
        </w:rPr>
        <w:t>SECURITIES AND EXCHANGE COMMISSION</w:t>
      </w:r>
    </w:p>
    <w:p>
      <w:pPr>
        <w:spacing w:after="0" w:line="23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Washington, D.C. 20549</w:t>
      </w:r>
    </w:p>
    <w:p>
      <w:pPr>
        <w:spacing w:after="0" w:line="248"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Pursuant to Rule 13a-16 under</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0" w:lineRule="exact"/>
        <w:rPr>
          <w:sz w:val="24"/>
          <w:szCs w:val="24"/>
          <w:color w:val="auto"/>
        </w:rPr>
      </w:pPr>
    </w:p>
    <w:p>
      <w:pPr>
        <w:spacing w:after="0" w:line="274" w:lineRule="exact"/>
        <w:rPr>
          <w:sz w:val="24"/>
          <w:szCs w:val="24"/>
          <w:color w:val="auto"/>
        </w:rPr>
      </w:pPr>
    </w:p>
    <w:p>
      <w:pPr>
        <w:jc w:val="center"/>
        <w:ind w:right="-799"/>
        <w:spacing w:after="0"/>
        <w:rPr>
          <w:sz w:val="20"/>
          <w:szCs w:val="20"/>
          <w:color w:val="auto"/>
        </w:rPr>
      </w:pPr>
      <w:r>
        <w:rPr>
          <w:rFonts w:ascii="Arial" w:cs="Arial" w:eastAsia="Arial" w:hAnsi="Arial"/>
          <w:sz w:val="22"/>
          <w:szCs w:val="22"/>
          <w:color w:val="auto"/>
        </w:rPr>
        <w:t>For the month ended May, 2014</w:t>
      </w:r>
    </w:p>
    <w:p>
      <w:pPr>
        <w:spacing w:after="0" w:line="223" w:lineRule="exact"/>
        <w:rPr>
          <w:sz w:val="24"/>
          <w:szCs w:val="24"/>
          <w:color w:val="auto"/>
        </w:rPr>
      </w:pPr>
    </w:p>
    <w:p>
      <w:pPr>
        <w:ind w:left="5120"/>
        <w:spacing w:after="0"/>
        <w:rPr>
          <w:sz w:val="20"/>
          <w:szCs w:val="20"/>
          <w:color w:val="auto"/>
        </w:rPr>
      </w:pPr>
      <w:r>
        <w:rPr>
          <w:rFonts w:ascii="Arial" w:cs="Arial" w:eastAsia="Arial" w:hAnsi="Arial"/>
          <w:sz w:val="29"/>
          <w:szCs w:val="29"/>
          <w:b w:val="1"/>
          <w:bCs w:val="1"/>
          <w:color w:val="auto"/>
        </w:rPr>
        <w:t>ICON plc</w:t>
      </w:r>
    </w:p>
    <w:p>
      <w:pPr>
        <w:spacing w:after="0" w:line="38" w:lineRule="exact"/>
        <w:rPr>
          <w:sz w:val="24"/>
          <w:szCs w:val="24"/>
          <w:color w:val="auto"/>
        </w:rPr>
      </w:pPr>
    </w:p>
    <w:p>
      <w:pPr>
        <w:ind w:left="5020"/>
        <w:spacing w:after="0"/>
        <w:rPr>
          <w:sz w:val="20"/>
          <w:szCs w:val="20"/>
          <w:color w:val="auto"/>
        </w:rPr>
      </w:pPr>
      <w:r>
        <w:rPr>
          <w:rFonts w:ascii="Arial" w:cs="Arial" w:eastAsia="Arial" w:hAnsi="Arial"/>
          <w:sz w:val="18"/>
          <w:szCs w:val="18"/>
          <w:color w:val="auto"/>
        </w:rPr>
        <w:t>(Registrant's name)</w:t>
      </w:r>
    </w:p>
    <w:p>
      <w:pPr>
        <w:spacing w:after="0" w:line="200" w:lineRule="exact"/>
        <w:rPr>
          <w:sz w:val="24"/>
          <w:szCs w:val="24"/>
          <w:color w:val="auto"/>
        </w:rPr>
      </w:pPr>
    </w:p>
    <w:p>
      <w:pPr>
        <w:spacing w:after="0" w:line="27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0-29714</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(Commission file number)</w:t>
      </w:r>
    </w:p>
    <w:p>
      <w:pPr>
        <w:spacing w:after="0" w:line="200" w:lineRule="exact"/>
        <w:rPr>
          <w:sz w:val="24"/>
          <w:szCs w:val="24"/>
          <w:color w:val="auto"/>
        </w:rPr>
      </w:pPr>
    </w:p>
    <w:p>
      <w:pPr>
        <w:spacing w:after="0" w:line="281"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81"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Brendan Brennan, CFO</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Brendan.Brennan@iconplc.com</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011-353-1-291-2000</w:t>
      </w:r>
    </w:p>
    <w:p>
      <w:pPr>
        <w:spacing w:after="0" w:line="9" w:lineRule="exact"/>
        <w:rPr>
          <w:sz w:val="24"/>
          <w:szCs w:val="24"/>
          <w:color w:val="auto"/>
        </w:rPr>
      </w:pPr>
    </w:p>
    <w:p>
      <w:pPr>
        <w:jc w:val="center"/>
        <w:ind w:right="-839"/>
        <w:spacing w:after="0"/>
        <w:rPr>
          <w:sz w:val="20"/>
          <w:szCs w:val="20"/>
          <w:color w:val="auto"/>
        </w:rPr>
      </w:pPr>
      <w:r>
        <w:rPr>
          <w:rFonts w:ascii="Arial" w:cs="Arial" w:eastAsia="Arial" w:hAnsi="Arial"/>
          <w:sz w:val="18"/>
          <w:szCs w:val="18"/>
          <w:color w:val="auto"/>
        </w:rPr>
        <w:t>(Name, telephone number, email and/or facsimile number and address of Company contact person)</w:t>
      </w: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3" w:lineRule="exact"/>
        <w:rPr>
          <w:sz w:val="24"/>
          <w:szCs w:val="24"/>
          <w:color w:val="auto"/>
        </w:rPr>
      </w:pPr>
    </w:p>
    <w:p>
      <w:pPr>
        <w:ind w:left="4580"/>
        <w:spacing w:after="0"/>
        <w:tabs>
          <w:tab w:leader="none" w:pos="6840" w:val="left"/>
        </w:tabs>
        <w:rPr>
          <w:sz w:val="20"/>
          <w:szCs w:val="20"/>
          <w:color w:val="auto"/>
        </w:rPr>
      </w:pPr>
      <w:r>
        <w:rPr>
          <w:rFonts w:ascii="Arial" w:cs="Arial" w:eastAsia="Arial" w:hAnsi="Arial"/>
          <w:sz w:val="18"/>
          <w:szCs w:val="18"/>
          <w:color w:val="auto"/>
        </w:rPr>
        <w:t>Yes___</w:t>
      </w:r>
      <w:r>
        <w:rPr>
          <w:rFonts w:ascii="Arial" w:cs="Arial" w:eastAsia="Arial" w:hAnsi="Arial"/>
          <w:sz w:val="18"/>
          <w:szCs w:val="18"/>
          <w:b w:val="1"/>
          <w:bCs w:val="1"/>
          <w:color w:val="auto"/>
        </w:rPr>
        <w:t>X</w:t>
      </w:r>
      <w:r>
        <w:rPr>
          <w:rFonts w:ascii="Arial" w:cs="Arial" w:eastAsia="Arial" w:hAnsi="Arial"/>
          <w:sz w:val="18"/>
          <w:szCs w:val="18"/>
          <w:color w:val="auto"/>
        </w:rPr>
        <w:t>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_</w:t>
      </w:r>
      <w:r>
        <w:rPr>
          <w:rFonts w:ascii="Arial" w:cs="Arial" w:eastAsia="Arial" w:hAnsi="Arial"/>
          <w:sz w:val="16"/>
          <w:szCs w:val="16"/>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23" w:lineRule="exact"/>
        <w:rPr>
          <w:sz w:val="24"/>
          <w:szCs w:val="24"/>
          <w:color w:val="auto"/>
        </w:rPr>
      </w:pPr>
    </w:p>
    <w:p>
      <w:pPr>
        <w:ind w:left="4580"/>
        <w:spacing w:after="0"/>
        <w:tabs>
          <w:tab w:leader="none" w:pos="684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23" w:lineRule="exact"/>
        <w:rPr>
          <w:sz w:val="24"/>
          <w:szCs w:val="24"/>
          <w:color w:val="auto"/>
        </w:rPr>
      </w:pPr>
    </w:p>
    <w:p>
      <w:pPr>
        <w:ind w:left="4580"/>
        <w:spacing w:after="0"/>
        <w:tabs>
          <w:tab w:leader="none" w:pos="684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11"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Rule12g3-2(b) under the Securities Exchange Act of 1934.</w:t>
      </w:r>
    </w:p>
    <w:p>
      <w:pPr>
        <w:spacing w:after="0" w:line="1" w:lineRule="exact"/>
        <w:rPr>
          <w:sz w:val="24"/>
          <w:szCs w:val="24"/>
          <w:color w:val="auto"/>
        </w:rPr>
      </w:pPr>
    </w:p>
    <w:p>
      <w:pPr>
        <w:ind w:left="4580"/>
        <w:spacing w:after="0"/>
        <w:tabs>
          <w:tab w:leader="none" w:pos="684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12g3-2(b):82 </w:t>
      </w: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426720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215" w:right="10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ICON plc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Rider A</w:t>
      </w:r>
    </w:p>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report on Form 6-K is hereby incorporated by reference in the registration statement on Form F-3 (Registration No. 333-133371) of ICON plc and in the prospectus contained therein, and this report on Form 6-K shall be deemed a part of such registration statement from the date on which this report is filed, to the extent not superseded by documents or reports subsequently filed or furnished by ICON plc under the Securities Act of 1933 or the Securities Exchange Act of 1934.</w:t>
      </w: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86" w:right="2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As used herein, “ICON”, the “Company” and “we” refer to ICON plc and its consolidated subsidiaries, unless the context requires otherwise.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ICON public limited company (“ICON”) is a contract research organization (“CRO”), providing outsourced development services on a global basis to the pharmaceutical, biotechnology and medical device industries. We specialize in the strategic development, management and analysis of programs that support all stages of the clinical development process - from compound selection to Phase I-IV clinical studies. Our vision is to be the Global CRO partner of choice for the Biopharma industry by delivering best in class information, solutions and performance in clinical and outcomes research.</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 service” solution. At March 31, 2014 we had approximately 10,300 employees, in 76 locations in 37 countries. During the three months ended March 31, 2014 we derived approximately 40.5%, 49.1% and 10.4% of our net revenue in the United States, Europe and Rest of World, respectively.</w:t>
      </w:r>
    </w:p>
    <w:p>
      <w:pPr>
        <w:spacing w:after="0" w:line="19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began operations in 1990 and have expanded our business predominately through organic growth, together with a number of strategic acquisitions to enhance our capabilities and expertise in certain areas of the clinical development process. We are incorporated in Ireland and our principal executive office is located at: South County Business Park, Leopardstown, Dublin 18, Republic of Ireland. The contact telephone number of this office is 353 (1) 291 2000.</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March 29, 2014 the Company agreed to acquire, subject to certain routine closing conditions relating to the ordinary course of approval of the transaction in specific jurisdictions that did not occur prior to the filing of this report, 100% of the common stock of Aptiv Solutions (“Aptiv”), a global biopharmaceutical and medical device development services company and leader in adaptive clinical trials. Aptiv offers full-service clinical trial consulting and regulatory support for drugs, medical devices and diagnostics with a specific focus on strategy to increase product development efficiency and productivity. It is a market leader in the integrated design and execution of adaptive clinical trials for exploratory and late phase development as well as being an industry leader in medical device and diagnostic development in key medical technology segments. In addition to boosting the Company’s service capabilities, Aptiv Solutions will also strengthen the Company’s international presence through the addition of over 850 highly qualified and experienced professionals in the United States, Europe, Israel and Japan.</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AT MARCH 31, 2014 AND DECEMBER 31, 2013</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w w:val="97"/>
              </w:rPr>
              <w:t>(Unaudited)</w:t>
            </w:r>
          </w:p>
        </w:tc>
        <w:tc>
          <w:tcPr>
            <w:tcW w:w="3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(Audited)</w:t>
            </w: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March 31,</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December 31,</w:t>
            </w: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2014</w:t>
            </w:r>
          </w:p>
        </w:tc>
        <w:tc>
          <w:tcPr>
            <w:tcW w:w="3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2013</w:t>
            </w:r>
          </w:p>
        </w:tc>
      </w:tr>
      <w:tr>
        <w:trPr>
          <w:trHeight w:val="220"/>
        </w:trPr>
        <w:tc>
          <w:tcPr>
            <w:tcW w:w="734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1620" w:type="dxa"/>
            <w:vAlign w:val="bottom"/>
          </w:tcPr>
          <w:p>
            <w:pPr>
              <w:spacing w:after="0"/>
              <w:rPr>
                <w:sz w:val="19"/>
                <w:szCs w:val="19"/>
                <w:color w:val="auto"/>
              </w:rPr>
            </w:pPr>
          </w:p>
        </w:tc>
        <w:tc>
          <w:tcPr>
            <w:tcW w:w="246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(in thousands)</w:t>
            </w:r>
          </w:p>
        </w:tc>
      </w:tr>
      <w:tr>
        <w:trPr>
          <w:trHeight w:val="230"/>
        </w:trPr>
        <w:tc>
          <w:tcPr>
            <w:tcW w:w="73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6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and cash equivalents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236,656</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182,519</w:t>
            </w:r>
          </w:p>
        </w:tc>
      </w:tr>
      <w:tr>
        <w:trPr>
          <w:trHeight w:val="216"/>
        </w:trPr>
        <w:tc>
          <w:tcPr>
            <w:tcW w:w="20" w:type="dxa"/>
            <w:vAlign w:val="bottom"/>
          </w:tcPr>
          <w:p>
            <w:pPr>
              <w:spacing w:after="0"/>
              <w:rPr>
                <w:sz w:val="18"/>
                <w:szCs w:val="18"/>
                <w:color w:val="auto"/>
              </w:rPr>
            </w:pPr>
          </w:p>
        </w:tc>
        <w:tc>
          <w:tcPr>
            <w:tcW w:w="7320" w:type="dxa"/>
            <w:vAlign w:val="bottom"/>
          </w:tcPr>
          <w:p>
            <w:pPr>
              <w:ind w:left="320"/>
              <w:spacing w:after="0"/>
              <w:rPr>
                <w:sz w:val="20"/>
                <w:szCs w:val="20"/>
                <w:color w:val="auto"/>
              </w:rPr>
            </w:pPr>
            <w:r>
              <w:rPr>
                <w:rFonts w:ascii="Arial" w:cs="Arial" w:eastAsia="Arial" w:hAnsi="Arial"/>
                <w:sz w:val="18"/>
                <w:szCs w:val="18"/>
                <w:color w:val="auto"/>
              </w:rPr>
              <w:t>Short term investments - available for sale</w:t>
            </w:r>
          </w:p>
        </w:tc>
        <w:tc>
          <w:tcPr>
            <w:tcW w:w="16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126,865</w:t>
            </w:r>
          </w:p>
        </w:tc>
        <w:tc>
          <w:tcPr>
            <w:tcW w:w="3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138,317</w:t>
            </w: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receivable, net</w:t>
            </w:r>
          </w:p>
        </w:tc>
        <w:tc>
          <w:tcPr>
            <w:tcW w:w="16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337,600</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342,581</w:t>
            </w:r>
          </w:p>
        </w:tc>
      </w:tr>
      <w:tr>
        <w:trPr>
          <w:trHeight w:val="216"/>
        </w:trPr>
        <w:tc>
          <w:tcPr>
            <w:tcW w:w="20" w:type="dxa"/>
            <w:vAlign w:val="bottom"/>
          </w:tcPr>
          <w:p>
            <w:pPr>
              <w:spacing w:after="0"/>
              <w:rPr>
                <w:sz w:val="18"/>
                <w:szCs w:val="18"/>
                <w:color w:val="auto"/>
              </w:rPr>
            </w:pPr>
          </w:p>
        </w:tc>
        <w:tc>
          <w:tcPr>
            <w:tcW w:w="7320" w:type="dxa"/>
            <w:vAlign w:val="bottom"/>
          </w:tcPr>
          <w:p>
            <w:pPr>
              <w:ind w:left="320"/>
              <w:spacing w:after="0"/>
              <w:rPr>
                <w:sz w:val="20"/>
                <w:szCs w:val="20"/>
                <w:color w:val="auto"/>
              </w:rPr>
            </w:pPr>
            <w:r>
              <w:rPr>
                <w:rFonts w:ascii="Arial" w:cs="Arial" w:eastAsia="Arial" w:hAnsi="Arial"/>
                <w:sz w:val="18"/>
                <w:szCs w:val="18"/>
                <w:color w:val="auto"/>
              </w:rPr>
              <w:t>Unbilled revenue</w:t>
            </w:r>
          </w:p>
        </w:tc>
        <w:tc>
          <w:tcPr>
            <w:tcW w:w="16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116,653</w:t>
            </w:r>
          </w:p>
        </w:tc>
        <w:tc>
          <w:tcPr>
            <w:tcW w:w="3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113,239</w:t>
            </w: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receivables</w:t>
            </w:r>
          </w:p>
        </w:tc>
        <w:tc>
          <w:tcPr>
            <w:tcW w:w="16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13,175</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14,415</w:t>
            </w:r>
          </w:p>
        </w:tc>
      </w:tr>
      <w:tr>
        <w:trPr>
          <w:trHeight w:val="216"/>
        </w:trPr>
        <w:tc>
          <w:tcPr>
            <w:tcW w:w="20" w:type="dxa"/>
            <w:vAlign w:val="bottom"/>
          </w:tcPr>
          <w:p>
            <w:pPr>
              <w:spacing w:after="0"/>
              <w:rPr>
                <w:sz w:val="18"/>
                <w:szCs w:val="18"/>
                <w:color w:val="auto"/>
              </w:rPr>
            </w:pPr>
          </w:p>
        </w:tc>
        <w:tc>
          <w:tcPr>
            <w:tcW w:w="7320" w:type="dxa"/>
            <w:vAlign w:val="bottom"/>
          </w:tcPr>
          <w:p>
            <w:pPr>
              <w:ind w:left="320"/>
              <w:spacing w:after="0"/>
              <w:rPr>
                <w:sz w:val="20"/>
                <w:szCs w:val="20"/>
                <w:color w:val="auto"/>
              </w:rPr>
            </w:pPr>
            <w:r>
              <w:rPr>
                <w:rFonts w:ascii="Arial" w:cs="Arial" w:eastAsia="Arial" w:hAnsi="Arial"/>
                <w:sz w:val="18"/>
                <w:szCs w:val="18"/>
                <w:color w:val="auto"/>
              </w:rPr>
              <w:t>Deferred tax asset</w:t>
            </w:r>
          </w:p>
        </w:tc>
        <w:tc>
          <w:tcPr>
            <w:tcW w:w="16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32,016</w:t>
            </w:r>
          </w:p>
        </w:tc>
        <w:tc>
          <w:tcPr>
            <w:tcW w:w="3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28,644</w:t>
            </w: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Prepayments and other current assets</w:t>
            </w:r>
          </w:p>
        </w:tc>
        <w:tc>
          <w:tcPr>
            <w:tcW w:w="16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29,888</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24,664</w:t>
            </w:r>
          </w:p>
        </w:tc>
      </w:tr>
      <w:tr>
        <w:trPr>
          <w:trHeight w:val="223"/>
        </w:trPr>
        <w:tc>
          <w:tcPr>
            <w:tcW w:w="20" w:type="dxa"/>
            <w:vAlign w:val="bottom"/>
          </w:tcPr>
          <w:p>
            <w:pPr>
              <w:spacing w:after="0"/>
              <w:rPr>
                <w:sz w:val="19"/>
                <w:szCs w:val="19"/>
                <w:color w:val="auto"/>
              </w:rPr>
            </w:pPr>
          </w:p>
        </w:tc>
        <w:tc>
          <w:tcPr>
            <w:tcW w:w="732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Income taxes receivable</w:t>
            </w:r>
          </w:p>
        </w:tc>
        <w:tc>
          <w:tcPr>
            <w:tcW w:w="16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12,849</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9,049</w:t>
            </w: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16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905,702</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853,428</w:t>
            </w: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Other Assets:</w:t>
            </w:r>
          </w:p>
        </w:tc>
        <w:tc>
          <w:tcPr>
            <w:tcW w:w="1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Property, plant and equipment, net</w:t>
            </w:r>
          </w:p>
        </w:tc>
        <w:tc>
          <w:tcPr>
            <w:tcW w:w="16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157,187</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160,830</w:t>
            </w:r>
          </w:p>
        </w:tc>
      </w:tr>
      <w:tr>
        <w:trPr>
          <w:trHeight w:val="216"/>
        </w:trPr>
        <w:tc>
          <w:tcPr>
            <w:tcW w:w="20" w:type="dxa"/>
            <w:vAlign w:val="bottom"/>
          </w:tcPr>
          <w:p>
            <w:pPr>
              <w:spacing w:after="0"/>
              <w:rPr>
                <w:sz w:val="18"/>
                <w:szCs w:val="18"/>
                <w:color w:val="auto"/>
              </w:rPr>
            </w:pPr>
          </w:p>
        </w:tc>
        <w:tc>
          <w:tcPr>
            <w:tcW w:w="7320" w:type="dxa"/>
            <w:vAlign w:val="bottom"/>
          </w:tcPr>
          <w:p>
            <w:pPr>
              <w:ind w:left="320"/>
              <w:spacing w:after="0"/>
              <w:rPr>
                <w:sz w:val="20"/>
                <w:szCs w:val="20"/>
                <w:color w:val="auto"/>
              </w:rPr>
            </w:pPr>
            <w:r>
              <w:rPr>
                <w:rFonts w:ascii="Arial" w:cs="Arial" w:eastAsia="Arial" w:hAnsi="Arial"/>
                <w:sz w:val="18"/>
                <w:szCs w:val="18"/>
                <w:color w:val="auto"/>
              </w:rPr>
              <w:t>Goodwill</w:t>
            </w:r>
          </w:p>
        </w:tc>
        <w:tc>
          <w:tcPr>
            <w:tcW w:w="16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357,356</w:t>
            </w:r>
          </w:p>
        </w:tc>
        <w:tc>
          <w:tcPr>
            <w:tcW w:w="3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357,523</w:t>
            </w: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Non-current other assets</w:t>
            </w:r>
          </w:p>
        </w:tc>
        <w:tc>
          <w:tcPr>
            <w:tcW w:w="16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7,373</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6,732</w:t>
            </w:r>
          </w:p>
        </w:tc>
      </w:tr>
      <w:tr>
        <w:trPr>
          <w:trHeight w:val="216"/>
        </w:trPr>
        <w:tc>
          <w:tcPr>
            <w:tcW w:w="20" w:type="dxa"/>
            <w:vAlign w:val="bottom"/>
          </w:tcPr>
          <w:p>
            <w:pPr>
              <w:spacing w:after="0"/>
              <w:rPr>
                <w:sz w:val="18"/>
                <w:szCs w:val="18"/>
                <w:color w:val="auto"/>
              </w:rPr>
            </w:pPr>
          </w:p>
        </w:tc>
        <w:tc>
          <w:tcPr>
            <w:tcW w:w="7320" w:type="dxa"/>
            <w:vAlign w:val="bottom"/>
          </w:tcPr>
          <w:p>
            <w:pPr>
              <w:ind w:left="320"/>
              <w:spacing w:after="0"/>
              <w:rPr>
                <w:sz w:val="20"/>
                <w:szCs w:val="20"/>
                <w:color w:val="auto"/>
              </w:rPr>
            </w:pPr>
            <w:r>
              <w:rPr>
                <w:rFonts w:ascii="Arial" w:cs="Arial" w:eastAsia="Arial" w:hAnsi="Arial"/>
                <w:sz w:val="18"/>
                <w:szCs w:val="18"/>
                <w:color w:val="auto"/>
              </w:rPr>
              <w:t>Non-current income taxes receivable</w:t>
            </w:r>
          </w:p>
        </w:tc>
        <w:tc>
          <w:tcPr>
            <w:tcW w:w="16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20,013</w:t>
            </w:r>
          </w:p>
        </w:tc>
        <w:tc>
          <w:tcPr>
            <w:tcW w:w="3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25,172</w:t>
            </w: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Non-current deferred tax asset</w:t>
            </w:r>
          </w:p>
        </w:tc>
        <w:tc>
          <w:tcPr>
            <w:tcW w:w="16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7,459</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7,421</w:t>
            </w:r>
          </w:p>
        </w:tc>
      </w:tr>
      <w:tr>
        <w:trPr>
          <w:trHeight w:val="223"/>
        </w:trPr>
        <w:tc>
          <w:tcPr>
            <w:tcW w:w="20" w:type="dxa"/>
            <w:vAlign w:val="bottom"/>
          </w:tcPr>
          <w:p>
            <w:pPr>
              <w:spacing w:after="0"/>
              <w:rPr>
                <w:sz w:val="19"/>
                <w:szCs w:val="19"/>
                <w:color w:val="auto"/>
              </w:rPr>
            </w:pPr>
          </w:p>
        </w:tc>
        <w:tc>
          <w:tcPr>
            <w:tcW w:w="732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Intangible assets</w:t>
            </w:r>
          </w:p>
        </w:tc>
        <w:tc>
          <w:tcPr>
            <w:tcW w:w="16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29,451</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31,354</w:t>
            </w:r>
          </w:p>
        </w:tc>
      </w:tr>
      <w:tr>
        <w:trPr>
          <w:trHeight w:val="257"/>
        </w:trPr>
        <w:tc>
          <w:tcPr>
            <w:tcW w:w="20" w:type="dxa"/>
            <w:vAlign w:val="bottom"/>
          </w:tcPr>
          <w:p>
            <w:pPr>
              <w:spacing w:after="0"/>
              <w:rPr>
                <w:sz w:val="22"/>
                <w:szCs w:val="22"/>
                <w:color w:val="auto"/>
              </w:rPr>
            </w:pPr>
          </w:p>
        </w:tc>
        <w:tc>
          <w:tcPr>
            <w:tcW w:w="7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1,484,541</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1,442,460</w:t>
            </w:r>
          </w:p>
        </w:tc>
      </w:tr>
      <w:tr>
        <w:trPr>
          <w:trHeight w:val="210"/>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320"/>
              <w:spacing w:after="0"/>
              <w:rPr>
                <w:sz w:val="20"/>
                <w:szCs w:val="20"/>
                <w:color w:val="auto"/>
              </w:rPr>
            </w:pPr>
            <w:r>
              <w:rPr>
                <w:rFonts w:ascii="Arial" w:cs="Arial" w:eastAsia="Arial" w:hAnsi="Arial"/>
                <w:sz w:val="18"/>
                <w:szCs w:val="18"/>
                <w:color w:val="auto"/>
              </w:rPr>
              <w:t>Accounts payable</w:t>
            </w: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6,664</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4,594</w:t>
            </w: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Payments on account</w:t>
            </w:r>
          </w:p>
        </w:tc>
        <w:tc>
          <w:tcPr>
            <w:tcW w:w="16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269,771</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297,347</w:t>
            </w:r>
          </w:p>
        </w:tc>
      </w:tr>
      <w:tr>
        <w:trPr>
          <w:trHeight w:val="216"/>
        </w:trPr>
        <w:tc>
          <w:tcPr>
            <w:tcW w:w="20" w:type="dxa"/>
            <w:vAlign w:val="bottom"/>
          </w:tcPr>
          <w:p>
            <w:pPr>
              <w:spacing w:after="0"/>
              <w:rPr>
                <w:sz w:val="18"/>
                <w:szCs w:val="18"/>
                <w:color w:val="auto"/>
              </w:rPr>
            </w:pPr>
          </w:p>
        </w:tc>
        <w:tc>
          <w:tcPr>
            <w:tcW w:w="7320" w:type="dxa"/>
            <w:vAlign w:val="bottom"/>
          </w:tcPr>
          <w:p>
            <w:pPr>
              <w:ind w:left="320"/>
              <w:spacing w:after="0"/>
              <w:rPr>
                <w:sz w:val="20"/>
                <w:szCs w:val="20"/>
                <w:color w:val="auto"/>
              </w:rPr>
            </w:pPr>
            <w:r>
              <w:rPr>
                <w:rFonts w:ascii="Arial" w:cs="Arial" w:eastAsia="Arial" w:hAnsi="Arial"/>
                <w:sz w:val="18"/>
                <w:szCs w:val="18"/>
                <w:color w:val="auto"/>
              </w:rPr>
              <w:t>Other liabilities</w:t>
            </w:r>
          </w:p>
        </w:tc>
        <w:tc>
          <w:tcPr>
            <w:tcW w:w="16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219,798</w:t>
            </w:r>
          </w:p>
        </w:tc>
        <w:tc>
          <w:tcPr>
            <w:tcW w:w="3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194,812</w:t>
            </w:r>
          </w:p>
        </w:tc>
      </w:tr>
      <w:tr>
        <w:trPr>
          <w:trHeight w:val="223"/>
        </w:trPr>
        <w:tc>
          <w:tcPr>
            <w:tcW w:w="20" w:type="dxa"/>
            <w:vAlign w:val="bottom"/>
          </w:tcPr>
          <w:p>
            <w:pPr>
              <w:spacing w:after="0"/>
              <w:rPr>
                <w:sz w:val="19"/>
                <w:szCs w:val="19"/>
                <w:color w:val="auto"/>
              </w:rPr>
            </w:pPr>
          </w:p>
        </w:tc>
        <w:tc>
          <w:tcPr>
            <w:tcW w:w="73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Income taxes payable</w:t>
            </w:r>
          </w:p>
        </w:tc>
        <w:tc>
          <w:tcPr>
            <w:tcW w:w="16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3,546</w:t>
            </w: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4,416</w:t>
            </w:r>
          </w:p>
        </w:tc>
      </w:tr>
      <w:tr>
        <w:trPr>
          <w:trHeight w:val="216"/>
        </w:trPr>
        <w:tc>
          <w:tcPr>
            <w:tcW w:w="20" w:type="dxa"/>
            <w:vAlign w:val="bottom"/>
          </w:tcPr>
          <w:p>
            <w:pPr>
              <w:spacing w:after="0"/>
              <w:rPr>
                <w:sz w:val="18"/>
                <w:szCs w:val="18"/>
                <w:color w:val="auto"/>
              </w:rPr>
            </w:pPr>
          </w:p>
        </w:tc>
        <w:tc>
          <w:tcPr>
            <w:tcW w:w="732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16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499,779</w:t>
            </w:r>
          </w:p>
        </w:tc>
        <w:tc>
          <w:tcPr>
            <w:tcW w:w="3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501,169</w:t>
            </w: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6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320"/>
              <w:spacing w:after="0"/>
              <w:rPr>
                <w:sz w:val="20"/>
                <w:szCs w:val="20"/>
                <w:color w:val="auto"/>
              </w:rPr>
            </w:pPr>
            <w:r>
              <w:rPr>
                <w:rFonts w:ascii="Arial" w:cs="Arial" w:eastAsia="Arial" w:hAnsi="Arial"/>
                <w:sz w:val="18"/>
                <w:szCs w:val="18"/>
                <w:color w:val="auto"/>
              </w:rPr>
              <w:t>Non-current other liabilities</w:t>
            </w:r>
          </w:p>
        </w:tc>
        <w:tc>
          <w:tcPr>
            <w:tcW w:w="16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6,978</w:t>
            </w:r>
          </w:p>
        </w:tc>
        <w:tc>
          <w:tcPr>
            <w:tcW w:w="3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11,198</w:t>
            </w: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Non-current government grants</w:t>
            </w:r>
          </w:p>
        </w:tc>
        <w:tc>
          <w:tcPr>
            <w:tcW w:w="16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1,327</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1,359</w:t>
            </w:r>
          </w:p>
        </w:tc>
      </w:tr>
      <w:tr>
        <w:trPr>
          <w:trHeight w:val="216"/>
        </w:trPr>
        <w:tc>
          <w:tcPr>
            <w:tcW w:w="20" w:type="dxa"/>
            <w:vAlign w:val="bottom"/>
          </w:tcPr>
          <w:p>
            <w:pPr>
              <w:spacing w:after="0"/>
              <w:rPr>
                <w:sz w:val="18"/>
                <w:szCs w:val="18"/>
                <w:color w:val="auto"/>
              </w:rPr>
            </w:pPr>
          </w:p>
        </w:tc>
        <w:tc>
          <w:tcPr>
            <w:tcW w:w="7320" w:type="dxa"/>
            <w:vAlign w:val="bottom"/>
          </w:tcPr>
          <w:p>
            <w:pPr>
              <w:ind w:left="320"/>
              <w:spacing w:after="0"/>
              <w:rPr>
                <w:sz w:val="20"/>
                <w:szCs w:val="20"/>
                <w:color w:val="auto"/>
              </w:rPr>
            </w:pPr>
            <w:r>
              <w:rPr>
                <w:rFonts w:ascii="Arial" w:cs="Arial" w:eastAsia="Arial" w:hAnsi="Arial"/>
                <w:sz w:val="18"/>
                <w:szCs w:val="18"/>
                <w:color w:val="auto"/>
              </w:rPr>
              <w:t>Non-current income taxes payable</w:t>
            </w:r>
          </w:p>
        </w:tc>
        <w:tc>
          <w:tcPr>
            <w:tcW w:w="16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4,274</w:t>
            </w:r>
          </w:p>
        </w:tc>
        <w:tc>
          <w:tcPr>
            <w:tcW w:w="3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5,288</w:t>
            </w: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Non-current deferred tax liability</w:t>
            </w:r>
          </w:p>
        </w:tc>
        <w:tc>
          <w:tcPr>
            <w:tcW w:w="16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11,398</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12,867</w:t>
            </w:r>
          </w:p>
        </w:tc>
      </w:tr>
      <w:tr>
        <w:trPr>
          <w:trHeight w:val="216"/>
        </w:trPr>
        <w:tc>
          <w:tcPr>
            <w:tcW w:w="20" w:type="dxa"/>
            <w:vAlign w:val="bottom"/>
          </w:tcPr>
          <w:p>
            <w:pPr>
              <w:spacing w:after="0"/>
              <w:rPr>
                <w:sz w:val="18"/>
                <w:szCs w:val="18"/>
                <w:color w:val="auto"/>
              </w:rPr>
            </w:pPr>
          </w:p>
        </w:tc>
        <w:tc>
          <w:tcPr>
            <w:tcW w:w="732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1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Ordinary shares, par value 6 euro cents per share; 100,000,000 shares authorized,</w:t>
            </w:r>
          </w:p>
        </w:tc>
        <w:tc>
          <w:tcPr>
            <w:tcW w:w="16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62,020,483 shares issued and outstanding at March 31, 2014 and</w:t>
            </w:r>
          </w:p>
        </w:tc>
        <w:tc>
          <w:tcPr>
            <w:tcW w:w="1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61,587,257 shares issued and outstanding at December 31, 2013</w:t>
            </w:r>
          </w:p>
        </w:tc>
        <w:tc>
          <w:tcPr>
            <w:tcW w:w="16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5,201</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5,168</w:t>
            </w: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6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294,296</w:t>
            </w:r>
          </w:p>
        </w:tc>
        <w:tc>
          <w:tcPr>
            <w:tcW w:w="3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279,572</w:t>
            </w: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Capital redemption reserve</w:t>
            </w:r>
          </w:p>
        </w:tc>
        <w:tc>
          <w:tcPr>
            <w:tcW w:w="16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16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1,214</w:t>
            </w:r>
          </w:p>
        </w:tc>
        <w:tc>
          <w:tcPr>
            <w:tcW w:w="3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1,960</w:t>
            </w:r>
          </w:p>
        </w:tc>
      </w:tr>
      <w:tr>
        <w:trPr>
          <w:trHeight w:val="223"/>
        </w:trPr>
        <w:tc>
          <w:tcPr>
            <w:tcW w:w="20" w:type="dxa"/>
            <w:vAlign w:val="bottom"/>
          </w:tcPr>
          <w:p>
            <w:pPr>
              <w:spacing w:after="0"/>
              <w:rPr>
                <w:sz w:val="19"/>
                <w:szCs w:val="19"/>
                <w:color w:val="auto"/>
              </w:rPr>
            </w:pPr>
          </w:p>
        </w:tc>
        <w:tc>
          <w:tcPr>
            <w:tcW w:w="7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6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659,974</w:t>
            </w: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623,779</w:t>
            </w:r>
          </w:p>
        </w:tc>
      </w:tr>
      <w:tr>
        <w:trPr>
          <w:trHeight w:val="223"/>
        </w:trPr>
        <w:tc>
          <w:tcPr>
            <w:tcW w:w="20" w:type="dxa"/>
            <w:vAlign w:val="bottom"/>
          </w:tcPr>
          <w:p>
            <w:pPr>
              <w:spacing w:after="0"/>
              <w:rPr>
                <w:sz w:val="19"/>
                <w:szCs w:val="19"/>
                <w:color w:val="auto"/>
              </w:rPr>
            </w:pPr>
          </w:p>
        </w:tc>
        <w:tc>
          <w:tcPr>
            <w:tcW w:w="7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Shareholders' Equity</w:t>
            </w:r>
          </w:p>
        </w:tc>
        <w:tc>
          <w:tcPr>
            <w:tcW w:w="16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960,785</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910,579</w:t>
            </w:r>
          </w:p>
        </w:tc>
      </w:tr>
      <w:tr>
        <w:trPr>
          <w:trHeight w:val="257"/>
        </w:trPr>
        <w:tc>
          <w:tcPr>
            <w:tcW w:w="20" w:type="dxa"/>
            <w:vAlign w:val="bottom"/>
          </w:tcPr>
          <w:p>
            <w:pPr>
              <w:spacing w:after="0"/>
              <w:rPr>
                <w:sz w:val="22"/>
                <w:szCs w:val="22"/>
                <w:color w:val="auto"/>
              </w:rPr>
            </w:pPr>
          </w:p>
        </w:tc>
        <w:tc>
          <w:tcPr>
            <w:tcW w:w="7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1,484,541</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1,442,460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2014 AND MARCH 31, 2013</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9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180" w:type="dxa"/>
            <w:vAlign w:val="bottom"/>
            <w:gridSpan w:val="9"/>
          </w:tcPr>
          <w:p>
            <w:pPr>
              <w:jc w:val="right"/>
              <w:ind w:right="540"/>
              <w:spacing w:after="0"/>
              <w:rPr>
                <w:sz w:val="20"/>
                <w:szCs w:val="20"/>
                <w:color w:val="auto"/>
              </w:rPr>
            </w:pPr>
            <w:r>
              <w:rPr>
                <w:rFonts w:ascii="Arial" w:cs="Arial" w:eastAsia="Arial" w:hAnsi="Arial"/>
                <w:sz w:val="18"/>
                <w:szCs w:val="18"/>
                <w:b w:val="1"/>
                <w:bCs w:val="1"/>
                <w:color w:val="auto"/>
                <w:w w:val="90"/>
              </w:rPr>
              <w:t>Three Months Ended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9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4"/>
          </w:tcPr>
          <w:p>
            <w:pPr>
              <w:jc w:val="right"/>
              <w:ind w:right="140"/>
              <w:spacing w:after="0" w:line="196" w:lineRule="exact"/>
              <w:rPr>
                <w:sz w:val="20"/>
                <w:szCs w:val="20"/>
                <w:color w:val="auto"/>
              </w:rPr>
            </w:pPr>
            <w:r>
              <w:rPr>
                <w:rFonts w:ascii="Arial" w:cs="Arial" w:eastAsia="Arial" w:hAnsi="Arial"/>
                <w:sz w:val="18"/>
                <w:szCs w:val="18"/>
                <w:b w:val="1"/>
                <w:bCs w:val="1"/>
                <w:color w:val="auto"/>
                <w:w w:val="91"/>
              </w:rPr>
              <w:t>March 31,</w:t>
            </w:r>
          </w:p>
        </w:tc>
        <w:tc>
          <w:tcPr>
            <w:tcW w:w="280" w:type="dxa"/>
            <w:vAlign w:val="bottom"/>
          </w:tcPr>
          <w:p>
            <w:pPr>
              <w:spacing w:after="0"/>
              <w:rPr>
                <w:sz w:val="17"/>
                <w:szCs w:val="17"/>
                <w:color w:val="auto"/>
              </w:rPr>
            </w:pPr>
          </w:p>
        </w:tc>
        <w:tc>
          <w:tcPr>
            <w:tcW w:w="104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Borders>
              <w:top w:val="single" w:sz="8" w:color="auto"/>
            </w:tcBorders>
            <w:gridSpan w:val="2"/>
          </w:tcPr>
          <w:p>
            <w:pPr>
              <w:spacing w:after="0"/>
              <w:rPr>
                <w:sz w:val="17"/>
                <w:szCs w:val="17"/>
                <w:color w:val="auto"/>
              </w:rPr>
            </w:pPr>
          </w:p>
        </w:tc>
        <w:tc>
          <w:tcPr>
            <w:tcW w:w="3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84"/>
              </w:rPr>
              <w:t>2014</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20" w:type="dxa"/>
            <w:vAlign w:val="bottom"/>
            <w:gridSpan w:val="11"/>
          </w:tcPr>
          <w:p>
            <w:pPr>
              <w:jc w:val="right"/>
              <w:ind w:right="280"/>
              <w:spacing w:after="0"/>
              <w:rPr>
                <w:sz w:val="20"/>
                <w:szCs w:val="20"/>
                <w:color w:val="auto"/>
              </w:rPr>
            </w:pPr>
            <w:r>
              <w:rPr>
                <w:rFonts w:ascii="Arial" w:cs="Arial" w:eastAsia="Arial" w:hAnsi="Arial"/>
                <w:sz w:val="18"/>
                <w:szCs w:val="18"/>
                <w:b w:val="1"/>
                <w:bCs w:val="1"/>
                <w:color w:val="auto"/>
                <w:w w:val="90"/>
              </w:rPr>
              <w:t>(in thousands except share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80" w:type="dxa"/>
            <w:vAlign w:val="bottom"/>
            <w:gridSpan w:val="9"/>
          </w:tcPr>
          <w:p>
            <w:pPr>
              <w:jc w:val="right"/>
              <w:ind w:right="520"/>
              <w:spacing w:after="0"/>
              <w:rPr>
                <w:sz w:val="20"/>
                <w:szCs w:val="20"/>
                <w:color w:val="auto"/>
              </w:rPr>
            </w:pPr>
            <w:r>
              <w:rPr>
                <w:rFonts w:ascii="Arial" w:cs="Arial" w:eastAsia="Arial" w:hAnsi="Arial"/>
                <w:sz w:val="18"/>
                <w:szCs w:val="18"/>
                <w:b w:val="1"/>
                <w:bCs w:val="1"/>
                <w:color w:val="auto"/>
                <w:w w:val="98"/>
              </w:rPr>
              <w:t>and per share data)</w:t>
            </w:r>
          </w:p>
        </w:tc>
        <w:tc>
          <w:tcPr>
            <w:tcW w:w="0" w:type="dxa"/>
            <w:vAlign w:val="bottom"/>
          </w:tcPr>
          <w:p>
            <w:pPr>
              <w:spacing w:after="0"/>
              <w:rPr>
                <w:sz w:val="1"/>
                <w:szCs w:val="1"/>
                <w:color w:val="auto"/>
              </w:rPr>
            </w:pPr>
          </w:p>
        </w:tc>
      </w:tr>
      <w:tr>
        <w:trPr>
          <w:trHeight w:val="432"/>
        </w:trPr>
        <w:tc>
          <w:tcPr>
            <w:tcW w:w="796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Gross revenue</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476,544</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419,059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Reimbursable expenses</w:t>
            </w:r>
          </w:p>
        </w:tc>
        <w:tc>
          <w:tcPr>
            <w:tcW w:w="10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8"/>
                <w:szCs w:val="18"/>
                <w:color w:val="auto"/>
              </w:rPr>
              <w:t>(126,910)</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8"/>
                <w:szCs w:val="18"/>
                <w:color w:val="auto"/>
              </w:rPr>
              <w:t>(102,270)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Net revenue</w:t>
            </w:r>
          </w:p>
        </w:tc>
        <w:tc>
          <w:tcPr>
            <w:tcW w:w="1040" w:type="dxa"/>
            <w:vAlign w:val="bottom"/>
          </w:tcPr>
          <w:p>
            <w:pPr>
              <w:spacing w:after="0"/>
              <w:rPr>
                <w:sz w:val="18"/>
                <w:szCs w:val="18"/>
                <w:color w:val="auto"/>
              </w:rPr>
            </w:pP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349,634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5"/>
          </w:tcPr>
          <w:p>
            <w:pPr>
              <w:jc w:val="right"/>
              <w:ind w:right="100"/>
              <w:spacing w:after="0"/>
              <w:rPr>
                <w:sz w:val="20"/>
                <w:szCs w:val="20"/>
                <w:color w:val="auto"/>
              </w:rPr>
            </w:pPr>
            <w:r>
              <w:rPr>
                <w:rFonts w:ascii="Arial" w:cs="Arial" w:eastAsia="Arial" w:hAnsi="Arial"/>
                <w:sz w:val="18"/>
                <w:szCs w:val="18"/>
                <w:color w:val="auto"/>
              </w:rPr>
              <w:t>316,789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Costs and expenses:</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Direct costs</w:t>
            </w:r>
          </w:p>
        </w:tc>
        <w:tc>
          <w:tcPr>
            <w:tcW w:w="104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216,140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202,361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Selling, general and administrative expense</w:t>
            </w:r>
          </w:p>
        </w:tc>
        <w:tc>
          <w:tcPr>
            <w:tcW w:w="1040" w:type="dxa"/>
            <w:vAlign w:val="bottom"/>
          </w:tcPr>
          <w:p>
            <w:pPr>
              <w:spacing w:after="0"/>
              <w:rPr>
                <w:sz w:val="18"/>
                <w:szCs w:val="18"/>
                <w:color w:val="auto"/>
              </w:rPr>
            </w:pPr>
          </w:p>
        </w:tc>
        <w:tc>
          <w:tcPr>
            <w:tcW w:w="1100" w:type="dxa"/>
            <w:vAlign w:val="bottom"/>
            <w:gridSpan w:val="5"/>
          </w:tcPr>
          <w:p>
            <w:pPr>
              <w:jc w:val="right"/>
              <w:ind w:right="140"/>
              <w:spacing w:after="0"/>
              <w:rPr>
                <w:sz w:val="20"/>
                <w:szCs w:val="20"/>
                <w:color w:val="auto"/>
              </w:rPr>
            </w:pPr>
            <w:r>
              <w:rPr>
                <w:rFonts w:ascii="Arial" w:cs="Arial" w:eastAsia="Arial" w:hAnsi="Arial"/>
                <w:sz w:val="18"/>
                <w:szCs w:val="18"/>
                <w:color w:val="auto"/>
              </w:rPr>
              <w:t>78,948</w:t>
            </w:r>
          </w:p>
        </w:tc>
        <w:tc>
          <w:tcPr>
            <w:tcW w:w="280" w:type="dxa"/>
            <w:vAlign w:val="bottom"/>
          </w:tcPr>
          <w:p>
            <w:pPr>
              <w:spacing w:after="0"/>
              <w:rPr>
                <w:sz w:val="18"/>
                <w:szCs w:val="18"/>
                <w:color w:val="auto"/>
              </w:rPr>
            </w:pPr>
          </w:p>
        </w:tc>
        <w:tc>
          <w:tcPr>
            <w:tcW w:w="1040" w:type="dxa"/>
            <w:vAlign w:val="bottom"/>
            <w:gridSpan w:val="5"/>
          </w:tcPr>
          <w:p>
            <w:pPr>
              <w:jc w:val="right"/>
              <w:ind w:right="100"/>
              <w:spacing w:after="0"/>
              <w:rPr>
                <w:sz w:val="20"/>
                <w:szCs w:val="20"/>
                <w:color w:val="auto"/>
              </w:rPr>
            </w:pPr>
            <w:r>
              <w:rPr>
                <w:rFonts w:ascii="Arial" w:cs="Arial" w:eastAsia="Arial" w:hAnsi="Arial"/>
                <w:sz w:val="18"/>
                <w:szCs w:val="18"/>
                <w:color w:val="auto"/>
              </w:rPr>
              <w:t>75,564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04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11,548</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11,456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Restructuring and other items</w:t>
            </w:r>
          </w:p>
        </w:tc>
        <w:tc>
          <w:tcPr>
            <w:tcW w:w="10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4,412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costs and expenses</w:t>
            </w:r>
          </w:p>
        </w:tc>
        <w:tc>
          <w:tcPr>
            <w:tcW w:w="10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306,636</w:t>
            </w:r>
          </w:p>
        </w:tc>
        <w:tc>
          <w:tcPr>
            <w:tcW w:w="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293,793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040" w:type="dxa"/>
            <w:vAlign w:val="bottom"/>
          </w:tcPr>
          <w:p>
            <w:pPr>
              <w:spacing w:after="0"/>
              <w:rPr>
                <w:sz w:val="18"/>
                <w:szCs w:val="18"/>
                <w:color w:val="auto"/>
              </w:rPr>
            </w:pPr>
          </w:p>
        </w:tc>
        <w:tc>
          <w:tcPr>
            <w:tcW w:w="1100" w:type="dxa"/>
            <w:vAlign w:val="bottom"/>
            <w:gridSpan w:val="5"/>
          </w:tcPr>
          <w:p>
            <w:pPr>
              <w:jc w:val="right"/>
              <w:ind w:right="140"/>
              <w:spacing w:after="0"/>
              <w:rPr>
                <w:sz w:val="20"/>
                <w:szCs w:val="20"/>
                <w:color w:val="auto"/>
              </w:rPr>
            </w:pPr>
            <w:r>
              <w:rPr>
                <w:rFonts w:ascii="Arial" w:cs="Arial" w:eastAsia="Arial" w:hAnsi="Arial"/>
                <w:sz w:val="18"/>
                <w:szCs w:val="18"/>
                <w:color w:val="auto"/>
              </w:rPr>
              <w:t>42,998</w:t>
            </w:r>
          </w:p>
        </w:tc>
        <w:tc>
          <w:tcPr>
            <w:tcW w:w="280" w:type="dxa"/>
            <w:vAlign w:val="bottom"/>
          </w:tcPr>
          <w:p>
            <w:pPr>
              <w:spacing w:after="0"/>
              <w:rPr>
                <w:sz w:val="18"/>
                <w:szCs w:val="18"/>
                <w:color w:val="auto"/>
              </w:rPr>
            </w:pPr>
          </w:p>
        </w:tc>
        <w:tc>
          <w:tcPr>
            <w:tcW w:w="1040" w:type="dxa"/>
            <w:vAlign w:val="bottom"/>
            <w:gridSpan w:val="5"/>
          </w:tcPr>
          <w:p>
            <w:pPr>
              <w:jc w:val="right"/>
              <w:ind w:right="100"/>
              <w:spacing w:after="0"/>
              <w:rPr>
                <w:sz w:val="20"/>
                <w:szCs w:val="20"/>
                <w:color w:val="auto"/>
              </w:rPr>
            </w:pPr>
            <w:r>
              <w:rPr>
                <w:rFonts w:ascii="Arial" w:cs="Arial" w:eastAsia="Arial" w:hAnsi="Arial"/>
                <w:sz w:val="18"/>
                <w:szCs w:val="18"/>
                <w:color w:val="auto"/>
              </w:rPr>
              <w:t>22,996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40" w:type="dxa"/>
            <w:vAlign w:val="bottom"/>
            <w:shd w:val="clear" w:color="auto" w:fill="CCEEFF"/>
          </w:tcPr>
          <w:p>
            <w:pPr>
              <w:spacing w:after="0"/>
              <w:rPr>
                <w:sz w:val="18"/>
                <w:szCs w:val="18"/>
                <w:color w:val="auto"/>
              </w:rPr>
            </w:pPr>
          </w:p>
        </w:tc>
        <w:tc>
          <w:tcPr>
            <w:tcW w:w="110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348</w:t>
            </w:r>
          </w:p>
        </w:tc>
        <w:tc>
          <w:tcPr>
            <w:tcW w:w="28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expense</w:t>
            </w:r>
          </w:p>
        </w:tc>
        <w:tc>
          <w:tcPr>
            <w:tcW w:w="10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8"/>
                <w:szCs w:val="18"/>
                <w:color w:val="auto"/>
              </w:rPr>
              <w:t>(257)</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1040" w:type="dxa"/>
            <w:vAlign w:val="bottom"/>
          </w:tcPr>
          <w:p>
            <w:pPr>
              <w:spacing w:after="0"/>
              <w:rPr>
                <w:sz w:val="18"/>
                <w:szCs w:val="18"/>
                <w:color w:val="auto"/>
              </w:rPr>
            </w:pPr>
          </w:p>
        </w:tc>
        <w:tc>
          <w:tcPr>
            <w:tcW w:w="1100" w:type="dxa"/>
            <w:vAlign w:val="bottom"/>
            <w:gridSpan w:val="5"/>
          </w:tcPr>
          <w:p>
            <w:pPr>
              <w:jc w:val="right"/>
              <w:ind w:right="140"/>
              <w:spacing w:after="0"/>
              <w:rPr>
                <w:sz w:val="20"/>
                <w:szCs w:val="20"/>
                <w:color w:val="auto"/>
              </w:rPr>
            </w:pPr>
            <w:r>
              <w:rPr>
                <w:rFonts w:ascii="Arial" w:cs="Arial" w:eastAsia="Arial" w:hAnsi="Arial"/>
                <w:sz w:val="18"/>
                <w:szCs w:val="18"/>
                <w:color w:val="auto"/>
              </w:rPr>
              <w:t>43,089</w:t>
            </w:r>
          </w:p>
        </w:tc>
        <w:tc>
          <w:tcPr>
            <w:tcW w:w="280" w:type="dxa"/>
            <w:vAlign w:val="bottom"/>
          </w:tcPr>
          <w:p>
            <w:pPr>
              <w:spacing w:after="0"/>
              <w:rPr>
                <w:sz w:val="18"/>
                <w:szCs w:val="18"/>
                <w:color w:val="auto"/>
              </w:rPr>
            </w:pPr>
          </w:p>
        </w:tc>
        <w:tc>
          <w:tcPr>
            <w:tcW w:w="1040" w:type="dxa"/>
            <w:vAlign w:val="bottom"/>
            <w:gridSpan w:val="5"/>
          </w:tcPr>
          <w:p>
            <w:pPr>
              <w:jc w:val="right"/>
              <w:ind w:right="100"/>
              <w:spacing w:after="0"/>
              <w:rPr>
                <w:sz w:val="20"/>
                <w:szCs w:val="20"/>
                <w:color w:val="auto"/>
              </w:rPr>
            </w:pPr>
            <w:r>
              <w:rPr>
                <w:rFonts w:ascii="Arial" w:cs="Arial" w:eastAsia="Arial" w:hAnsi="Arial"/>
                <w:sz w:val="18"/>
                <w:szCs w:val="18"/>
                <w:color w:val="auto"/>
              </w:rPr>
              <w:t>22,811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(6,894)</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(3,766)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36,195</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19,045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Ordinary Share:</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9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0.59</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9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0.57</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Ordinary Shares outstanding:</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9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0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61,776,643</w:t>
            </w:r>
          </w:p>
        </w:tc>
        <w:tc>
          <w:tcPr>
            <w:tcW w:w="28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60,404,242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9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0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63,225,797</w:t>
            </w:r>
          </w:p>
        </w:tc>
        <w:tc>
          <w:tcPr>
            <w:tcW w:w="28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61,323,594</w:t>
            </w:r>
          </w:p>
        </w:tc>
        <w:tc>
          <w:tcPr>
            <w:tcW w:w="0" w:type="dxa"/>
            <w:vAlign w:val="bottom"/>
          </w:tcPr>
          <w:p>
            <w:pPr>
              <w:spacing w:after="0"/>
              <w:rPr>
                <w:sz w:val="1"/>
                <w:szCs w:val="1"/>
                <w:color w:val="auto"/>
              </w:rPr>
            </w:pPr>
          </w:p>
        </w:tc>
      </w:tr>
      <w:tr>
        <w:trPr>
          <w:trHeight w:val="453"/>
        </w:trPr>
        <w:tc>
          <w:tcPr>
            <w:tcW w:w="7960" w:type="dxa"/>
            <w:vAlign w:val="bottom"/>
            <w:gridSpan w:val="2"/>
          </w:tcPr>
          <w:p>
            <w:pPr>
              <w:spacing w:after="0"/>
              <w:rPr>
                <w:sz w:val="20"/>
                <w:szCs w:val="20"/>
                <w:color w:val="auto"/>
              </w:rPr>
            </w:pPr>
            <w:r>
              <w:rPr>
                <w:rFonts w:ascii="Arial" w:cs="Arial" w:eastAsia="Arial" w:hAnsi="Arial"/>
                <w:sz w:val="18"/>
                <w:szCs w:val="18"/>
                <w:color w:val="auto"/>
                <w:w w:val="99"/>
              </w:rPr>
              <w:t>The accompanying notes are an integral part of these condensed consolidated financial statements.</w:t>
            </w: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7960" w:type="dxa"/>
            <w:vAlign w:val="bottom"/>
            <w:gridSpan w:val="2"/>
          </w:tcPr>
          <w:p>
            <w:pPr>
              <w:jc w:val="right"/>
              <w:ind w:right="2110"/>
              <w:spacing w:after="0"/>
              <w:rPr>
                <w:sz w:val="20"/>
                <w:szCs w:val="20"/>
                <w:color w:val="auto"/>
              </w:rPr>
            </w:pPr>
            <w:r>
              <w:rPr>
                <w:rFonts w:ascii="Arial" w:cs="Arial" w:eastAsia="Arial" w:hAnsi="Arial"/>
                <w:sz w:val="18"/>
                <w:szCs w:val="18"/>
                <w:color w:val="auto"/>
              </w:rPr>
              <w:t>4</w:t>
            </w: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9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2014 AND MARCH 31,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340" w:type="dxa"/>
            <w:vAlign w:val="bottom"/>
            <w:gridSpan w:val="3"/>
          </w:tcPr>
          <w:p>
            <w:pPr>
              <w:jc w:val="right"/>
              <w:ind w:right="450"/>
              <w:spacing w:after="0"/>
              <w:rPr>
                <w:sz w:val="20"/>
                <w:szCs w:val="20"/>
                <w:color w:val="auto"/>
              </w:rPr>
            </w:pPr>
            <w:r>
              <w:rPr>
                <w:rFonts w:ascii="Arial" w:cs="Arial" w:eastAsia="Arial" w:hAnsi="Arial"/>
                <w:sz w:val="18"/>
                <w:szCs w:val="18"/>
                <w:b w:val="1"/>
                <w:bCs w:val="1"/>
                <w:color w:val="auto"/>
                <w:w w:val="99"/>
              </w:rPr>
              <w:t>Three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March</w:t>
            </w:r>
          </w:p>
        </w:tc>
        <w:tc>
          <w:tcPr>
            <w:tcW w:w="56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rPr>
              <w:t>March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31,</w:t>
            </w:r>
          </w:p>
        </w:tc>
        <w:tc>
          <w:tcPr>
            <w:tcW w:w="56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2014</w:t>
            </w:r>
          </w:p>
        </w:tc>
        <w:tc>
          <w:tcPr>
            <w:tcW w:w="56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34"/>
        </w:trPr>
        <w:tc>
          <w:tcPr>
            <w:tcW w:w="7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120" w:type="dxa"/>
            <w:vAlign w:val="bottom"/>
          </w:tcPr>
          <w:p>
            <w:pPr>
              <w:spacing w:after="0"/>
              <w:rPr>
                <w:sz w:val="20"/>
                <w:szCs w:val="20"/>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rPr>
              <w:t>(in thousands)</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960" w:type="dxa"/>
            <w:vAlign w:val="bottom"/>
            <w:gridSpan w:val="2"/>
            <w:vMerge w:val="continue"/>
          </w:tcPr>
          <w:p>
            <w:pPr>
              <w:spacing w:after="0"/>
              <w:rPr>
                <w:sz w:val="18"/>
                <w:szCs w:val="18"/>
                <w:color w:val="auto"/>
              </w:rPr>
            </w:pPr>
          </w:p>
        </w:tc>
        <w:tc>
          <w:tcPr>
            <w:tcW w:w="1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36,195</w:t>
            </w:r>
          </w:p>
        </w:tc>
        <w:tc>
          <w:tcPr>
            <w:tcW w:w="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on disposal of property, plant and equipment</w:t>
            </w:r>
          </w:p>
        </w:tc>
        <w:tc>
          <w:tcPr>
            <w:tcW w:w="1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31</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Depreciation expense</w:t>
            </w:r>
          </w:p>
        </w:tc>
        <w:tc>
          <w:tcPr>
            <w:tcW w:w="112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9,682</w:t>
            </w:r>
          </w:p>
        </w:tc>
        <w:tc>
          <w:tcPr>
            <w:tcW w:w="56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9,712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intangibles</w:t>
            </w:r>
          </w:p>
        </w:tc>
        <w:tc>
          <w:tcPr>
            <w:tcW w:w="1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1,866</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Amortization of grants</w:t>
            </w:r>
          </w:p>
        </w:tc>
        <w:tc>
          <w:tcPr>
            <w:tcW w:w="1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w:t>
            </w:r>
          </w:p>
        </w:tc>
        <w:tc>
          <w:tcPr>
            <w:tcW w:w="5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 compensation expense</w:t>
            </w:r>
          </w:p>
        </w:tc>
        <w:tc>
          <w:tcPr>
            <w:tcW w:w="1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4,045</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Deferred taxes</w:t>
            </w:r>
          </w:p>
        </w:tc>
        <w:tc>
          <w:tcPr>
            <w:tcW w:w="1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(4,868)</w:t>
            </w:r>
          </w:p>
        </w:tc>
        <w:tc>
          <w:tcPr>
            <w:tcW w:w="5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Changes in assets and liabilities:</w:t>
            </w:r>
          </w:p>
        </w:tc>
        <w:tc>
          <w:tcPr>
            <w:tcW w:w="1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Decrease in accounts receivable</w:t>
            </w:r>
          </w:p>
        </w:tc>
        <w:tc>
          <w:tcPr>
            <w:tcW w:w="112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4,958</w:t>
            </w:r>
          </w:p>
        </w:tc>
        <w:tc>
          <w:tcPr>
            <w:tcW w:w="56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28,841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(Increase)/decrease in unbilled revenue</w:t>
            </w:r>
          </w:p>
        </w:tc>
        <w:tc>
          <w:tcPr>
            <w:tcW w:w="1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(3,573)</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Decrease/(increase) in other receivables</w:t>
            </w:r>
          </w:p>
        </w:tc>
        <w:tc>
          <w:tcPr>
            <w:tcW w:w="112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1,199</w:t>
            </w:r>
          </w:p>
        </w:tc>
        <w:tc>
          <w:tcPr>
            <w:tcW w:w="5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(Increase)/decrease in prepayments and other current assets</w:t>
            </w:r>
          </w:p>
        </w:tc>
        <w:tc>
          <w:tcPr>
            <w:tcW w:w="1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(5,304)</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Increase in other non current assets</w:t>
            </w:r>
          </w:p>
        </w:tc>
        <w:tc>
          <w:tcPr>
            <w:tcW w:w="1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(643)</w:t>
            </w:r>
          </w:p>
        </w:tc>
        <w:tc>
          <w:tcPr>
            <w:tcW w:w="5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(Decrease) /increase in payments on account</w:t>
            </w:r>
          </w:p>
        </w:tc>
        <w:tc>
          <w:tcPr>
            <w:tcW w:w="1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(27,567)</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Increase in other current liabilities</w:t>
            </w:r>
          </w:p>
        </w:tc>
        <w:tc>
          <w:tcPr>
            <w:tcW w:w="112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20,983</w:t>
            </w:r>
          </w:p>
        </w:tc>
        <w:tc>
          <w:tcPr>
            <w:tcW w:w="56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9,994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/(decrease) in other non-current liabilities</w:t>
            </w:r>
          </w:p>
        </w:tc>
        <w:tc>
          <w:tcPr>
            <w:tcW w:w="1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58</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Decrease in income taxes payable</w:t>
            </w:r>
          </w:p>
        </w:tc>
        <w:tc>
          <w:tcPr>
            <w:tcW w:w="1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(492)</w:t>
            </w:r>
          </w:p>
        </w:tc>
        <w:tc>
          <w:tcPr>
            <w:tcW w:w="5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Increase in accounts payable</w:t>
            </w:r>
          </w:p>
        </w:tc>
        <w:tc>
          <w:tcPr>
            <w:tcW w:w="1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2,170</w:t>
            </w:r>
          </w:p>
        </w:tc>
        <w:tc>
          <w:tcPr>
            <w:tcW w:w="5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12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38,660</w:t>
            </w:r>
          </w:p>
        </w:tc>
        <w:tc>
          <w:tcPr>
            <w:tcW w:w="56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69,371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property, plant and equipment</w:t>
            </w:r>
          </w:p>
        </w:tc>
        <w:tc>
          <w:tcPr>
            <w:tcW w:w="1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(6,163)</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Purchase of subsidiary undertakings</w:t>
            </w:r>
          </w:p>
        </w:tc>
        <w:tc>
          <w:tcPr>
            <w:tcW w:w="112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acquired with subsidiary undertakings</w:t>
            </w:r>
          </w:p>
        </w:tc>
        <w:tc>
          <w:tcPr>
            <w:tcW w:w="1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Purchase of short term investments</w:t>
            </w:r>
          </w:p>
        </w:tc>
        <w:tc>
          <w:tcPr>
            <w:tcW w:w="1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(38,988)</w:t>
            </w:r>
          </w:p>
        </w:tc>
        <w:tc>
          <w:tcPr>
            <w:tcW w:w="5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 of short term investments</w:t>
            </w:r>
          </w:p>
        </w:tc>
        <w:tc>
          <w:tcPr>
            <w:tcW w:w="1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50,530</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39,071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Change in restricted cash, net</w:t>
            </w:r>
          </w:p>
        </w:tc>
        <w:tc>
          <w:tcPr>
            <w:tcW w:w="1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by/(used in) investing activities</w:t>
            </w:r>
          </w:p>
        </w:tc>
        <w:tc>
          <w:tcPr>
            <w:tcW w:w="1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5,379</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Proceeds from exercise of share options</w:t>
            </w:r>
          </w:p>
        </w:tc>
        <w:tc>
          <w:tcPr>
            <w:tcW w:w="112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9,825</w:t>
            </w:r>
          </w:p>
        </w:tc>
        <w:tc>
          <w:tcPr>
            <w:tcW w:w="56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 issuance costs</w:t>
            </w:r>
          </w:p>
        </w:tc>
        <w:tc>
          <w:tcPr>
            <w:tcW w:w="1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Tax benefit from the exercise of share options</w:t>
            </w:r>
          </w:p>
        </w:tc>
        <w:tc>
          <w:tcPr>
            <w:tcW w:w="1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726</w:t>
            </w:r>
          </w:p>
        </w:tc>
        <w:tc>
          <w:tcPr>
            <w:tcW w:w="5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10,547</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Effect of exchange rate movements on cash</w:t>
            </w:r>
          </w:p>
        </w:tc>
        <w:tc>
          <w:tcPr>
            <w:tcW w:w="1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5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1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54,137</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23,330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1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182,519</w:t>
            </w:r>
          </w:p>
        </w:tc>
        <w:tc>
          <w:tcPr>
            <w:tcW w:w="5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8"/>
              </w:rPr>
              <w:t>114,047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7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236,656</w:t>
            </w:r>
          </w:p>
        </w:tc>
        <w:tc>
          <w:tcPr>
            <w:tcW w:w="5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8"/>
              </w:rPr>
              <w:t>137,377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9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7940" w:type="dxa"/>
            <w:vAlign w:val="bottom"/>
          </w:tcPr>
          <w:p>
            <w:pPr>
              <w:spacing w:after="0"/>
              <w:rPr>
                <w:sz w:val="20"/>
                <w:szCs w:val="20"/>
                <w:color w:val="auto"/>
              </w:rPr>
            </w:pPr>
            <w:r>
              <w:rPr>
                <w:rFonts w:ascii="Arial" w:cs="Arial" w:eastAsia="Arial" w:hAnsi="Arial"/>
                <w:sz w:val="18"/>
                <w:szCs w:val="18"/>
                <w:color w:val="auto"/>
                <w:w w:val="99"/>
              </w:rPr>
              <w:t>The accompanying notes are an integral part of these condensed consolidated financial statements.</w:t>
            </w:r>
          </w:p>
        </w:tc>
        <w:tc>
          <w:tcPr>
            <w:tcW w:w="1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3"/>
        </w:trPr>
        <w:tc>
          <w:tcPr>
            <w:tcW w:w="7960" w:type="dxa"/>
            <w:vAlign w:val="bottom"/>
            <w:gridSpan w:val="2"/>
          </w:tcPr>
          <w:p>
            <w:pPr>
              <w:jc w:val="right"/>
              <w:ind w:right="2110"/>
              <w:spacing w:after="0"/>
              <w:rPr>
                <w:sz w:val="20"/>
                <w:szCs w:val="20"/>
                <w:color w:val="auto"/>
              </w:rPr>
            </w:pPr>
            <w:r>
              <w:rPr>
                <w:rFonts w:ascii="Arial" w:cs="Arial" w:eastAsia="Arial" w:hAnsi="Arial"/>
                <w:sz w:val="18"/>
                <w:szCs w:val="18"/>
                <w:color w:val="auto"/>
              </w:rPr>
              <w:t>5</w:t>
            </w: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9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ICON plc</w:t>
      </w:r>
    </w:p>
    <w:p>
      <w:pPr>
        <w:spacing w:after="0" w:line="252"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CONDENSED CONSOLIDATED STATEMENTS OF SHAREHOLDERS' EQUITY AND COMPREHENSIVE INCOME (UNAUDITED)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5"/>
          </w:tcPr>
          <w:p>
            <w:pPr>
              <w:jc w:val="right"/>
              <w:ind w:right="120"/>
              <w:spacing w:after="0"/>
              <w:rPr>
                <w:sz w:val="20"/>
                <w:szCs w:val="20"/>
                <w:color w:val="auto"/>
              </w:rPr>
            </w:pPr>
            <w:r>
              <w:rPr>
                <w:rFonts w:ascii="Arial" w:cs="Arial" w:eastAsia="Arial" w:hAnsi="Arial"/>
                <w:sz w:val="18"/>
                <w:szCs w:val="18"/>
                <w:b w:val="1"/>
                <w:bCs w:val="1"/>
                <w:color w:val="auto"/>
              </w:rPr>
              <w:t>Accumulated</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9"/>
              </w:rPr>
              <w:t>Capital</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Other</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gridSpan w:val="5"/>
          </w:tcPr>
          <w:p>
            <w:pPr>
              <w:jc w:val="right"/>
              <w:ind w:right="140"/>
              <w:spacing w:after="0" w:line="196" w:lineRule="exact"/>
              <w:rPr>
                <w:sz w:val="20"/>
                <w:szCs w:val="20"/>
                <w:color w:val="auto"/>
              </w:rPr>
            </w:pPr>
            <w:r>
              <w:rPr>
                <w:rFonts w:ascii="Arial" w:cs="Arial" w:eastAsia="Arial" w:hAnsi="Arial"/>
                <w:sz w:val="18"/>
                <w:szCs w:val="18"/>
                <w:b w:val="1"/>
                <w:bCs w:val="1"/>
                <w:color w:val="auto"/>
              </w:rPr>
              <w:t>Additional</w:t>
            </w:r>
          </w:p>
        </w:tc>
        <w:tc>
          <w:tcPr>
            <w:tcW w:w="260" w:type="dxa"/>
            <w:vAlign w:val="bottom"/>
          </w:tcPr>
          <w:p>
            <w:pPr>
              <w:spacing w:after="0"/>
              <w:rPr>
                <w:sz w:val="17"/>
                <w:szCs w:val="17"/>
                <w:color w:val="auto"/>
              </w:rPr>
            </w:pPr>
          </w:p>
        </w:tc>
        <w:tc>
          <w:tcPr>
            <w:tcW w:w="1060" w:type="dxa"/>
            <w:vAlign w:val="bottom"/>
            <w:gridSpan w:val="4"/>
          </w:tcPr>
          <w:p>
            <w:pPr>
              <w:jc w:val="right"/>
              <w:ind w:right="120"/>
              <w:spacing w:after="0" w:line="196" w:lineRule="exact"/>
              <w:rPr>
                <w:sz w:val="20"/>
                <w:szCs w:val="20"/>
                <w:color w:val="auto"/>
              </w:rPr>
            </w:pPr>
            <w:r>
              <w:rPr>
                <w:rFonts w:ascii="Arial" w:cs="Arial" w:eastAsia="Arial" w:hAnsi="Arial"/>
                <w:sz w:val="18"/>
                <w:szCs w:val="18"/>
                <w:b w:val="1"/>
                <w:bCs w:val="1"/>
                <w:color w:val="auto"/>
                <w:w w:val="88"/>
              </w:rPr>
              <w:t>Redemption</w:t>
            </w:r>
          </w:p>
        </w:tc>
        <w:tc>
          <w:tcPr>
            <w:tcW w:w="220" w:type="dxa"/>
            <w:vAlign w:val="bottom"/>
          </w:tcPr>
          <w:p>
            <w:pPr>
              <w:spacing w:after="0"/>
              <w:rPr>
                <w:sz w:val="17"/>
                <w:szCs w:val="17"/>
                <w:color w:val="auto"/>
              </w:rPr>
            </w:pPr>
          </w:p>
        </w:tc>
        <w:tc>
          <w:tcPr>
            <w:tcW w:w="1320" w:type="dxa"/>
            <w:vAlign w:val="bottom"/>
            <w:gridSpan w:val="5"/>
          </w:tcPr>
          <w:p>
            <w:pPr>
              <w:jc w:val="right"/>
              <w:ind w:right="120"/>
              <w:spacing w:after="0" w:line="196" w:lineRule="exact"/>
              <w:rPr>
                <w:sz w:val="20"/>
                <w:szCs w:val="20"/>
                <w:color w:val="auto"/>
              </w:rPr>
            </w:pPr>
            <w:r>
              <w:rPr>
                <w:rFonts w:ascii="Arial" w:cs="Arial" w:eastAsia="Arial" w:hAnsi="Arial"/>
                <w:sz w:val="18"/>
                <w:szCs w:val="18"/>
                <w:b w:val="1"/>
                <w:bCs w:val="1"/>
                <w:color w:val="auto"/>
                <w:w w:val="87"/>
              </w:rPr>
              <w:t>Comprehensive</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ind w:right="100"/>
              <w:spacing w:after="0" w:line="196" w:lineRule="exact"/>
              <w:rPr>
                <w:sz w:val="20"/>
                <w:szCs w:val="20"/>
                <w:color w:val="auto"/>
              </w:rPr>
            </w:pPr>
            <w:r>
              <w:rPr>
                <w:rFonts w:ascii="Arial" w:cs="Arial" w:eastAsia="Arial" w:hAnsi="Arial"/>
                <w:sz w:val="18"/>
                <w:szCs w:val="18"/>
                <w:b w:val="1"/>
                <w:bCs w:val="1"/>
                <w:color w:val="auto"/>
                <w:w w:val="86"/>
              </w:rPr>
              <w:t>Retained</w:t>
            </w: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580" w:type="dxa"/>
            <w:vAlign w:val="bottom"/>
            <w:tcBorders>
              <w:top w:val="single" w:sz="8" w:color="auto"/>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w w:val="89"/>
              </w:rPr>
              <w:t>Paid-in</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140" w:type="dxa"/>
            <w:vAlign w:val="bottom"/>
            <w:gridSpan w:val="3"/>
          </w:tcPr>
          <w:p>
            <w:pPr>
              <w:ind w:left="520"/>
              <w:spacing w:after="0" w:line="196" w:lineRule="exact"/>
              <w:rPr>
                <w:sz w:val="20"/>
                <w:szCs w:val="20"/>
                <w:color w:val="auto"/>
              </w:rPr>
            </w:pPr>
            <w:r>
              <w:rPr>
                <w:rFonts w:ascii="Arial" w:cs="Arial" w:eastAsia="Arial" w:hAnsi="Arial"/>
                <w:sz w:val="18"/>
                <w:szCs w:val="18"/>
                <w:b w:val="1"/>
                <w:bCs w:val="1"/>
                <w:color w:val="auto"/>
                <w:w w:val="99"/>
              </w:rPr>
              <w:t>Shares</w:t>
            </w:r>
          </w:p>
        </w:tc>
        <w:tc>
          <w:tcPr>
            <w:tcW w:w="400" w:type="dxa"/>
            <w:vAlign w:val="bottom"/>
          </w:tcPr>
          <w:p>
            <w:pPr>
              <w:spacing w:after="0"/>
              <w:rPr>
                <w:sz w:val="17"/>
                <w:szCs w:val="17"/>
                <w:color w:val="auto"/>
              </w:rPr>
            </w:pPr>
          </w:p>
        </w:tc>
        <w:tc>
          <w:tcPr>
            <w:tcW w:w="960" w:type="dxa"/>
            <w:vAlign w:val="bottom"/>
            <w:gridSpan w:val="3"/>
          </w:tcPr>
          <w:p>
            <w:pPr>
              <w:jc w:val="right"/>
              <w:ind w:right="120"/>
              <w:spacing w:after="0" w:line="196" w:lineRule="exact"/>
              <w:rPr>
                <w:sz w:val="20"/>
                <w:szCs w:val="20"/>
                <w:color w:val="auto"/>
              </w:rPr>
            </w:pPr>
            <w:r>
              <w:rPr>
                <w:rFonts w:ascii="Arial" w:cs="Arial" w:eastAsia="Arial" w:hAnsi="Arial"/>
                <w:sz w:val="18"/>
                <w:szCs w:val="18"/>
                <w:b w:val="1"/>
                <w:bCs w:val="1"/>
                <w:color w:val="auto"/>
              </w:rPr>
              <w:t>Amount</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4"/>
          </w:tcPr>
          <w:p>
            <w:pPr>
              <w:jc w:val="right"/>
              <w:ind w:right="140"/>
              <w:spacing w:after="0" w:line="196" w:lineRule="exact"/>
              <w:rPr>
                <w:sz w:val="20"/>
                <w:szCs w:val="20"/>
                <w:color w:val="auto"/>
              </w:rPr>
            </w:pPr>
            <w:r>
              <w:rPr>
                <w:rFonts w:ascii="Arial" w:cs="Arial" w:eastAsia="Arial" w:hAnsi="Arial"/>
                <w:sz w:val="18"/>
                <w:szCs w:val="18"/>
                <w:b w:val="1"/>
                <w:bCs w:val="1"/>
                <w:color w:val="auto"/>
              </w:rPr>
              <w:t>Capital</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gridSpan w:val="3"/>
          </w:tcPr>
          <w:p>
            <w:pPr>
              <w:jc w:val="right"/>
              <w:ind w:right="120"/>
              <w:spacing w:after="0" w:line="196" w:lineRule="exact"/>
              <w:rPr>
                <w:sz w:val="20"/>
                <w:szCs w:val="20"/>
                <w:color w:val="auto"/>
              </w:rPr>
            </w:pPr>
            <w:r>
              <w:rPr>
                <w:rFonts w:ascii="Arial" w:cs="Arial" w:eastAsia="Arial" w:hAnsi="Arial"/>
                <w:sz w:val="18"/>
                <w:szCs w:val="18"/>
                <w:b w:val="1"/>
                <w:bCs w:val="1"/>
                <w:color w:val="auto"/>
                <w:w w:val="82"/>
              </w:rPr>
              <w:t>Reserve</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gridSpan w:val="3"/>
          </w:tcPr>
          <w:p>
            <w:pPr>
              <w:jc w:val="right"/>
              <w:ind w:right="120"/>
              <w:spacing w:after="0" w:line="196" w:lineRule="exact"/>
              <w:rPr>
                <w:sz w:val="20"/>
                <w:szCs w:val="20"/>
                <w:color w:val="auto"/>
              </w:rPr>
            </w:pPr>
            <w:r>
              <w:rPr>
                <w:rFonts w:ascii="Arial" w:cs="Arial" w:eastAsia="Arial" w:hAnsi="Arial"/>
                <w:sz w:val="18"/>
                <w:szCs w:val="18"/>
                <w:b w:val="1"/>
                <w:bCs w:val="1"/>
                <w:color w:val="auto"/>
                <w:w w:val="88"/>
              </w:rPr>
              <w:t>Income</w:t>
            </w:r>
          </w:p>
        </w:tc>
        <w:tc>
          <w:tcPr>
            <w:tcW w:w="340" w:type="dxa"/>
            <w:vAlign w:val="bottom"/>
          </w:tcPr>
          <w:p>
            <w:pPr>
              <w:spacing w:after="0"/>
              <w:rPr>
                <w:sz w:val="17"/>
                <w:szCs w:val="17"/>
                <w:color w:val="auto"/>
              </w:rPr>
            </w:pPr>
          </w:p>
        </w:tc>
        <w:tc>
          <w:tcPr>
            <w:tcW w:w="980" w:type="dxa"/>
            <w:vAlign w:val="bottom"/>
            <w:gridSpan w:val="3"/>
          </w:tcPr>
          <w:p>
            <w:pPr>
              <w:jc w:val="right"/>
              <w:ind w:right="100"/>
              <w:spacing w:after="0" w:line="196" w:lineRule="exact"/>
              <w:rPr>
                <w:sz w:val="20"/>
                <w:szCs w:val="20"/>
                <w:color w:val="auto"/>
              </w:rPr>
            </w:pPr>
            <w:r>
              <w:rPr>
                <w:rFonts w:ascii="Arial" w:cs="Arial" w:eastAsia="Arial" w:hAnsi="Arial"/>
                <w:sz w:val="18"/>
                <w:szCs w:val="18"/>
                <w:b w:val="1"/>
                <w:bCs w:val="1"/>
                <w:color w:val="auto"/>
              </w:rPr>
              <w:t>Earnings</w:t>
            </w: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gridSpan w:val="2"/>
          </w:tcPr>
          <w:p>
            <w:pPr>
              <w:jc w:val="right"/>
              <w:ind w:right="100"/>
              <w:spacing w:after="0" w:line="196" w:lineRule="exact"/>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20" w:type="dxa"/>
            <w:vAlign w:val="bottom"/>
            <w:gridSpan w:val="15"/>
          </w:tcPr>
          <w:p>
            <w:pPr>
              <w:jc w:val="right"/>
              <w:ind w:right="540"/>
              <w:spacing w:after="0"/>
              <w:rPr>
                <w:sz w:val="20"/>
                <w:szCs w:val="20"/>
                <w:color w:val="auto"/>
              </w:rPr>
            </w:pPr>
            <w:r>
              <w:rPr>
                <w:rFonts w:ascii="Arial" w:cs="Arial" w:eastAsia="Arial" w:hAnsi="Arial"/>
                <w:sz w:val="18"/>
                <w:szCs w:val="18"/>
                <w:b w:val="1"/>
                <w:bCs w:val="1"/>
                <w:color w:val="auto"/>
                <w:w w:val="93"/>
              </w:rPr>
              <w:t>(dollars in thousands, except share data)</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9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at December</w:t>
            </w:r>
          </w:p>
        </w:tc>
        <w:tc>
          <w:tcPr>
            <w:tcW w:w="5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31, 2013</w:t>
            </w:r>
          </w:p>
        </w:tc>
        <w:tc>
          <w:tcPr>
            <w:tcW w:w="114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61,587,257</w:t>
            </w:r>
          </w:p>
        </w:tc>
        <w:tc>
          <w:tcPr>
            <w:tcW w:w="4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5,168</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279,572</w:t>
            </w:r>
          </w:p>
        </w:tc>
        <w:tc>
          <w:tcPr>
            <w:tcW w:w="12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left w:val="single" w:sz="8" w:color="CCEEFF"/>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1,960</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623,779</w:t>
            </w: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910,579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Net income</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36,195</w:t>
            </w:r>
          </w:p>
        </w:tc>
        <w:tc>
          <w:tcPr>
            <w:tcW w:w="44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36,195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Currency translation</w:t>
            </w:r>
          </w:p>
        </w:tc>
        <w:tc>
          <w:tcPr>
            <w:tcW w:w="5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adjustment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(320)</w:t>
            </w:r>
          </w:p>
        </w:tc>
        <w:tc>
          <w:tcPr>
            <w:tcW w:w="34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80" w:type="dxa"/>
            <w:vAlign w:val="bottom"/>
          </w:tcPr>
          <w:p>
            <w:pPr>
              <w:spacing w:after="0" w:line="201" w:lineRule="exact"/>
              <w:rPr>
                <w:sz w:val="20"/>
                <w:szCs w:val="20"/>
                <w:color w:val="auto"/>
              </w:rPr>
            </w:pPr>
            <w:r>
              <w:rPr>
                <w:rFonts w:ascii="Arial" w:cs="Arial" w:eastAsia="Arial" w:hAnsi="Arial"/>
                <w:sz w:val="18"/>
                <w:szCs w:val="18"/>
                <w:color w:val="auto"/>
              </w:rPr>
              <w:t>Currency impact of long</w:t>
            </w: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0" w:type="dxa"/>
            <w:vAlign w:val="bottom"/>
            <w:gridSpan w:val="2"/>
          </w:tcPr>
          <w:p>
            <w:pPr>
              <w:spacing w:after="0"/>
              <w:rPr>
                <w:sz w:val="20"/>
                <w:szCs w:val="20"/>
                <w:color w:val="auto"/>
              </w:rPr>
            </w:pPr>
            <w:r>
              <w:rPr>
                <w:rFonts w:ascii="Arial" w:cs="Arial" w:eastAsia="Arial" w:hAnsi="Arial"/>
                <w:sz w:val="18"/>
                <w:szCs w:val="18"/>
                <w:color w:val="auto"/>
              </w:rPr>
              <w:t>term funding</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5"/>
          </w:tcPr>
          <w:p>
            <w:pPr>
              <w:jc w:val="right"/>
              <w:ind w:right="60"/>
              <w:spacing w:after="0"/>
              <w:rPr>
                <w:sz w:val="20"/>
                <w:szCs w:val="20"/>
                <w:color w:val="auto"/>
              </w:rPr>
            </w:pPr>
            <w:r>
              <w:rPr>
                <w:rFonts w:ascii="Arial" w:cs="Arial" w:eastAsia="Arial" w:hAnsi="Arial"/>
                <w:sz w:val="18"/>
                <w:szCs w:val="18"/>
                <w:color w:val="auto"/>
              </w:rPr>
              <w:t>(591)</w:t>
            </w:r>
          </w:p>
        </w:tc>
        <w:tc>
          <w:tcPr>
            <w:tcW w:w="34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Tax on currency impact</w:t>
            </w:r>
          </w:p>
        </w:tc>
        <w:tc>
          <w:tcPr>
            <w:tcW w:w="5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of long term funding</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80" w:type="dxa"/>
            <w:vAlign w:val="bottom"/>
          </w:tcPr>
          <w:p>
            <w:pPr>
              <w:spacing w:after="0" w:line="201" w:lineRule="exact"/>
              <w:rPr>
                <w:sz w:val="20"/>
                <w:szCs w:val="20"/>
                <w:color w:val="auto"/>
              </w:rPr>
            </w:pPr>
            <w:r>
              <w:rPr>
                <w:rFonts w:ascii="Arial" w:cs="Arial" w:eastAsia="Arial" w:hAnsi="Arial"/>
                <w:sz w:val="18"/>
                <w:szCs w:val="18"/>
                <w:color w:val="auto"/>
              </w:rPr>
              <w:t>Unrealized capital loss -</w:t>
            </w: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00" w:type="dxa"/>
            <w:vAlign w:val="bottom"/>
            <w:gridSpan w:val="2"/>
          </w:tcPr>
          <w:p>
            <w:pPr>
              <w:spacing w:after="0"/>
              <w:rPr>
                <w:sz w:val="20"/>
                <w:szCs w:val="20"/>
                <w:color w:val="auto"/>
              </w:rPr>
            </w:pPr>
            <w:r>
              <w:rPr>
                <w:rFonts w:ascii="Arial" w:cs="Arial" w:eastAsia="Arial" w:hAnsi="Arial"/>
                <w:sz w:val="18"/>
                <w:szCs w:val="18"/>
                <w:color w:val="auto"/>
              </w:rPr>
              <w:t>investments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right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lef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right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980" w:type="dxa"/>
            <w:vAlign w:val="bottom"/>
          </w:tcPr>
          <w:p>
            <w:pPr>
              <w:spacing w:after="0" w:line="201" w:lineRule="exact"/>
              <w:rPr>
                <w:sz w:val="20"/>
                <w:szCs w:val="20"/>
                <w:color w:val="auto"/>
              </w:rPr>
            </w:pPr>
            <w:r>
              <w:rPr>
                <w:rFonts w:ascii="Arial" w:cs="Arial" w:eastAsia="Arial" w:hAnsi="Arial"/>
                <w:sz w:val="18"/>
                <w:szCs w:val="18"/>
                <w:color w:val="auto"/>
              </w:rPr>
              <w:t>Total comprehensive</w:t>
            </w: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00" w:type="dxa"/>
            <w:vAlign w:val="bottom"/>
            <w:gridSpan w:val="2"/>
          </w:tcPr>
          <w:p>
            <w:pPr>
              <w:spacing w:after="0"/>
              <w:rPr>
                <w:sz w:val="20"/>
                <w:szCs w:val="20"/>
                <w:color w:val="auto"/>
              </w:rPr>
            </w:pPr>
            <w:r>
              <w:rPr>
                <w:rFonts w:ascii="Arial" w:cs="Arial" w:eastAsia="Arial" w:hAnsi="Arial"/>
                <w:sz w:val="18"/>
                <w:szCs w:val="18"/>
                <w:color w:val="auto"/>
              </w:rPr>
              <w:t>income</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5"/>
          </w:tcPr>
          <w:p>
            <w:pPr>
              <w:jc w:val="right"/>
              <w:ind w:right="60"/>
              <w:spacing w:after="0"/>
              <w:rPr>
                <w:sz w:val="20"/>
                <w:szCs w:val="20"/>
                <w:color w:val="auto"/>
              </w:rPr>
            </w:pPr>
            <w:r>
              <w:rPr>
                <w:rFonts w:ascii="Arial" w:cs="Arial" w:eastAsia="Arial" w:hAnsi="Arial"/>
                <w:sz w:val="18"/>
                <w:szCs w:val="18"/>
                <w:color w:val="auto"/>
              </w:rPr>
              <w:t>(746)</w:t>
            </w:r>
          </w:p>
        </w:tc>
        <w:tc>
          <w:tcPr>
            <w:tcW w:w="34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36,195</w:t>
            </w:r>
          </w:p>
        </w:tc>
        <w:tc>
          <w:tcPr>
            <w:tcW w:w="440" w:type="dxa"/>
            <w:vAlign w:val="bottom"/>
          </w:tcPr>
          <w:p>
            <w:pPr>
              <w:spacing w:after="0"/>
              <w:rPr>
                <w:sz w:val="20"/>
                <w:szCs w:val="20"/>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35,449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right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lef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right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980" w:type="dxa"/>
            <w:vAlign w:val="bottom"/>
          </w:tcPr>
          <w:p>
            <w:pPr>
              <w:spacing w:after="0" w:line="201" w:lineRule="exact"/>
              <w:rPr>
                <w:sz w:val="20"/>
                <w:szCs w:val="20"/>
                <w:color w:val="auto"/>
              </w:rPr>
            </w:pPr>
            <w:r>
              <w:rPr>
                <w:rFonts w:ascii="Arial" w:cs="Arial" w:eastAsia="Arial" w:hAnsi="Arial"/>
                <w:sz w:val="18"/>
                <w:szCs w:val="18"/>
                <w:color w:val="auto"/>
              </w:rPr>
              <w:t>Exercise of share</w:t>
            </w: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0" w:type="dxa"/>
            <w:vAlign w:val="bottom"/>
            <w:gridSpan w:val="2"/>
          </w:tcPr>
          <w:p>
            <w:pPr>
              <w:spacing w:after="0"/>
              <w:rPr>
                <w:sz w:val="20"/>
                <w:szCs w:val="20"/>
                <w:color w:val="auto"/>
              </w:rPr>
            </w:pPr>
            <w:r>
              <w:rPr>
                <w:rFonts w:ascii="Arial" w:cs="Arial" w:eastAsia="Arial" w:hAnsi="Arial"/>
                <w:sz w:val="18"/>
                <w:szCs w:val="18"/>
                <w:color w:val="auto"/>
              </w:rPr>
              <w:t>options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408,226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20"/>
                <w:szCs w:val="20"/>
                <w:color w:val="auto"/>
              </w:rPr>
            </w:pPr>
          </w:p>
        </w:tc>
        <w:tc>
          <w:tcPr>
            <w:tcW w:w="960" w:type="dxa"/>
            <w:vAlign w:val="bottom"/>
            <w:gridSpan w:val="4"/>
          </w:tcPr>
          <w:p>
            <w:pPr>
              <w:jc w:val="right"/>
              <w:ind w:right="20"/>
              <w:spacing w:after="0"/>
              <w:rPr>
                <w:sz w:val="20"/>
                <w:szCs w:val="20"/>
                <w:color w:val="auto"/>
              </w:rPr>
            </w:pPr>
            <w:r>
              <w:rPr>
                <w:rFonts w:ascii="Arial" w:cs="Arial" w:eastAsia="Arial" w:hAnsi="Arial"/>
                <w:sz w:val="18"/>
                <w:szCs w:val="18"/>
                <w:color w:val="auto"/>
              </w:rPr>
              <w:t>9,790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9,823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Issue of restricted share</w:t>
            </w:r>
          </w:p>
        </w:tc>
        <w:tc>
          <w:tcPr>
            <w:tcW w:w="5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units</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c>
          <w:tcPr>
            <w:tcW w:w="40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9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Share issuance costs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80" w:type="dxa"/>
            <w:vAlign w:val="bottom"/>
            <w:gridSpan w:val="5"/>
          </w:tcPr>
          <w:p>
            <w:pPr>
              <w:jc w:val="right"/>
              <w:ind w:right="8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Non-cash stock</w:t>
            </w:r>
          </w:p>
        </w:tc>
        <w:tc>
          <w:tcPr>
            <w:tcW w:w="5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compensation expense</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9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4,210</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80" w:type="dxa"/>
            <w:vAlign w:val="bottom"/>
          </w:tcPr>
          <w:p>
            <w:pPr>
              <w:spacing w:after="0" w:line="201" w:lineRule="exact"/>
              <w:rPr>
                <w:sz w:val="20"/>
                <w:szCs w:val="20"/>
                <w:color w:val="auto"/>
              </w:rPr>
            </w:pPr>
            <w:r>
              <w:rPr>
                <w:rFonts w:ascii="Arial" w:cs="Arial" w:eastAsia="Arial" w:hAnsi="Arial"/>
                <w:sz w:val="18"/>
                <w:szCs w:val="18"/>
                <w:color w:val="auto"/>
              </w:rPr>
              <w:t>Tax benefit on exercise</w:t>
            </w: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00" w:type="dxa"/>
            <w:vAlign w:val="bottom"/>
            <w:gridSpan w:val="2"/>
          </w:tcPr>
          <w:p>
            <w:pPr>
              <w:spacing w:after="0"/>
              <w:rPr>
                <w:sz w:val="20"/>
                <w:szCs w:val="20"/>
                <w:color w:val="auto"/>
              </w:rPr>
            </w:pPr>
            <w:r>
              <w:rPr>
                <w:rFonts w:ascii="Arial" w:cs="Arial" w:eastAsia="Arial" w:hAnsi="Arial"/>
                <w:sz w:val="18"/>
                <w:szCs w:val="18"/>
                <w:color w:val="auto"/>
              </w:rPr>
              <w:t>of options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gridSpan w:val="4"/>
          </w:tcPr>
          <w:p>
            <w:pPr>
              <w:jc w:val="right"/>
              <w:ind w:right="20"/>
              <w:spacing w:after="0"/>
              <w:rPr>
                <w:sz w:val="20"/>
                <w:szCs w:val="20"/>
                <w:color w:val="auto"/>
              </w:rPr>
            </w:pPr>
            <w:r>
              <w:rPr>
                <w:rFonts w:ascii="Arial" w:cs="Arial" w:eastAsia="Arial" w:hAnsi="Arial"/>
                <w:sz w:val="18"/>
                <w:szCs w:val="18"/>
                <w:color w:val="auto"/>
              </w:rPr>
              <w:t>726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right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lef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right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980" w:type="dxa"/>
            <w:vAlign w:val="bottom"/>
          </w:tcPr>
          <w:p>
            <w:pPr>
              <w:spacing w:after="0" w:line="198" w:lineRule="exact"/>
              <w:rPr>
                <w:sz w:val="20"/>
                <w:szCs w:val="20"/>
                <w:color w:val="auto"/>
              </w:rPr>
            </w:pPr>
            <w:r>
              <w:rPr>
                <w:rFonts w:ascii="Arial" w:cs="Arial" w:eastAsia="Arial" w:hAnsi="Arial"/>
                <w:sz w:val="18"/>
                <w:szCs w:val="18"/>
                <w:b w:val="1"/>
                <w:bCs w:val="1"/>
                <w:color w:val="auto"/>
              </w:rPr>
              <w:t>Balance at March 31,</w:t>
            </w: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2014</w:t>
            </w:r>
          </w:p>
        </w:tc>
        <w:tc>
          <w:tcPr>
            <w:tcW w:w="11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62,020,483</w:t>
            </w:r>
          </w:p>
        </w:tc>
        <w:tc>
          <w:tcPr>
            <w:tcW w:w="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5,201</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294,296</w:t>
            </w: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8"/>
                <w:szCs w:val="18"/>
                <w:color w:val="auto"/>
              </w:rPr>
              <w:t>1,214</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659,974</w:t>
            </w:r>
          </w:p>
        </w:tc>
        <w:tc>
          <w:tcPr>
            <w:tcW w:w="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960,785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ind w:left="3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ICON plc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March 31, 2014</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These condensed consolidated financial statements, which have been prepared in accordance with United States generally accepted accounting principles (“US GAAP”), have not been audited. The condensed consolidated financial statements reflect all adjustments, which are, in the opinion of management, necessary to present a fair statement of the operating results and financial position for the periods presented. The preparation of the condensed consolidated financial statements in conformity with US GAAP requires management to make estimates and assumptions that affect reported amounts and disclosures in the condensed consolidated financial statements. Actual results could differ from those estimates.</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condensed consolidated financial statements should be read in conjunction with the accounting policies and notes to the consolidated financial statements included in ICON’s Form 20-F for the year ended December 31, 2013. Operating results for the three months ended March 31, 2014 are not necessarily indicative of the results that may be expected for the fiscal period ending December 31, 2014.</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gridSpan w:val="2"/>
          </w:tcPr>
          <w:p>
            <w:pPr>
              <w:spacing w:after="0"/>
              <w:rPr>
                <w:sz w:val="20"/>
                <w:szCs w:val="20"/>
                <w:color w:val="auto"/>
              </w:rPr>
            </w:pPr>
            <w:r>
              <w:rPr>
                <w:rFonts w:ascii="Arial" w:cs="Arial" w:eastAsia="Arial" w:hAnsi="Arial"/>
                <w:sz w:val="18"/>
                <w:szCs w:val="18"/>
                <w:b w:val="1"/>
                <w:bCs w:val="1"/>
                <w:color w:val="auto"/>
              </w:rPr>
              <w:t>2. Goodwill</w:t>
            </w:r>
          </w:p>
        </w:tc>
        <w:tc>
          <w:tcPr>
            <w:tcW w:w="4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380" w:type="dxa"/>
            <w:vAlign w:val="bottom"/>
            <w:gridSpan w:val="6"/>
          </w:tcPr>
          <w:p>
            <w:pPr>
              <w:jc w:val="right"/>
              <w:ind w:right="140"/>
              <w:spacing w:after="0"/>
              <w:rPr>
                <w:sz w:val="20"/>
                <w:szCs w:val="20"/>
                <w:color w:val="auto"/>
              </w:rPr>
            </w:pPr>
            <w:r>
              <w:rPr>
                <w:rFonts w:ascii="Arial" w:cs="Arial" w:eastAsia="Arial" w:hAnsi="Arial"/>
                <w:sz w:val="18"/>
                <w:szCs w:val="18"/>
                <w:b w:val="1"/>
                <w:bCs w:val="1"/>
                <w:color w:val="auto"/>
              </w:rPr>
              <w:t>Three months</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gridSpan w:val="3"/>
          </w:tcPr>
          <w:p>
            <w:pPr>
              <w:jc w:val="right"/>
              <w:ind w:right="140"/>
              <w:spacing w:after="0" w:line="196" w:lineRule="exact"/>
              <w:rPr>
                <w:sz w:val="20"/>
                <w:szCs w:val="20"/>
                <w:color w:val="auto"/>
              </w:rPr>
            </w:pPr>
            <w:r>
              <w:rPr>
                <w:rFonts w:ascii="Arial" w:cs="Arial" w:eastAsia="Arial" w:hAnsi="Arial"/>
                <w:sz w:val="18"/>
                <w:szCs w:val="18"/>
                <w:b w:val="1"/>
                <w:bCs w:val="1"/>
                <w:color w:val="auto"/>
                <w:w w:val="82"/>
              </w:rPr>
              <w:t>ended</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3"/>
          </w:tcPr>
          <w:p>
            <w:pPr>
              <w:jc w:val="right"/>
              <w:ind w:right="100"/>
              <w:spacing w:after="0" w:line="196" w:lineRule="exact"/>
              <w:rPr>
                <w:sz w:val="20"/>
                <w:szCs w:val="20"/>
                <w:color w:val="auto"/>
              </w:rPr>
            </w:pPr>
            <w:r>
              <w:rPr>
                <w:rFonts w:ascii="Arial" w:cs="Arial" w:eastAsia="Arial" w:hAnsi="Arial"/>
                <w:sz w:val="18"/>
                <w:szCs w:val="18"/>
                <w:b w:val="1"/>
                <w:bCs w:val="1"/>
                <w:color w:val="auto"/>
                <w:w w:val="88"/>
              </w:rPr>
              <w:t>Year ended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5"/>
          </w:tcPr>
          <w:p>
            <w:pPr>
              <w:jc w:val="right"/>
              <w:ind w:right="140"/>
              <w:spacing w:after="0" w:line="196" w:lineRule="exact"/>
              <w:rPr>
                <w:sz w:val="20"/>
                <w:szCs w:val="20"/>
                <w:color w:val="auto"/>
              </w:rPr>
            </w:pPr>
            <w:r>
              <w:rPr>
                <w:rFonts w:ascii="Arial" w:cs="Arial" w:eastAsia="Arial" w:hAnsi="Arial"/>
                <w:sz w:val="18"/>
                <w:szCs w:val="18"/>
                <w:b w:val="1"/>
                <w:bCs w:val="1"/>
                <w:color w:val="auto"/>
              </w:rPr>
              <w:t>March 31,</w:t>
            </w:r>
          </w:p>
        </w:tc>
        <w:tc>
          <w:tcPr>
            <w:tcW w:w="500" w:type="dxa"/>
            <w:vAlign w:val="bottom"/>
          </w:tcPr>
          <w:p>
            <w:pPr>
              <w:spacing w:after="0"/>
              <w:rPr>
                <w:sz w:val="17"/>
                <w:szCs w:val="17"/>
                <w:color w:val="auto"/>
              </w:rPr>
            </w:pPr>
          </w:p>
        </w:tc>
        <w:tc>
          <w:tcPr>
            <w:tcW w:w="116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460" w:type="dxa"/>
            <w:vAlign w:val="bottom"/>
            <w:gridSpan w:val="2"/>
          </w:tcPr>
          <w:p>
            <w:pPr>
              <w:spacing w:after="0"/>
              <w:rPr>
                <w:sz w:val="17"/>
                <w:szCs w:val="17"/>
                <w:color w:val="auto"/>
              </w:rPr>
            </w:pPr>
          </w:p>
        </w:tc>
        <w:tc>
          <w:tcPr>
            <w:tcW w:w="420" w:type="dxa"/>
            <w:vAlign w:val="bottom"/>
            <w:tcBorders>
              <w:top w:val="single" w:sz="8" w:color="auto"/>
            </w:tcBorders>
            <w:gridSpan w:val="2"/>
          </w:tcPr>
          <w:p>
            <w:pPr>
              <w:spacing w:after="0"/>
              <w:rPr>
                <w:sz w:val="17"/>
                <w:szCs w:val="17"/>
                <w:color w:val="auto"/>
              </w:rPr>
            </w:pPr>
          </w:p>
        </w:tc>
        <w:tc>
          <w:tcPr>
            <w:tcW w:w="3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84"/>
              </w:rPr>
              <w:t>2014</w:t>
            </w: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60" w:type="dxa"/>
            <w:vAlign w:val="bottom"/>
            <w:gridSpan w:val="8"/>
          </w:tcPr>
          <w:p>
            <w:pPr>
              <w:ind w:left="2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6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Opening balance</w:t>
            </w:r>
          </w:p>
        </w:tc>
        <w:tc>
          <w:tcPr>
            <w:tcW w:w="4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357,523</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315,441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Current period acquisitions</w:t>
            </w:r>
          </w:p>
        </w:tc>
        <w:tc>
          <w:tcPr>
            <w:tcW w:w="4500" w:type="dxa"/>
            <w:vAlign w:val="bottom"/>
          </w:tcPr>
          <w:p>
            <w:pPr>
              <w:spacing w:after="0"/>
              <w:rPr>
                <w:sz w:val="18"/>
                <w:szCs w:val="18"/>
                <w:color w:val="auto"/>
              </w:rPr>
            </w:pPr>
          </w:p>
        </w:tc>
        <w:tc>
          <w:tcPr>
            <w:tcW w:w="124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4"/>
          </w:tcPr>
          <w:p>
            <w:pPr>
              <w:jc w:val="right"/>
              <w:ind w:right="100"/>
              <w:spacing w:after="0"/>
              <w:rPr>
                <w:sz w:val="20"/>
                <w:szCs w:val="20"/>
                <w:color w:val="auto"/>
              </w:rPr>
            </w:pPr>
            <w:r>
              <w:rPr>
                <w:rFonts w:ascii="Arial" w:cs="Arial" w:eastAsia="Arial" w:hAnsi="Arial"/>
                <w:sz w:val="18"/>
                <w:szCs w:val="18"/>
                <w:color w:val="auto"/>
              </w:rPr>
              <w:t>36,922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exchange movement</w:t>
            </w:r>
          </w:p>
        </w:tc>
        <w:tc>
          <w:tcPr>
            <w:tcW w:w="45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(167)</w:t>
            </w:r>
          </w:p>
        </w:tc>
        <w:tc>
          <w:tcPr>
            <w:tcW w:w="5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5,160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6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Closing balance</w:t>
            </w:r>
          </w:p>
        </w:tc>
        <w:tc>
          <w:tcPr>
            <w:tcW w:w="45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357,356</w:t>
            </w:r>
          </w:p>
        </w:tc>
        <w:tc>
          <w:tcPr>
            <w:tcW w:w="14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357,523</w:t>
            </w: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4500" w:type="dxa"/>
            <w:vAlign w:val="bottom"/>
          </w:tcPr>
          <w:p>
            <w:pPr>
              <w:jc w:val="right"/>
              <w:ind w:right="253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860" w:type="dxa"/>
            <w:vAlign w:val="bottom"/>
            <w:tcBorders>
              <w:bottom w:val="single" w:sz="8" w:color="808080"/>
            </w:tcBorders>
          </w:tcPr>
          <w:p>
            <w:pPr>
              <w:spacing w:after="0"/>
              <w:rPr>
                <w:sz w:val="10"/>
                <w:szCs w:val="10"/>
                <w:color w:val="auto"/>
              </w:rPr>
            </w:pPr>
          </w:p>
        </w:tc>
        <w:tc>
          <w:tcPr>
            <w:tcW w:w="45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3. Business Combinations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 – Aptiv Solutions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March 29, 2014 the Company agreed to acquire, subject to certain routine closing conditions relating to the ordinary course of approval of the transaction in specific jurisdictions that did not occur prior to the filing of this report, 100% of the common stock of Aptiv Solutions (“Aptiv”) for an initial cash consideration of $143.5 million. Aptiv offers full-service clinical trial consulting and regulatory support for drugs, medical devices and diagnostics with a specific focus on strategy to increase product development efficiency and productivity. It is a market leader in the integrated design and execution of adaptive clinical trials for exploratory and late phase development as well as being an industry leader in medical device and diagnostic development in key medical technology segments.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 Period Acquisitions - Clinical Trial Services Division of Cross Country Healthcare, Inc.</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February 15, 2013 the Company acquired the clinical trial services division of Cross Country Healthcare Inc. for an initial cash consideration of $51.9 million. The agreement provided for further consideration of up to $3.75 million which may become payable if certain performance milestones are achieved during the period ended December 31, 2013. Cross Country Healthcare’s Clinical Trial Services division includes US resourcing providers, ClinForce and Assent Consulting, whose services include contract staffing, permanent placement and functional service provision. The division also includes AKOS, a leading US and EU provider of pharmacovigilance and drug safety services. ClinForce and Assent have been combined with ICON’s functional service provision (“FSP”) division, DOCS, creating a leader in global resourcing and FSP, while AKOS will enhance the services offered by ICON’s medical and safety services team. Certain operating margin perfomance milestones in relation to ClinForce and Assent Consulting were not achieved during the period ended December 31, 2013 resulting in a reduction of $3.75 million to the contingent consideration.</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acquisition agreement also provided for certain working capital targets to be achieved by the clinical trial services division of Cross Country Healthcare, Inc on completion. In October 2013 the Company received $0.2 million on completion of this review.</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The acquisition of the clinical trial services division of Cross Country Healthcare, Inc has been accounted for as a business combination in accordance with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FASB ASC 805 Business Combinations. The following table summarizes the fair values of the assets acquired and the liabilities assumed: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w w:val="95"/>
              </w:rPr>
              <w:t>February 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71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6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Goodwill*</w:t>
            </w:r>
          </w:p>
        </w:tc>
        <w:tc>
          <w:tcPr>
            <w:tcW w:w="60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36,922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 customer relationships</w:t>
            </w:r>
          </w:p>
        </w:tc>
        <w:tc>
          <w:tcPr>
            <w:tcW w:w="60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Intangible asset – order backlog</w:t>
            </w:r>
          </w:p>
        </w:tc>
        <w:tc>
          <w:tcPr>
            <w:tcW w:w="60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0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Accounts receivable</w:t>
            </w:r>
          </w:p>
        </w:tc>
        <w:tc>
          <w:tcPr>
            <w:tcW w:w="60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Unbilled revenue</w:t>
            </w:r>
          </w:p>
        </w:tc>
        <w:tc>
          <w:tcPr>
            <w:tcW w:w="60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Prepayments and other current assets</w:t>
            </w:r>
          </w:p>
        </w:tc>
        <w:tc>
          <w:tcPr>
            <w:tcW w:w="60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60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Other liabilities</w:t>
            </w:r>
          </w:p>
        </w:tc>
        <w:tc>
          <w:tcPr>
            <w:tcW w:w="60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Non-current other liabilities</w:t>
            </w:r>
          </w:p>
        </w:tc>
        <w:tc>
          <w:tcPr>
            <w:tcW w:w="60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6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51,698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8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w:t>
            </w:r>
          </w:p>
        </w:tc>
        <w:tc>
          <w:tcPr>
            <w:tcW w:w="6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51,897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Working capital adjustment</w:t>
            </w:r>
          </w:p>
        </w:tc>
        <w:tc>
          <w:tcPr>
            <w:tcW w:w="60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6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51,698</w:t>
            </w: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6020" w:type="dxa"/>
            <w:vAlign w:val="bottom"/>
          </w:tcPr>
          <w:p>
            <w:pPr>
              <w:jc w:val="right"/>
              <w:ind w:right="4470"/>
              <w:spacing w:after="0"/>
              <w:rPr>
                <w:sz w:val="20"/>
                <w:szCs w:val="20"/>
                <w:color w:val="auto"/>
              </w:rPr>
            </w:pPr>
            <w:r>
              <w:rPr>
                <w:rFonts w:ascii="Arial" w:cs="Arial" w:eastAsia="Arial" w:hAnsi="Arial"/>
                <w:sz w:val="18"/>
                <w:szCs w:val="18"/>
                <w:color w:val="auto"/>
              </w:rPr>
              <w:t>8</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280" w:type="dxa"/>
            <w:vAlign w:val="bottom"/>
            <w:tcBorders>
              <w:bottom w:val="single" w:sz="8" w:color="808080"/>
            </w:tcBorders>
          </w:tcPr>
          <w:p>
            <w:pPr>
              <w:spacing w:after="0"/>
              <w:rPr>
                <w:sz w:val="10"/>
                <w:szCs w:val="10"/>
                <w:color w:val="auto"/>
              </w:rPr>
            </w:pPr>
          </w:p>
        </w:tc>
        <w:tc>
          <w:tcPr>
            <w:tcW w:w="602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 w:name="page10"/>
    <w:bookmarkEnd w:id="9"/>
    <w:p>
      <w:pPr>
        <w:ind w:right="60" w:firstLine="8"/>
        <w:spacing w:after="0" w:line="264" w:lineRule="auto"/>
        <w:tabs>
          <w:tab w:leader="none" w:pos="135" w:val="left"/>
        </w:tabs>
        <w:numPr>
          <w:ilvl w:val="0"/>
          <w:numId w:val="1"/>
        </w:numPr>
        <w:rPr>
          <w:rFonts w:ascii="Arial" w:cs="Arial" w:eastAsia="Arial" w:hAnsi="Arial"/>
          <w:sz w:val="18"/>
          <w:szCs w:val="18"/>
          <w:color w:val="auto"/>
        </w:rPr>
      </w:pPr>
      <w:r>
        <w:rPr>
          <w:rFonts w:ascii="Arial" w:cs="Arial" w:eastAsia="Arial" w:hAnsi="Arial"/>
          <w:sz w:val="18"/>
          <w:szCs w:val="18"/>
          <w:color w:val="auto"/>
        </w:rPr>
        <w:t>Goodwill represents the acquisition of an established workforce with experience in the clinical research industry, thereby allowing the Company to enhance its capabilities in global resourcing and FSP and also medical and safety services. Goodwill related to the US portion of the business acquired is tax deductible.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4. Restructuring and other items</w:t>
            </w:r>
          </w:p>
        </w:tc>
        <w:tc>
          <w:tcPr>
            <w:tcW w:w="2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280" w:type="dxa"/>
            <w:vAlign w:val="bottom"/>
            <w:gridSpan w:val="2"/>
          </w:tcPr>
          <w:p>
            <w:pPr>
              <w:spacing w:after="0"/>
              <w:rPr>
                <w:sz w:val="20"/>
                <w:szCs w:val="20"/>
                <w:color w:val="auto"/>
              </w:rPr>
            </w:pPr>
            <w:r>
              <w:rPr>
                <w:rFonts w:ascii="Arial" w:cs="Arial" w:eastAsia="Arial" w:hAnsi="Arial"/>
                <w:sz w:val="18"/>
                <w:szCs w:val="18"/>
                <w:color w:val="auto"/>
              </w:rPr>
              <w:t>Restructuring and other items recognized comprise:</w:t>
            </w:r>
          </w:p>
        </w:tc>
        <w:tc>
          <w:tcPr>
            <w:tcW w:w="2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180" w:type="dxa"/>
            <w:vAlign w:val="bottom"/>
            <w:gridSpan w:val="11"/>
          </w:tcPr>
          <w:p>
            <w:pPr>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gridSpan w:val="4"/>
          </w:tcPr>
          <w:p>
            <w:pPr>
              <w:spacing w:after="0" w:line="196" w:lineRule="exact"/>
              <w:rPr>
                <w:sz w:val="20"/>
                <w:szCs w:val="20"/>
                <w:color w:val="auto"/>
              </w:rPr>
            </w:pPr>
            <w:r>
              <w:rPr>
                <w:rFonts w:ascii="Arial" w:cs="Arial" w:eastAsia="Arial" w:hAnsi="Arial"/>
                <w:sz w:val="18"/>
                <w:szCs w:val="18"/>
                <w:b w:val="1"/>
                <w:bCs w:val="1"/>
                <w:color w:val="auto"/>
              </w:rPr>
              <w:t>March</w:t>
            </w:r>
          </w:p>
        </w:tc>
        <w:tc>
          <w:tcPr>
            <w:tcW w:w="740" w:type="dxa"/>
            <w:vAlign w:val="bottom"/>
          </w:tcPr>
          <w:p>
            <w:pPr>
              <w:spacing w:after="0"/>
              <w:rPr>
                <w:sz w:val="17"/>
                <w:szCs w:val="17"/>
                <w:color w:val="auto"/>
              </w:rPr>
            </w:pPr>
          </w:p>
        </w:tc>
        <w:tc>
          <w:tcPr>
            <w:tcW w:w="620" w:type="dxa"/>
            <w:vAlign w:val="bottom"/>
            <w:gridSpan w:val="5"/>
          </w:tcPr>
          <w:p>
            <w:pPr>
              <w:spacing w:after="0" w:line="196" w:lineRule="exact"/>
              <w:rPr>
                <w:sz w:val="20"/>
                <w:szCs w:val="20"/>
                <w:color w:val="auto"/>
              </w:rPr>
            </w:pPr>
            <w:r>
              <w:rPr>
                <w:rFonts w:ascii="Arial" w:cs="Arial" w:eastAsia="Arial" w:hAnsi="Arial"/>
                <w:sz w:val="18"/>
                <w:szCs w:val="18"/>
                <w:b w:val="1"/>
                <w:bCs w:val="1"/>
                <w:color w:val="auto"/>
              </w:rPr>
              <w:t>March</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Borders>
              <w:top w:val="single" w:sz="8" w:color="auto"/>
            </w:tcBorders>
            <w:gridSpan w:val="4"/>
          </w:tcPr>
          <w:p>
            <w:pPr>
              <w:jc w:val="right"/>
              <w:spacing w:after="0" w:line="196" w:lineRule="exact"/>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360" w:type="dxa"/>
            <w:vAlign w:val="bottom"/>
            <w:gridSpan w:val="2"/>
          </w:tcPr>
          <w:p>
            <w:pPr>
              <w:spacing w:after="0"/>
              <w:rPr>
                <w:sz w:val="17"/>
                <w:szCs w:val="17"/>
                <w:color w:val="auto"/>
              </w:rPr>
            </w:pP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w w:val="84"/>
              </w:rPr>
              <w:t>2014</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5"/>
          </w:tcPr>
          <w:p>
            <w:pPr>
              <w:jc w:val="right"/>
              <w:ind w:right="90"/>
              <w:spacing w:after="0"/>
              <w:rPr>
                <w:sz w:val="20"/>
                <w:szCs w:val="20"/>
                <w:color w:val="auto"/>
              </w:rPr>
            </w:pPr>
            <w:r>
              <w:rPr>
                <w:rFonts w:ascii="Arial" w:cs="Arial" w:eastAsia="Arial" w:hAnsi="Arial"/>
                <w:sz w:val="18"/>
                <w:szCs w:val="18"/>
                <w:b w:val="1"/>
                <w:bCs w:val="1"/>
                <w:color w:val="auto"/>
                <w:w w:val="93"/>
              </w:rPr>
              <w:t>(in thousands)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Restructuring charges</w:t>
            </w:r>
          </w:p>
        </w:tc>
        <w:tc>
          <w:tcPr>
            <w:tcW w:w="29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4,412</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6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2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4,412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6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 Period Restructuring Charges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Restructuring and other items of $9.0 million were recorded during the year ended December 31, 2013. During Q1 and Q2 2013 the Company conducted a review of its operations. This review resulted in the adoption of an initial restructuring plan, which included the closure of its Phase I facility in Omaha, Nebraska. This followed the expansion of the Company’s Phase I facility in San Antonio, Texas and the consolidation of the Company’s US Phase I capabilities in this location. The restructuring plan also included resource rationalizations in certain areas of the business to improve resource utilization. A further restructuring plan was also adopted during 2013 which resulted in resource rationalizations in order to improve operating efficiencies and reduce expenses. Details of the movement in this restructuring plan recognized are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Workforce</w:t>
            </w:r>
          </w:p>
        </w:tc>
        <w:tc>
          <w:tcPr>
            <w:tcW w:w="46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b w:val="1"/>
                <w:bCs w:val="1"/>
                <w:color w:val="auto"/>
              </w:rPr>
              <w:t>Office</w:t>
            </w:r>
          </w:p>
        </w:tc>
        <w:tc>
          <w:tcPr>
            <w:tcW w:w="4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16"/>
        </w:trPr>
        <w:tc>
          <w:tcPr>
            <w:tcW w:w="42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w w:val="95"/>
              </w:rPr>
              <w:t>Reductions</w:t>
            </w:r>
          </w:p>
        </w:tc>
        <w:tc>
          <w:tcPr>
            <w:tcW w:w="1360" w:type="dxa"/>
            <w:vAlign w:val="bottom"/>
            <w:gridSpan w:val="2"/>
          </w:tcPr>
          <w:p>
            <w:pPr>
              <w:ind w:left="80"/>
              <w:spacing w:after="0"/>
              <w:rPr>
                <w:sz w:val="20"/>
                <w:szCs w:val="20"/>
                <w:color w:val="auto"/>
              </w:rPr>
            </w:pPr>
            <w:r>
              <w:rPr>
                <w:rFonts w:ascii="Arial" w:cs="Arial" w:eastAsia="Arial" w:hAnsi="Arial"/>
                <w:sz w:val="18"/>
                <w:szCs w:val="18"/>
                <w:b w:val="1"/>
                <w:bCs w:val="1"/>
                <w:color w:val="auto"/>
                <w:w w:val="96"/>
              </w:rPr>
              <w:t>Consolidations</w:t>
            </w: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4"/>
        </w:trPr>
        <w:tc>
          <w:tcPr>
            <w:tcW w:w="428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w w:val="96"/>
              </w:rPr>
              <w:t>(in thousands)</w:t>
            </w: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16"/>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Q1 Plan - Initial provision recognized</w:t>
            </w:r>
          </w:p>
        </w:tc>
        <w:tc>
          <w:tcPr>
            <w:tcW w:w="3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3,903</w:t>
            </w:r>
          </w:p>
        </w:tc>
        <w:tc>
          <w:tcPr>
            <w:tcW w:w="4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509</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4,412</w:t>
            </w:r>
          </w:p>
        </w:tc>
      </w:tr>
      <w:tr>
        <w:trPr>
          <w:trHeight w:val="216"/>
        </w:trPr>
        <w:tc>
          <w:tcPr>
            <w:tcW w:w="4280" w:type="dxa"/>
            <w:vAlign w:val="bottom"/>
          </w:tcPr>
          <w:p>
            <w:pPr>
              <w:ind w:left="180"/>
              <w:spacing w:after="0"/>
              <w:rPr>
                <w:sz w:val="20"/>
                <w:szCs w:val="20"/>
                <w:color w:val="auto"/>
              </w:rPr>
            </w:pPr>
            <w:r>
              <w:rPr>
                <w:rFonts w:ascii="Arial" w:cs="Arial" w:eastAsia="Arial" w:hAnsi="Arial"/>
                <w:sz w:val="18"/>
                <w:szCs w:val="18"/>
                <w:color w:val="auto"/>
              </w:rPr>
              <w:t>Q2 Plan - Initial provision recognized</w:t>
            </w:r>
          </w:p>
        </w:tc>
        <w:tc>
          <w:tcPr>
            <w:tcW w:w="33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4,228</w:t>
            </w:r>
          </w:p>
        </w:tc>
        <w:tc>
          <w:tcPr>
            <w:tcW w:w="46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393</w:t>
            </w:r>
          </w:p>
        </w:tc>
        <w:tc>
          <w:tcPr>
            <w:tcW w:w="4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4,621</w:t>
            </w:r>
          </w:p>
        </w:tc>
      </w:tr>
      <w:tr>
        <w:trPr>
          <w:trHeight w:val="223"/>
        </w:trPr>
        <w:tc>
          <w:tcPr>
            <w:tcW w:w="42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Residual balance from prior periods</w:t>
            </w:r>
          </w:p>
        </w:tc>
        <w:tc>
          <w:tcPr>
            <w:tcW w:w="3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130</w:t>
            </w: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r>
      <w:tr>
        <w:trPr>
          <w:trHeight w:val="216"/>
        </w:trPr>
        <w:tc>
          <w:tcPr>
            <w:tcW w:w="4280" w:type="dxa"/>
            <w:vAlign w:val="bottom"/>
          </w:tcPr>
          <w:p>
            <w:pPr>
              <w:ind w:left="180"/>
              <w:spacing w:after="0"/>
              <w:rPr>
                <w:sz w:val="20"/>
                <w:szCs w:val="20"/>
                <w:color w:val="auto"/>
              </w:rPr>
            </w:pPr>
            <w:r>
              <w:rPr>
                <w:rFonts w:ascii="Arial" w:cs="Arial" w:eastAsia="Arial" w:hAnsi="Arial"/>
                <w:sz w:val="18"/>
                <w:szCs w:val="18"/>
                <w:color w:val="auto"/>
              </w:rPr>
              <w:t>Total provision recognized</w:t>
            </w:r>
          </w:p>
        </w:tc>
        <w:tc>
          <w:tcPr>
            <w:tcW w:w="33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8,131</w:t>
            </w:r>
          </w:p>
        </w:tc>
        <w:tc>
          <w:tcPr>
            <w:tcW w:w="46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1,032</w:t>
            </w:r>
          </w:p>
        </w:tc>
        <w:tc>
          <w:tcPr>
            <w:tcW w:w="4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9,163</w:t>
            </w:r>
          </w:p>
        </w:tc>
      </w:tr>
      <w:tr>
        <w:trPr>
          <w:trHeight w:val="216"/>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payments</w:t>
            </w:r>
          </w:p>
        </w:tc>
        <w:tc>
          <w:tcPr>
            <w:tcW w:w="3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(6,544)</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(6,743)</w:t>
            </w:r>
          </w:p>
        </w:tc>
      </w:tr>
      <w:tr>
        <w:trPr>
          <w:trHeight w:val="216"/>
        </w:trPr>
        <w:tc>
          <w:tcPr>
            <w:tcW w:w="4280" w:type="dxa"/>
            <w:vAlign w:val="bottom"/>
          </w:tcPr>
          <w:p>
            <w:pPr>
              <w:ind w:left="180"/>
              <w:spacing w:after="0"/>
              <w:rPr>
                <w:sz w:val="20"/>
                <w:szCs w:val="20"/>
                <w:color w:val="auto"/>
              </w:rPr>
            </w:pPr>
            <w:r>
              <w:rPr>
                <w:rFonts w:ascii="Arial" w:cs="Arial" w:eastAsia="Arial" w:hAnsi="Arial"/>
                <w:sz w:val="18"/>
                <w:szCs w:val="18"/>
                <w:color w:val="auto"/>
              </w:rPr>
              <w:t>Amounts released</w:t>
            </w:r>
          </w:p>
        </w:tc>
        <w:tc>
          <w:tcPr>
            <w:tcW w:w="3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w:t>
            </w:r>
          </w:p>
        </w:tc>
        <w:tc>
          <w:tcPr>
            <w:tcW w:w="46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23"/>
        </w:trPr>
        <w:tc>
          <w:tcPr>
            <w:tcW w:w="42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Foreign exchange movement</w:t>
            </w:r>
          </w:p>
        </w:tc>
        <w:tc>
          <w:tcPr>
            <w:tcW w:w="3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42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3"/>
        </w:trPr>
        <w:tc>
          <w:tcPr>
            <w:tcW w:w="42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Provision at December 31, 2013</w:t>
            </w:r>
          </w:p>
        </w:tc>
        <w:tc>
          <w:tcPr>
            <w:tcW w:w="3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1,491</w:t>
            </w:r>
          </w:p>
        </w:tc>
        <w:tc>
          <w:tcPr>
            <w:tcW w:w="4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833</w:t>
            </w:r>
          </w:p>
        </w:tc>
        <w:tc>
          <w:tcPr>
            <w:tcW w:w="4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2,324</w:t>
            </w:r>
          </w:p>
        </w:tc>
      </w:tr>
      <w:tr>
        <w:trPr>
          <w:trHeight w:val="216"/>
        </w:trPr>
        <w:tc>
          <w:tcPr>
            <w:tcW w:w="4280" w:type="dxa"/>
            <w:vAlign w:val="bottom"/>
          </w:tcPr>
          <w:p>
            <w:pPr>
              <w:ind w:left="180"/>
              <w:spacing w:after="0"/>
              <w:rPr>
                <w:sz w:val="20"/>
                <w:szCs w:val="20"/>
                <w:color w:val="auto"/>
              </w:rPr>
            </w:pPr>
            <w:r>
              <w:rPr>
                <w:rFonts w:ascii="Arial" w:cs="Arial" w:eastAsia="Arial" w:hAnsi="Arial"/>
                <w:sz w:val="18"/>
                <w:szCs w:val="18"/>
                <w:color w:val="auto"/>
              </w:rPr>
              <w:t>Cash payments</w:t>
            </w:r>
          </w:p>
        </w:tc>
        <w:tc>
          <w:tcPr>
            <w:tcW w:w="3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(645)</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(124)</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(769)</w:t>
            </w:r>
          </w:p>
        </w:tc>
      </w:tr>
      <w:tr>
        <w:trPr>
          <w:trHeight w:val="223"/>
        </w:trPr>
        <w:tc>
          <w:tcPr>
            <w:tcW w:w="42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Foreign exchange movement</w:t>
            </w:r>
          </w:p>
        </w:tc>
        <w:tc>
          <w:tcPr>
            <w:tcW w:w="3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w:t>
            </w: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16"/>
        </w:trPr>
        <w:tc>
          <w:tcPr>
            <w:tcW w:w="42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57"/>
        </w:trPr>
        <w:tc>
          <w:tcPr>
            <w:tcW w:w="42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Provision at March 31, 2014</w:t>
            </w:r>
          </w:p>
        </w:tc>
        <w:tc>
          <w:tcPr>
            <w:tcW w:w="3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849</w:t>
            </w:r>
          </w:p>
        </w:tc>
        <w:tc>
          <w:tcPr>
            <w:tcW w:w="4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709</w:t>
            </w:r>
          </w:p>
        </w:tc>
        <w:tc>
          <w:tcPr>
            <w:tcW w:w="4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1,558</w:t>
            </w:r>
          </w:p>
        </w:tc>
      </w:tr>
      <w:tr>
        <w:trPr>
          <w:trHeight w:val="601"/>
        </w:trPr>
        <w:tc>
          <w:tcPr>
            <w:tcW w:w="4280" w:type="dxa"/>
            <w:vAlign w:val="bottom"/>
          </w:tcPr>
          <w:p>
            <w:pPr>
              <w:spacing w:after="0"/>
              <w:rPr>
                <w:sz w:val="24"/>
                <w:szCs w:val="24"/>
                <w:color w:val="auto"/>
              </w:rPr>
            </w:pPr>
          </w:p>
        </w:tc>
        <w:tc>
          <w:tcPr>
            <w:tcW w:w="3360" w:type="dxa"/>
            <w:vAlign w:val="bottom"/>
          </w:tcPr>
          <w:p>
            <w:pPr>
              <w:jc w:val="right"/>
              <w:ind w:right="1790"/>
              <w:spacing w:after="0"/>
              <w:rPr>
                <w:sz w:val="20"/>
                <w:szCs w:val="20"/>
                <w:color w:val="auto"/>
              </w:rPr>
            </w:pPr>
            <w:r>
              <w:rPr>
                <w:rFonts w:ascii="Arial" w:cs="Arial" w:eastAsia="Arial" w:hAnsi="Arial"/>
                <w:sz w:val="18"/>
                <w:szCs w:val="18"/>
                <w:color w:val="auto"/>
              </w:rPr>
              <w:t>9</w:t>
            </w: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18"/>
        </w:trPr>
        <w:tc>
          <w:tcPr>
            <w:tcW w:w="4280" w:type="dxa"/>
            <w:vAlign w:val="bottom"/>
            <w:tcBorders>
              <w:bottom w:val="single" w:sz="8" w:color="808080"/>
            </w:tcBorders>
          </w:tcPr>
          <w:p>
            <w:pPr>
              <w:spacing w:after="0"/>
              <w:rPr>
                <w:sz w:val="10"/>
                <w:szCs w:val="10"/>
                <w:color w:val="auto"/>
              </w:rPr>
            </w:pPr>
          </w:p>
        </w:tc>
        <w:tc>
          <w:tcPr>
            <w:tcW w:w="33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5. Income Taxes</w:t>
            </w:r>
          </w:p>
        </w:tc>
        <w:tc>
          <w:tcPr>
            <w:tcW w:w="1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400" w:type="dxa"/>
            <w:vAlign w:val="bottom"/>
            <w:gridSpan w:val="2"/>
          </w:tcPr>
          <w:p>
            <w:pPr>
              <w:spacing w:after="0"/>
              <w:rPr>
                <w:sz w:val="20"/>
                <w:szCs w:val="20"/>
                <w:color w:val="auto"/>
              </w:rPr>
            </w:pPr>
            <w:r>
              <w:rPr>
                <w:rFonts w:ascii="Arial" w:cs="Arial" w:eastAsia="Arial" w:hAnsi="Arial"/>
                <w:sz w:val="18"/>
                <w:szCs w:val="18"/>
                <w:color w:val="auto"/>
              </w:rPr>
              <w:t>Income taxes recognized during the three months ended March 31, 2014 comprise:</w:t>
            </w:r>
          </w:p>
        </w:tc>
        <w:tc>
          <w:tcPr>
            <w:tcW w:w="1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80" w:type="dxa"/>
            <w:vAlign w:val="bottom"/>
            <w:gridSpan w:val="8"/>
          </w:tcPr>
          <w:p>
            <w:pPr>
              <w:jc w:val="right"/>
              <w:ind w:right="540"/>
              <w:spacing w:after="0"/>
              <w:rPr>
                <w:sz w:val="20"/>
                <w:szCs w:val="20"/>
                <w:color w:val="auto"/>
              </w:rPr>
            </w:pPr>
            <w:r>
              <w:rPr>
                <w:rFonts w:ascii="Arial" w:cs="Arial" w:eastAsia="Arial" w:hAnsi="Arial"/>
                <w:sz w:val="18"/>
                <w:szCs w:val="18"/>
                <w:b w:val="1"/>
                <w:bCs w:val="1"/>
                <w:color w:val="auto"/>
                <w:w w:val="90"/>
              </w:rPr>
              <w:t>Three Months Ended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3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78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w w:val="91"/>
              </w:rPr>
              <w:t>March 31,</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w w:val="93"/>
              </w:rPr>
              <w:t>March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420" w:type="dxa"/>
            <w:vAlign w:val="bottom"/>
            <w:gridSpan w:val="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4"/>
              </w:rPr>
              <w:t>2014</w:t>
            </w:r>
          </w:p>
        </w:tc>
        <w:tc>
          <w:tcPr>
            <w:tcW w:w="440" w:type="dxa"/>
            <w:vAlign w:val="bottom"/>
          </w:tcPr>
          <w:p>
            <w:pPr>
              <w:spacing w:after="0"/>
              <w:rPr>
                <w:sz w:val="17"/>
                <w:szCs w:val="17"/>
                <w:color w:val="auto"/>
              </w:rPr>
            </w:pPr>
          </w:p>
        </w:tc>
        <w:tc>
          <w:tcPr>
            <w:tcW w:w="102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3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80" w:type="dxa"/>
            <w:vAlign w:val="bottom"/>
            <w:gridSpan w:val="8"/>
          </w:tcPr>
          <w:p>
            <w:pPr>
              <w:jc w:val="right"/>
              <w:ind w:right="80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 before restructuring and other items</w:t>
            </w:r>
          </w:p>
        </w:tc>
        <w:tc>
          <w:tcPr>
            <w:tcW w:w="17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6,894</w:t>
            </w:r>
          </w:p>
        </w:tc>
        <w:tc>
          <w:tcPr>
            <w:tcW w:w="4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5,021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Tax impact of restructuring and other items</w:t>
            </w:r>
          </w:p>
        </w:tc>
        <w:tc>
          <w:tcPr>
            <w:tcW w:w="17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8"/>
                <w:szCs w:val="18"/>
                <w:color w:val="auto"/>
              </w:rPr>
              <w:t>(1,255)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7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Provision for income taxes after restructuring and other items</w:t>
            </w:r>
          </w:p>
        </w:tc>
        <w:tc>
          <w:tcPr>
            <w:tcW w:w="1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6,894</w:t>
            </w:r>
          </w:p>
        </w:tc>
        <w:tc>
          <w:tcPr>
            <w:tcW w:w="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3,766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3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at March 31, 2014 the Company maintains a $6.8 million liability (December 31, 2013: $6.7 million) for unrecognized tax benefit, which is comprised of $5.9 million (December 31, 2013: $5.8 million) related to items generating unrecognized tax benefits and $0.9 million (December 31, 2013: $0.9 million) for interest and related penalties to such items. The Company recognizes interest accrued on unrecognized tax benefits as an additional income tax expense.</w:t>
      </w:r>
    </w:p>
    <w:p>
      <w:pPr>
        <w:spacing w:after="0" w:line="17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has analyzed filing positions in all of the significant federal, state and foreign jurisdictions where it is required to file income tax returns, as well as open tax years in these jurisdictions. The only periods subject to examination by the major tax jurisdictions where the Company does business are 2008 through 2013 tax years. The Company does not believe that the outcome of any examination will have a material impact on its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Net income per ordinary share</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Basic net income per ordinary share has been computed by dividing net income available to ordinary shareholders by the weighted average number of ordinary shares outstanding during the period. 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 There is no difference in net income used for basic and diluted net income per ordinary share.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the number of shares used in the computation of basic and diluted net income per ordinary share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0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80" w:type="dxa"/>
            <w:vAlign w:val="bottom"/>
            <w:gridSpan w:val="8"/>
          </w:tcPr>
          <w:p>
            <w:pPr>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60" w:type="dxa"/>
            <w:vAlign w:val="bottom"/>
            <w:gridSpan w:val="4"/>
          </w:tcPr>
          <w:p>
            <w:pPr>
              <w:jc w:val="right"/>
              <w:ind w:right="280"/>
              <w:spacing w:after="0" w:line="196" w:lineRule="exact"/>
              <w:rPr>
                <w:sz w:val="20"/>
                <w:szCs w:val="20"/>
                <w:color w:val="auto"/>
              </w:rPr>
            </w:pPr>
            <w:r>
              <w:rPr>
                <w:rFonts w:ascii="Arial" w:cs="Arial" w:eastAsia="Arial" w:hAnsi="Arial"/>
                <w:sz w:val="18"/>
                <w:szCs w:val="18"/>
                <w:b w:val="1"/>
                <w:bCs w:val="1"/>
                <w:color w:val="auto"/>
                <w:w w:val="91"/>
              </w:rPr>
              <w:t>March 31,</w:t>
            </w:r>
          </w:p>
        </w:tc>
        <w:tc>
          <w:tcPr>
            <w:tcW w:w="1180" w:type="dxa"/>
            <w:vAlign w:val="bottom"/>
            <w:gridSpan w:val="5"/>
          </w:tcPr>
          <w:p>
            <w:pPr>
              <w:ind w:left="280"/>
              <w:spacing w:after="0" w:line="196" w:lineRule="exact"/>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2014</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ordinary shares outstanding for basic net income per ordinary share</w:t>
            </w:r>
          </w:p>
        </w:tc>
        <w:tc>
          <w:tcPr>
            <w:tcW w:w="218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61,776,643</w:t>
            </w:r>
          </w:p>
        </w:tc>
        <w:tc>
          <w:tcPr>
            <w:tcW w:w="11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60,404,242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Effect of dilutive share options outstanding</w:t>
            </w:r>
          </w:p>
        </w:tc>
        <w:tc>
          <w:tcPr>
            <w:tcW w:w="19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1,449,154</w:t>
            </w: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919,352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Weighted average number of ordinary shares for diluted net income per ordinary share</w:t>
            </w:r>
          </w:p>
        </w:tc>
        <w:tc>
          <w:tcPr>
            <w:tcW w:w="218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8"/>
                <w:szCs w:val="18"/>
                <w:color w:val="auto"/>
              </w:rPr>
              <w:t>63,225,797</w:t>
            </w:r>
          </w:p>
        </w:tc>
        <w:tc>
          <w:tcPr>
            <w:tcW w:w="118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61,323,594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8060" w:type="dxa"/>
            <w:vAlign w:val="bottom"/>
            <w:gridSpan w:val="2"/>
          </w:tcPr>
          <w:p>
            <w:pPr>
              <w:jc w:val="right"/>
              <w:ind w:right="2170"/>
              <w:spacing w:after="0"/>
              <w:rPr>
                <w:sz w:val="20"/>
                <w:szCs w:val="20"/>
                <w:color w:val="auto"/>
              </w:rPr>
            </w:pPr>
            <w:r>
              <w:rPr>
                <w:rFonts w:ascii="Arial" w:cs="Arial" w:eastAsia="Arial" w:hAnsi="Arial"/>
                <w:sz w:val="18"/>
                <w:szCs w:val="18"/>
                <w:color w:val="auto"/>
              </w:rPr>
              <w:t>10</w:t>
            </w: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7. Share-based Awards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Options</w:t>
      </w:r>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July 21, 2008 the Company adopted the Employee Share Option Plan 2008 (the “2008 Employee Plan”) pursuant to which the Compensation and Organization Committee of the Company’s Board of Directors may grant options to any employee, or any director holding a salaried office or employment with the Company or a Subsidiary for the purchase of ordinary shares. On the same date, the Company also adopted the Consultants Share Option Plan 2008 (the “2008 Consultants Plan”), pursuant to which the Compensation and Organization Committee of the Company’s Board of Directors may grant options to any consultant, adviser or non-executive director retained by the Company or any Subsidiary for the purchase of ordinary shares.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option granted under the 2008 Employee Plan or the 2008 Consultants Plan (together the “2008 Option Plans”) will be an employee stock option, or NSO, as described in Section 422 or 423 of the Internal Revenue Code. Each grant of an option under the 2008 Options Plans will be evidenced by a Stock Option Agreement between the optionee and the Company. The exercise price will be specified in each Stock Option Agreement, however option prices will not be less than 100% of the fair market value of an ordinary share on the date the option is granted.</w:t>
      </w:r>
    </w:p>
    <w:p>
      <w:pPr>
        <w:spacing w:after="0" w:line="21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An aggregate of 6.0 million ordinary shares have been reserved under the 2008 Employee Plan, as reduced by any shares issued or to be issued pursuant to options granted under the 2008 Consultants Plan, under which a limit of 400,000 shares applies. Further, the maximum number of ordinary shares with respect to which options may be granted under the 2008 Employee Option Plan, during any calendar year to any employee shall be 400,000 ordinary shares. There is no individual limit under the 2008 Consultants Plan. No options may be granted under the 2008 Option Plans after July 21, 2018.</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17, 2003 the Company adopted the Share Option Plan 2003 (the “2003 Share Option Plan”) pursuant to which the Compensation and Organization Committee of the Board could grant options to officers and other employees of the Company or its subsidiaries for the purchase of ordinary shares. An aggregate of 6.0 million ordinary shares were reserved under the 2003 Share Option Plan; and, in no event could the number of ordinary shares issued pursuant to options awarded under this plan exceed 10% of the outstanding shares, as defined in the 2003 Share Option Plan, at the time of the grant, unless the Board expressly determined otherwise. Further, the maximum number of ordinary shares with respect to which options could be granted under the 2003 Share Option Plan during any calendar year to any employee was 400,000 ordinary shares. The 2003 Share Option Plan expired on January 17, 2013. No new options may be granted under this plan.</w:t>
      </w:r>
    </w:p>
    <w:p>
      <w:pPr>
        <w:spacing w:after="0" w:line="2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Share option awards are granted with an exercise price equal to the market price of the Company’s shares at date of grant. Share options typically vest over a period of five years from date of grant and expire eight years from date of grant. The maximum contractual term of options outstanding at March 31, 2014 is eight years.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option activity for the three months ended March 31, 2014:</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3300" w:type="dxa"/>
            <w:vAlign w:val="bottom"/>
          </w:tcPr>
          <w:p>
            <w:pPr>
              <w:jc w:val="right"/>
              <w:ind w:right="50"/>
              <w:spacing w:after="0"/>
              <w:rPr>
                <w:sz w:val="20"/>
                <w:szCs w:val="20"/>
                <w:color w:val="auto"/>
              </w:rPr>
            </w:pPr>
            <w:r>
              <w:rPr>
                <w:rFonts w:ascii="Arial" w:cs="Arial" w:eastAsia="Arial" w:hAnsi="Arial"/>
                <w:sz w:val="18"/>
                <w:szCs w:val="18"/>
                <w:b w:val="1"/>
                <w:bCs w:val="1"/>
                <w:color w:val="auto"/>
              </w:rPr>
              <w:t>Options</w:t>
            </w:r>
          </w:p>
        </w:tc>
        <w:tc>
          <w:tcPr>
            <w:tcW w:w="3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Weighted</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3300" w:type="dxa"/>
            <w:vAlign w:val="bottom"/>
          </w:tcPr>
          <w:p>
            <w:pPr>
              <w:jc w:val="right"/>
              <w:ind w:right="50"/>
              <w:spacing w:after="0"/>
              <w:rPr>
                <w:sz w:val="20"/>
                <w:szCs w:val="20"/>
                <w:color w:val="auto"/>
              </w:rPr>
            </w:pPr>
            <w:r>
              <w:rPr>
                <w:rFonts w:ascii="Arial" w:cs="Arial" w:eastAsia="Arial" w:hAnsi="Arial"/>
                <w:sz w:val="18"/>
                <w:szCs w:val="18"/>
                <w:b w:val="1"/>
                <w:bCs w:val="1"/>
                <w:color w:val="auto"/>
              </w:rPr>
              <w:t>Outstanding</w:t>
            </w:r>
          </w:p>
        </w:tc>
        <w:tc>
          <w:tcPr>
            <w:tcW w:w="3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Average</w:t>
            </w:r>
          </w:p>
        </w:tc>
        <w:tc>
          <w:tcPr>
            <w:tcW w:w="32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Weighted</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Remaining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3300" w:type="dxa"/>
            <w:vAlign w:val="bottom"/>
          </w:tcPr>
          <w:p>
            <w:pPr>
              <w:jc w:val="right"/>
              <w:ind w:right="50"/>
              <w:spacing w:after="0"/>
              <w:rPr>
                <w:sz w:val="20"/>
                <w:szCs w:val="20"/>
                <w:color w:val="auto"/>
              </w:rPr>
            </w:pPr>
            <w:r>
              <w:rPr>
                <w:rFonts w:ascii="Arial" w:cs="Arial" w:eastAsia="Arial" w:hAnsi="Arial"/>
                <w:sz w:val="18"/>
                <w:szCs w:val="18"/>
                <w:b w:val="1"/>
                <w:bCs w:val="1"/>
                <w:color w:val="auto"/>
              </w:rPr>
              <w:t>Number of</w:t>
            </w:r>
          </w:p>
        </w:tc>
        <w:tc>
          <w:tcPr>
            <w:tcW w:w="3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Exercise</w:t>
            </w:r>
          </w:p>
        </w:tc>
        <w:tc>
          <w:tcPr>
            <w:tcW w:w="32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Average</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Contractual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3300" w:type="dxa"/>
            <w:vAlign w:val="bottom"/>
          </w:tcPr>
          <w:p>
            <w:pPr>
              <w:jc w:val="right"/>
              <w:ind w:right="50"/>
              <w:spacing w:after="0"/>
              <w:rPr>
                <w:sz w:val="20"/>
                <w:szCs w:val="20"/>
                <w:color w:val="auto"/>
              </w:rPr>
            </w:pPr>
            <w:r>
              <w:rPr>
                <w:rFonts w:ascii="Arial" w:cs="Arial" w:eastAsia="Arial" w:hAnsi="Arial"/>
                <w:sz w:val="18"/>
                <w:szCs w:val="18"/>
                <w:b w:val="1"/>
                <w:bCs w:val="1"/>
                <w:color w:val="auto"/>
              </w:rPr>
              <w:t>Shares</w:t>
            </w:r>
          </w:p>
        </w:tc>
        <w:tc>
          <w:tcPr>
            <w:tcW w:w="3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Price</w:t>
            </w:r>
          </w:p>
        </w:tc>
        <w:tc>
          <w:tcPr>
            <w:tcW w:w="320" w:type="dxa"/>
            <w:vAlign w:val="bottom"/>
          </w:tcPr>
          <w:p>
            <w:pPr>
              <w:spacing w:after="0"/>
              <w:rPr>
                <w:sz w:val="20"/>
                <w:szCs w:val="20"/>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Fair Value</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Life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December 31, 2013</w:t>
            </w:r>
          </w:p>
        </w:tc>
        <w:tc>
          <w:tcPr>
            <w:tcW w:w="3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2,973,788</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24.20</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9.57</w:t>
            </w:r>
          </w:p>
        </w:tc>
        <w:tc>
          <w:tcPr>
            <w:tcW w:w="12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3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245,514</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48.12</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14.95</w:t>
            </w: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Exercised</w:t>
            </w:r>
          </w:p>
        </w:tc>
        <w:tc>
          <w:tcPr>
            <w:tcW w:w="3300" w:type="dxa"/>
            <w:vAlign w:val="bottom"/>
          </w:tcPr>
          <w:p>
            <w:pPr>
              <w:jc w:val="right"/>
              <w:spacing w:after="0"/>
              <w:rPr>
                <w:sz w:val="20"/>
                <w:szCs w:val="20"/>
                <w:color w:val="auto"/>
              </w:rPr>
            </w:pPr>
            <w:r>
              <w:rPr>
                <w:rFonts w:ascii="Arial" w:cs="Arial" w:eastAsia="Arial" w:hAnsi="Arial"/>
                <w:sz w:val="18"/>
                <w:szCs w:val="18"/>
                <w:color w:val="auto"/>
              </w:rPr>
              <w:t>(408,226)</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24.06</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9.38</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Forfeited</w:t>
            </w:r>
          </w:p>
        </w:tc>
        <w:tc>
          <w:tcPr>
            <w:tcW w:w="3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(106,514)</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20.61</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8.47</w:t>
            </w:r>
          </w:p>
        </w:tc>
        <w:tc>
          <w:tcPr>
            <w:tcW w:w="12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March 31, 2014</w:t>
            </w:r>
          </w:p>
        </w:tc>
        <w:tc>
          <w:tcPr>
            <w:tcW w:w="3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2,704,562</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26.53</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10.13</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Exercisable at March 31, 2014</w:t>
            </w:r>
          </w:p>
        </w:tc>
        <w:tc>
          <w:tcPr>
            <w:tcW w:w="3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1,347,012</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24.81</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8.81</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817"/>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300" w:type="dxa"/>
            <w:vAlign w:val="bottom"/>
          </w:tcPr>
          <w:p>
            <w:pPr>
              <w:jc w:val="right"/>
              <w:ind w:right="1490"/>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060" w:type="dxa"/>
            <w:vAlign w:val="bottom"/>
            <w:tcBorders>
              <w:bottom w:val="single" w:sz="8" w:color="808080"/>
            </w:tcBorders>
          </w:tcPr>
          <w:p>
            <w:pPr>
              <w:spacing w:after="0"/>
              <w:rPr>
                <w:sz w:val="10"/>
                <w:szCs w:val="10"/>
                <w:color w:val="auto"/>
              </w:rPr>
            </w:pPr>
          </w:p>
        </w:tc>
        <w:tc>
          <w:tcPr>
            <w:tcW w:w="33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2" w:name="page13"/>
    <w:bookmarkEnd w:id="12"/>
    <w:p>
      <w:pPr>
        <w:jc w:val="both"/>
        <w:spacing w:after="0" w:line="257" w:lineRule="auto"/>
        <w:rPr>
          <w:sz w:val="20"/>
          <w:szCs w:val="20"/>
          <w:color w:val="auto"/>
        </w:rPr>
      </w:pPr>
      <w:r>
        <w:rPr>
          <w:rFonts w:ascii="Arial" w:cs="Arial" w:eastAsia="Arial" w:hAnsi="Arial"/>
          <w:sz w:val="18"/>
          <w:szCs w:val="18"/>
          <w:color w:val="auto"/>
        </w:rPr>
        <w:t>The Company has granted options with fair values ranging from $3.68 to $15.03 per option or a weighted average fair value of $9.02 per option. The Company issues ordinary shares for all options exercised. The total amount of fully vested share options which remained outstanding at March 31, 2014, was 1,347,012. Fully vested share options at March 31, 2014, have an average remaining contractual term of 3.19 years, an average exercise price of $24.81 and a total intrinsic value of $30.6 million. The total intrinsic value of options exercised during the three months ended March 31, 2014 was $8.9 million (March 31, 2013: $3.5 million).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movement in non-vested share options for the three months ended March 31, 2014:</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3260" w:type="dxa"/>
            <w:vAlign w:val="bottom"/>
          </w:tcPr>
          <w:p>
            <w:pPr>
              <w:jc w:val="right"/>
              <w:ind w:right="50"/>
              <w:spacing w:after="0"/>
              <w:rPr>
                <w:sz w:val="20"/>
                <w:szCs w:val="20"/>
                <w:color w:val="auto"/>
              </w:rPr>
            </w:pPr>
            <w:r>
              <w:rPr>
                <w:rFonts w:ascii="Arial" w:cs="Arial" w:eastAsia="Arial" w:hAnsi="Arial"/>
                <w:sz w:val="18"/>
                <w:szCs w:val="18"/>
                <w:b w:val="1"/>
                <w:bCs w:val="1"/>
                <w:color w:val="auto"/>
              </w:rPr>
              <w:t>Options</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3260" w:type="dxa"/>
            <w:vAlign w:val="bottom"/>
          </w:tcPr>
          <w:p>
            <w:pPr>
              <w:jc w:val="right"/>
              <w:ind w:right="50"/>
              <w:spacing w:after="0"/>
              <w:rPr>
                <w:sz w:val="20"/>
                <w:szCs w:val="20"/>
                <w:color w:val="auto"/>
              </w:rPr>
            </w:pPr>
            <w:r>
              <w:rPr>
                <w:rFonts w:ascii="Arial" w:cs="Arial" w:eastAsia="Arial" w:hAnsi="Arial"/>
                <w:sz w:val="18"/>
                <w:szCs w:val="18"/>
                <w:b w:val="1"/>
                <w:bCs w:val="1"/>
                <w:color w:val="auto"/>
              </w:rPr>
              <w:t>Outstanding</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Weighted</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3260" w:type="dxa"/>
            <w:vAlign w:val="bottom"/>
          </w:tcPr>
          <w:p>
            <w:pPr>
              <w:jc w:val="right"/>
              <w:ind w:right="50"/>
              <w:spacing w:after="0"/>
              <w:rPr>
                <w:sz w:val="20"/>
                <w:szCs w:val="20"/>
                <w:color w:val="auto"/>
              </w:rPr>
            </w:pPr>
            <w:r>
              <w:rPr>
                <w:rFonts w:ascii="Arial" w:cs="Arial" w:eastAsia="Arial" w:hAnsi="Arial"/>
                <w:sz w:val="18"/>
                <w:szCs w:val="18"/>
                <w:b w:val="1"/>
                <w:bCs w:val="1"/>
                <w:color w:val="auto"/>
              </w:rPr>
              <w:t>Number of</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Average</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w w:val="93"/>
              </w:rPr>
              <w:t>Average Fair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3260" w:type="dxa"/>
            <w:vAlign w:val="bottom"/>
          </w:tcPr>
          <w:p>
            <w:pPr>
              <w:jc w:val="right"/>
              <w:ind w:right="50"/>
              <w:spacing w:after="0"/>
              <w:rPr>
                <w:sz w:val="20"/>
                <w:szCs w:val="20"/>
                <w:color w:val="auto"/>
              </w:rPr>
            </w:pPr>
            <w:r>
              <w:rPr>
                <w:rFonts w:ascii="Arial" w:cs="Arial" w:eastAsia="Arial" w:hAnsi="Arial"/>
                <w:sz w:val="18"/>
                <w:szCs w:val="18"/>
                <w:b w:val="1"/>
                <w:bCs w:val="1"/>
                <w:color w:val="auto"/>
              </w:rPr>
              <w:t>Shares</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7"/>
              </w:rPr>
              <w:t>Exercise Price</w:t>
            </w:r>
          </w:p>
        </w:tc>
        <w:tc>
          <w:tcPr>
            <w:tcW w:w="22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Non vested outstanding at December 31, 2013</w:t>
            </w:r>
          </w:p>
        </w:tc>
        <w:tc>
          <w:tcPr>
            <w:tcW w:w="3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1,468,081</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23.45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3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245,514</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48.12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Vested</w:t>
            </w:r>
          </w:p>
        </w:tc>
        <w:tc>
          <w:tcPr>
            <w:tcW w:w="3260" w:type="dxa"/>
            <w:vAlign w:val="bottom"/>
          </w:tcPr>
          <w:p>
            <w:pPr>
              <w:jc w:val="right"/>
              <w:spacing w:after="0"/>
              <w:rPr>
                <w:sz w:val="20"/>
                <w:szCs w:val="20"/>
                <w:color w:val="auto"/>
              </w:rPr>
            </w:pPr>
            <w:r>
              <w:rPr>
                <w:rFonts w:ascii="Arial" w:cs="Arial" w:eastAsia="Arial" w:hAnsi="Arial"/>
                <w:sz w:val="18"/>
                <w:szCs w:val="18"/>
                <w:color w:val="auto"/>
              </w:rPr>
              <w:t>(285,416)</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22.16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Forfeited</w:t>
            </w:r>
          </w:p>
        </w:tc>
        <w:tc>
          <w:tcPr>
            <w:tcW w:w="3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(70,629)</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22.43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Non vested outstanding at March 31, 2014</w:t>
            </w:r>
          </w:p>
        </w:tc>
        <w:tc>
          <w:tcPr>
            <w:tcW w:w="3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1,357,550</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28.24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Stock Options Assumptions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The weighted average fair value of options granted during the three months ended March 31, 2014 and March 31, 2013 was calculated using the Black-</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Scholes option pricing model. The weighted average fair values and assumptions used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60" w:type="dxa"/>
            <w:vAlign w:val="bottom"/>
            <w:gridSpan w:val="10"/>
          </w:tcPr>
          <w:p>
            <w:pPr>
              <w:jc w:val="right"/>
              <w:ind w:right="620"/>
              <w:spacing w:after="0"/>
              <w:rPr>
                <w:sz w:val="20"/>
                <w:szCs w:val="20"/>
                <w:color w:val="auto"/>
              </w:rPr>
            </w:pPr>
            <w:r>
              <w:rPr>
                <w:rFonts w:ascii="Arial" w:cs="Arial" w:eastAsia="Arial" w:hAnsi="Arial"/>
                <w:sz w:val="18"/>
                <w:szCs w:val="18"/>
                <w:b w:val="1"/>
                <w:bCs w:val="1"/>
                <w:color w:val="auto"/>
                <w:w w:val="90"/>
              </w:rPr>
              <w:t>Three Months Ended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w w:val="93"/>
              </w:rPr>
              <w:t>March 31,</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gridSpan w:val="6"/>
          </w:tcPr>
          <w:p>
            <w:pPr>
              <w:jc w:val="right"/>
              <w:ind w:right="160"/>
              <w:spacing w:after="0" w:line="196" w:lineRule="exact"/>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5"/>
          </w:tcPr>
          <w:p>
            <w:pPr>
              <w:jc w:val="right"/>
              <w:ind w:right="160"/>
              <w:spacing w:after="0" w:line="196" w:lineRule="exact"/>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98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3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Weighted average fair value</w:t>
            </w:r>
          </w:p>
        </w:tc>
        <w:tc>
          <w:tcPr>
            <w:tcW w:w="35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200" w:type="dxa"/>
            <w:vAlign w:val="bottom"/>
            <w:tcBorders>
              <w:bottom w:val="single" w:sz="8" w:color="auto"/>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gridSpan w:val="6"/>
            <w:shd w:val="clear" w:color="auto" w:fill="CCEEFF"/>
          </w:tcPr>
          <w:p>
            <w:pPr>
              <w:jc w:val="right"/>
              <w:ind w:right="160"/>
              <w:spacing w:after="0"/>
              <w:rPr>
                <w:sz w:val="20"/>
                <w:szCs w:val="20"/>
                <w:color w:val="auto"/>
              </w:rPr>
            </w:pPr>
            <w:r>
              <w:rPr>
                <w:rFonts w:ascii="Arial" w:cs="Arial" w:eastAsia="Arial" w:hAnsi="Arial"/>
                <w:sz w:val="18"/>
                <w:szCs w:val="18"/>
                <w:color w:val="auto"/>
              </w:rPr>
              <w:t>11.76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8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8"/>
              </w:rPr>
              <w:t>Assumptions:</w:t>
            </w:r>
          </w:p>
        </w:tc>
        <w:tc>
          <w:tcPr>
            <w:tcW w:w="4380" w:type="dxa"/>
            <w:vAlign w:val="bottom"/>
            <w:tcBorders>
              <w:bottom w:val="single" w:sz="8" w:color="CCEEFF"/>
            </w:tcBorders>
            <w:shd w:val="clear" w:color="auto" w:fill="CCEEFF"/>
          </w:tcPr>
          <w:p>
            <w:pPr>
              <w:spacing w:after="0"/>
              <w:rPr>
                <w:sz w:val="17"/>
                <w:szCs w:val="17"/>
                <w:color w:val="auto"/>
              </w:rPr>
            </w:pPr>
          </w:p>
        </w:tc>
        <w:tc>
          <w:tcPr>
            <w:tcW w:w="35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3560" w:type="dxa"/>
            <w:vAlign w:val="bottom"/>
          </w:tcPr>
          <w:p>
            <w:pPr>
              <w:spacing w:after="0"/>
              <w:rPr>
                <w:sz w:val="18"/>
                <w:szCs w:val="18"/>
                <w:color w:val="auto"/>
              </w:rPr>
            </w:pPr>
          </w:p>
        </w:tc>
        <w:tc>
          <w:tcPr>
            <w:tcW w:w="1120" w:type="dxa"/>
            <w:vAlign w:val="bottom"/>
            <w:gridSpan w:val="5"/>
          </w:tcPr>
          <w:p>
            <w:pPr>
              <w:jc w:val="right"/>
              <w:ind w:right="60"/>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18"/>
                <w:szCs w:val="18"/>
                <w:color w:val="auto"/>
              </w:rPr>
            </w:pPr>
          </w:p>
        </w:tc>
        <w:tc>
          <w:tcPr>
            <w:tcW w:w="1080" w:type="dxa"/>
            <w:vAlign w:val="bottom"/>
            <w:gridSpan w:val="6"/>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3560" w:type="dxa"/>
            <w:vAlign w:val="bottom"/>
            <w:shd w:val="clear" w:color="auto" w:fill="CCEEFF"/>
          </w:tcPr>
          <w:p>
            <w:pPr>
              <w:spacing w:after="0"/>
              <w:rPr>
                <w:sz w:val="18"/>
                <w:szCs w:val="18"/>
                <w:color w:val="auto"/>
              </w:rPr>
            </w:pPr>
          </w:p>
        </w:tc>
        <w:tc>
          <w:tcPr>
            <w:tcW w:w="11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spacing w:after="0"/>
              <w:rPr>
                <w:sz w:val="18"/>
                <w:szCs w:val="18"/>
                <w:color w:val="auto"/>
              </w:rPr>
            </w:pPr>
          </w:p>
        </w:tc>
        <w:tc>
          <w:tcPr>
            <w:tcW w:w="108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3560" w:type="dxa"/>
            <w:vAlign w:val="bottom"/>
          </w:tcPr>
          <w:p>
            <w:pPr>
              <w:spacing w:after="0"/>
              <w:rPr>
                <w:sz w:val="18"/>
                <w:szCs w:val="18"/>
                <w:color w:val="auto"/>
              </w:rPr>
            </w:pPr>
          </w:p>
        </w:tc>
        <w:tc>
          <w:tcPr>
            <w:tcW w:w="1120" w:type="dxa"/>
            <w:vAlign w:val="bottom"/>
            <w:gridSpan w:val="5"/>
          </w:tcPr>
          <w:p>
            <w:pPr>
              <w:jc w:val="right"/>
              <w:ind w:right="60"/>
              <w:spacing w:after="0"/>
              <w:rPr>
                <w:sz w:val="20"/>
                <w:szCs w:val="20"/>
                <w:color w:val="auto"/>
              </w:rPr>
            </w:pPr>
            <w:r>
              <w:rPr>
                <w:rFonts w:ascii="Arial" w:cs="Arial" w:eastAsia="Arial" w:hAnsi="Arial"/>
                <w:sz w:val="18"/>
                <w:szCs w:val="18"/>
                <w:color w:val="auto"/>
              </w:rPr>
              <w:t>1.54%</w:t>
            </w:r>
          </w:p>
        </w:tc>
        <w:tc>
          <w:tcPr>
            <w:tcW w:w="280" w:type="dxa"/>
            <w:vAlign w:val="bottom"/>
          </w:tcPr>
          <w:p>
            <w:pPr>
              <w:spacing w:after="0"/>
              <w:rPr>
                <w:sz w:val="18"/>
                <w:szCs w:val="18"/>
                <w:color w:val="auto"/>
              </w:rPr>
            </w:pPr>
          </w:p>
        </w:tc>
        <w:tc>
          <w:tcPr>
            <w:tcW w:w="1080" w:type="dxa"/>
            <w:vAlign w:val="bottom"/>
            <w:gridSpan w:val="6"/>
          </w:tcPr>
          <w:p>
            <w:pPr>
              <w:jc w:val="right"/>
              <w:ind w:right="20"/>
              <w:spacing w:after="0"/>
              <w:rPr>
                <w:sz w:val="20"/>
                <w:szCs w:val="20"/>
                <w:color w:val="auto"/>
              </w:rPr>
            </w:pPr>
            <w:r>
              <w:rPr>
                <w:rFonts w:ascii="Arial" w:cs="Arial" w:eastAsia="Arial" w:hAnsi="Arial"/>
                <w:sz w:val="18"/>
                <w:szCs w:val="18"/>
                <w:color w:val="auto"/>
              </w:rPr>
              <w:t>0.76%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3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Expected life</w:t>
            </w:r>
          </w:p>
        </w:tc>
        <w:tc>
          <w:tcPr>
            <w:tcW w:w="356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 years</w:t>
            </w:r>
          </w:p>
        </w:tc>
        <w:tc>
          <w:tcPr>
            <w:tcW w:w="28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Expected volatility is based on the historical volatility of our common stock over a period equal to the expected term of the options; the expected life represents the weighted average period of time that options granted are expected to be outstanding given consideration to vesting schedules and our historical experience of past vesting and termination patterns. The risk-free rate is based on the U.S. government zero-coupon bonds yield curve in effect at time of the grant for periods corresponding with the expected life of the option.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Share Units and Performance Share Units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21, 2008 the Company adopted the 2008 Employees Restricted Share Unit Plan (the “2008 RSU Plan”) pursuant to which the Compensation and Organization Committee of the Company’s Board of Directors may select any employee, or any director holding a salaried office or employment with the Company, or a Subsidiary to receive an award under the plan. An aggregate of 1.0 million ordinary shares have been reserved for issuance under the 2008 RSU Plan.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3" w:name="page14"/>
    <w:bookmarkEnd w:id="13"/>
    <w:p>
      <w:pPr>
        <w:jc w:val="both"/>
        <w:spacing w:after="0" w:line="276" w:lineRule="auto"/>
        <w:rPr>
          <w:sz w:val="20"/>
          <w:szCs w:val="20"/>
          <w:color w:val="auto"/>
        </w:rPr>
      </w:pPr>
      <w:r>
        <w:rPr>
          <w:rFonts w:ascii="Arial" w:cs="Arial" w:eastAsia="Arial" w:hAnsi="Arial"/>
          <w:sz w:val="17"/>
          <w:szCs w:val="17"/>
          <w:color w:val="auto"/>
        </w:rPr>
        <w:t>On April 23, 2013 the Company adopted the 2013 Employees Restricted Share Unit Plan (the “2013 RSU Plan”) pursuant to which the Compensation and Organization Committee of the Company’s Board of Directors may select any employee, or any director holding a salaried office or employment with the Company, or a Subsidiary to receive Restricted Share Units (“RSUs”) and/or Performance Share Units (“PSUs”) under the plan. An aggregate of 1.6 million ordinary shares have been reserved for issuance under the 2013 RSU Plan. The shares are awarded at zero cost and vest over a service period. Awards under the 2013 RSU Plan may be settled in cash or shares at the option of the Company.</w:t>
      </w:r>
    </w:p>
    <w:p>
      <w:pPr>
        <w:spacing w:after="0" w:line="20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Company has awarded RSUs and PSUs to certain key individuals of the Group. The following table summarizes RSU and PSU activity for the three months ended March 31, 2014:</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rPr>
              <w:t>PSU</w:t>
            </w: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RSU</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rPr>
              <w:t>PSU</w:t>
            </w: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rPr>
              <w:t>Weighted</w:t>
            </w: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b w:val="1"/>
                <w:bCs w:val="1"/>
                <w:color w:val="auto"/>
              </w:rPr>
              <w:t>PSU</w:t>
            </w:r>
          </w:p>
        </w:tc>
        <w:tc>
          <w:tcPr>
            <w:tcW w:w="36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rPr>
              <w:t>Weighted</w:t>
            </w: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rPr>
              <w:t>Average</w:t>
            </w:r>
          </w:p>
        </w:tc>
        <w:tc>
          <w:tcPr>
            <w:tcW w:w="1280" w:type="dxa"/>
            <w:vAlign w:val="bottom"/>
          </w:tcPr>
          <w:p>
            <w:pPr>
              <w:jc w:val="right"/>
              <w:ind w:right="30"/>
              <w:spacing w:after="0"/>
              <w:rPr>
                <w:sz w:val="20"/>
                <w:szCs w:val="20"/>
                <w:color w:val="auto"/>
              </w:rPr>
            </w:pPr>
            <w:r>
              <w:rPr>
                <w:rFonts w:ascii="Arial" w:cs="Arial" w:eastAsia="Arial" w:hAnsi="Arial"/>
                <w:sz w:val="18"/>
                <w:szCs w:val="18"/>
                <w:b w:val="1"/>
                <w:bCs w:val="1"/>
                <w:color w:val="auto"/>
              </w:rPr>
              <w:t>RSU</w:t>
            </w:r>
          </w:p>
        </w:tc>
        <w:tc>
          <w:tcPr>
            <w:tcW w:w="30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RSU</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b w:val="1"/>
                <w:bCs w:val="1"/>
                <w:color w:val="auto"/>
              </w:rPr>
              <w:t>Outstanding</w:t>
            </w:r>
          </w:p>
        </w:tc>
        <w:tc>
          <w:tcPr>
            <w:tcW w:w="36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rPr>
              <w:t>Average</w:t>
            </w: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rPr>
              <w:t>Remaining</w:t>
            </w:r>
          </w:p>
        </w:tc>
        <w:tc>
          <w:tcPr>
            <w:tcW w:w="1280" w:type="dxa"/>
            <w:vAlign w:val="bottom"/>
          </w:tcPr>
          <w:p>
            <w:pPr>
              <w:jc w:val="right"/>
              <w:ind w:right="30"/>
              <w:spacing w:after="0"/>
              <w:rPr>
                <w:sz w:val="20"/>
                <w:szCs w:val="20"/>
                <w:color w:val="auto"/>
              </w:rPr>
            </w:pPr>
            <w:r>
              <w:rPr>
                <w:rFonts w:ascii="Arial" w:cs="Arial" w:eastAsia="Arial" w:hAnsi="Arial"/>
                <w:sz w:val="18"/>
                <w:szCs w:val="18"/>
                <w:b w:val="1"/>
                <w:bCs w:val="1"/>
                <w:color w:val="auto"/>
              </w:rPr>
              <w:t>Outstanding</w:t>
            </w:r>
          </w:p>
        </w:tc>
        <w:tc>
          <w:tcPr>
            <w:tcW w:w="30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Weighted</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Remaining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b w:val="1"/>
                <w:bCs w:val="1"/>
                <w:color w:val="auto"/>
              </w:rPr>
              <w:t>Number of</w:t>
            </w:r>
          </w:p>
        </w:tc>
        <w:tc>
          <w:tcPr>
            <w:tcW w:w="36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rPr>
              <w:t>Fair</w:t>
            </w: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rPr>
              <w:t>Contractual</w:t>
            </w:r>
          </w:p>
        </w:tc>
        <w:tc>
          <w:tcPr>
            <w:tcW w:w="1280" w:type="dxa"/>
            <w:vAlign w:val="bottom"/>
          </w:tcPr>
          <w:p>
            <w:pPr>
              <w:jc w:val="right"/>
              <w:ind w:right="30"/>
              <w:spacing w:after="0"/>
              <w:rPr>
                <w:sz w:val="20"/>
                <w:szCs w:val="20"/>
                <w:color w:val="auto"/>
              </w:rPr>
            </w:pPr>
            <w:r>
              <w:rPr>
                <w:rFonts w:ascii="Arial" w:cs="Arial" w:eastAsia="Arial" w:hAnsi="Arial"/>
                <w:sz w:val="18"/>
                <w:szCs w:val="18"/>
                <w:b w:val="1"/>
                <w:bCs w:val="1"/>
                <w:color w:val="auto"/>
              </w:rPr>
              <w:t>Number of</w:t>
            </w:r>
          </w:p>
        </w:tc>
        <w:tc>
          <w:tcPr>
            <w:tcW w:w="30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Average</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Contractual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b w:val="1"/>
                <w:bCs w:val="1"/>
                <w:color w:val="auto"/>
              </w:rPr>
              <w:t>Shares</w:t>
            </w:r>
          </w:p>
        </w:tc>
        <w:tc>
          <w:tcPr>
            <w:tcW w:w="360" w:type="dxa"/>
            <w:vAlign w:val="bottom"/>
          </w:tcPr>
          <w:p>
            <w:pPr>
              <w:spacing w:after="0"/>
              <w:rPr>
                <w:sz w:val="20"/>
                <w:szCs w:val="20"/>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rPr>
              <w:t>Value</w:t>
            </w: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rPr>
              <w:t>Life</w:t>
            </w:r>
          </w:p>
        </w:tc>
        <w:tc>
          <w:tcPr>
            <w:tcW w:w="1280" w:type="dxa"/>
            <w:vAlign w:val="bottom"/>
          </w:tcPr>
          <w:p>
            <w:pPr>
              <w:jc w:val="right"/>
              <w:ind w:right="30"/>
              <w:spacing w:after="0"/>
              <w:rPr>
                <w:sz w:val="20"/>
                <w:szCs w:val="20"/>
                <w:color w:val="auto"/>
              </w:rPr>
            </w:pPr>
            <w:r>
              <w:rPr>
                <w:rFonts w:ascii="Arial" w:cs="Arial" w:eastAsia="Arial" w:hAnsi="Arial"/>
                <w:sz w:val="18"/>
                <w:szCs w:val="18"/>
                <w:b w:val="1"/>
                <w:bCs w:val="1"/>
                <w:color w:val="auto"/>
              </w:rPr>
              <w:t>Shares</w:t>
            </w:r>
          </w:p>
        </w:tc>
        <w:tc>
          <w:tcPr>
            <w:tcW w:w="300" w:type="dxa"/>
            <w:vAlign w:val="bottom"/>
          </w:tcPr>
          <w:p>
            <w:pPr>
              <w:spacing w:after="0"/>
              <w:rPr>
                <w:sz w:val="20"/>
                <w:szCs w:val="20"/>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Fair Value</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Life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December 31, 2013</w:t>
            </w:r>
          </w:p>
        </w:tc>
        <w:tc>
          <w:tcPr>
            <w:tcW w:w="16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353,244</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33.04</w:t>
            </w:r>
          </w:p>
        </w:tc>
        <w:tc>
          <w:tcPr>
            <w:tcW w:w="1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2.35</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846,459</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27.05</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6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307,752</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39.43</w:t>
            </w:r>
          </w:p>
        </w:tc>
        <w:tc>
          <w:tcPr>
            <w:tcW w:w="1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27,818</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47.03</w:t>
            </w: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Shares vested</w:t>
            </w: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(25,000)</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20.32</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Forfeited</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(3,145)</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31.49</w:t>
            </w:r>
          </w:p>
        </w:tc>
        <w:tc>
          <w:tcPr>
            <w:tcW w:w="13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(35,941)</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26.86</w:t>
            </w:r>
          </w:p>
        </w:tc>
        <w:tc>
          <w:tcPr>
            <w:tcW w:w="12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March 31, 2014</w:t>
            </w:r>
          </w:p>
        </w:tc>
        <w:tc>
          <w:tcPr>
            <w:tcW w:w="16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657,851</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39.54</w:t>
            </w:r>
          </w:p>
        </w:tc>
        <w:tc>
          <w:tcPr>
            <w:tcW w:w="1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2.49</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813,336</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27.81</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RSUs vested for the three months ended March 31, 2014 totaled $0.5 million (December 31, 2013: $1.1 million).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 PSUs vested during either the first three months of 2014 or the full year 2013.</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PSUs vest based on service and specified EPS targets. The maximum number of PSUs that could vest based on PSU’s outstanding is 657,851, based on attaining cumulative EPS targets over the period 2013 – 2016.</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80" w:type="dxa"/>
            <w:vAlign w:val="bottom"/>
          </w:tcPr>
          <w:p>
            <w:pPr>
              <w:spacing w:after="0"/>
              <w:rPr>
                <w:sz w:val="20"/>
                <w:szCs w:val="20"/>
                <w:color w:val="auto"/>
              </w:rPr>
            </w:pPr>
            <w:r>
              <w:rPr>
                <w:rFonts w:ascii="Arial" w:cs="Arial" w:eastAsia="Arial" w:hAnsi="Arial"/>
                <w:sz w:val="18"/>
                <w:szCs w:val="18"/>
                <w:i w:val="1"/>
                <w:iCs w:val="1"/>
                <w:color w:val="auto"/>
              </w:rPr>
              <w:t>Non-cash stock compensation expense</w:t>
            </w: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8480" w:type="dxa"/>
            <w:vAlign w:val="bottom"/>
          </w:tcPr>
          <w:p>
            <w:pPr>
              <w:spacing w:after="0"/>
              <w:rPr>
                <w:sz w:val="20"/>
                <w:szCs w:val="20"/>
                <w:color w:val="auto"/>
              </w:rPr>
            </w:pPr>
            <w:r>
              <w:rPr>
                <w:rFonts w:ascii="Arial" w:cs="Arial" w:eastAsia="Arial" w:hAnsi="Arial"/>
                <w:sz w:val="18"/>
                <w:szCs w:val="18"/>
                <w:color w:val="auto"/>
                <w:w w:val="92"/>
              </w:rPr>
              <w:t>Non-cash stock compensation expense for the three months ended March 31, 2014 has been allocated as follows:</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9"/>
        </w:trPr>
        <w:tc>
          <w:tcPr>
            <w:tcW w:w="8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80" w:type="dxa"/>
            <w:vAlign w:val="bottom"/>
            <w:gridSpan w:val="11"/>
          </w:tcPr>
          <w:p>
            <w:pPr>
              <w:spacing w:after="0"/>
              <w:rPr>
                <w:sz w:val="20"/>
                <w:szCs w:val="20"/>
                <w:color w:val="auto"/>
              </w:rPr>
            </w:pPr>
            <w:r>
              <w:rPr>
                <w:rFonts w:ascii="Arial" w:cs="Arial" w:eastAsia="Arial" w:hAnsi="Arial"/>
                <w:sz w:val="18"/>
                <w:szCs w:val="18"/>
                <w:b w:val="1"/>
                <w:bCs w:val="1"/>
                <w:color w:val="auto"/>
              </w:rPr>
              <w:t>Three Months Ended</w:t>
            </w:r>
          </w:p>
        </w:tc>
      </w:tr>
      <w:tr>
        <w:trPr>
          <w:trHeight w:val="20"/>
        </w:trPr>
        <w:tc>
          <w:tcPr>
            <w:tcW w:w="8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gridSpan w:val="4"/>
          </w:tcPr>
          <w:p>
            <w:pPr>
              <w:spacing w:after="0" w:line="196" w:lineRule="exact"/>
              <w:rPr>
                <w:sz w:val="20"/>
                <w:szCs w:val="20"/>
                <w:color w:val="auto"/>
              </w:rPr>
            </w:pPr>
            <w:r>
              <w:rPr>
                <w:rFonts w:ascii="Arial" w:cs="Arial" w:eastAsia="Arial" w:hAnsi="Arial"/>
                <w:sz w:val="18"/>
                <w:szCs w:val="18"/>
                <w:b w:val="1"/>
                <w:bCs w:val="1"/>
                <w:color w:val="auto"/>
              </w:rPr>
              <w:t>March</w:t>
            </w:r>
          </w:p>
        </w:tc>
        <w:tc>
          <w:tcPr>
            <w:tcW w:w="740" w:type="dxa"/>
            <w:vAlign w:val="bottom"/>
          </w:tcPr>
          <w:p>
            <w:pPr>
              <w:spacing w:after="0"/>
              <w:rPr>
                <w:sz w:val="17"/>
                <w:szCs w:val="17"/>
                <w:color w:val="auto"/>
              </w:rPr>
            </w:pPr>
          </w:p>
        </w:tc>
        <w:tc>
          <w:tcPr>
            <w:tcW w:w="620" w:type="dxa"/>
            <w:vAlign w:val="bottom"/>
            <w:gridSpan w:val="5"/>
          </w:tcPr>
          <w:p>
            <w:pPr>
              <w:spacing w:after="0" w:line="196" w:lineRule="exact"/>
              <w:rPr>
                <w:sz w:val="20"/>
                <w:szCs w:val="20"/>
                <w:color w:val="auto"/>
              </w:rPr>
            </w:pPr>
            <w:r>
              <w:rPr>
                <w:rFonts w:ascii="Arial" w:cs="Arial" w:eastAsia="Arial" w:hAnsi="Arial"/>
                <w:sz w:val="18"/>
                <w:szCs w:val="18"/>
                <w:b w:val="1"/>
                <w:bCs w:val="1"/>
                <w:color w:val="auto"/>
              </w:rPr>
              <w:t>March</w:t>
            </w:r>
          </w:p>
        </w:tc>
      </w:tr>
      <w:tr>
        <w:trPr>
          <w:trHeight w:val="196"/>
        </w:trPr>
        <w:tc>
          <w:tcPr>
            <w:tcW w:w="8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Borders>
              <w:top w:val="single" w:sz="8" w:color="auto"/>
            </w:tcBorders>
            <w:gridSpan w:val="4"/>
          </w:tcPr>
          <w:p>
            <w:pPr>
              <w:jc w:val="right"/>
              <w:spacing w:after="0" w:line="196" w:lineRule="exact"/>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17"/>
                <w:szCs w:val="17"/>
                <w:color w:val="auto"/>
              </w:rPr>
            </w:pPr>
          </w:p>
        </w:tc>
      </w:tr>
      <w:tr>
        <w:trPr>
          <w:trHeight w:val="20"/>
        </w:trPr>
        <w:tc>
          <w:tcPr>
            <w:tcW w:w="8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gridSpan w:val="2"/>
          </w:tcPr>
          <w:p>
            <w:pPr>
              <w:spacing w:after="0"/>
              <w:rPr>
                <w:sz w:val="17"/>
                <w:szCs w:val="17"/>
                <w:color w:val="auto"/>
              </w:rPr>
            </w:pP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w w:val="84"/>
              </w:rPr>
              <w:t>2014</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2013</w:t>
            </w:r>
          </w:p>
        </w:tc>
      </w:tr>
      <w:tr>
        <w:trPr>
          <w:trHeight w:val="20"/>
        </w:trPr>
        <w:tc>
          <w:tcPr>
            <w:tcW w:w="8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8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5"/>
          </w:tcPr>
          <w:p>
            <w:pPr>
              <w:jc w:val="right"/>
              <w:ind w:right="90"/>
              <w:spacing w:after="0"/>
              <w:rPr>
                <w:sz w:val="20"/>
                <w:szCs w:val="20"/>
                <w:color w:val="auto"/>
              </w:rPr>
            </w:pPr>
            <w:r>
              <w:rPr>
                <w:rFonts w:ascii="Arial" w:cs="Arial" w:eastAsia="Arial" w:hAnsi="Arial"/>
                <w:sz w:val="18"/>
                <w:szCs w:val="18"/>
                <w:b w:val="1"/>
                <w:bCs w:val="1"/>
                <w:color w:val="auto"/>
                <w:w w:val="93"/>
              </w:rPr>
              <w:t>(In thousands)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Direct costs</w:t>
            </w:r>
          </w:p>
        </w:tc>
        <w:tc>
          <w:tcPr>
            <w:tcW w:w="7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2,229</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6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1,319</w:t>
            </w:r>
          </w:p>
        </w:tc>
      </w:tr>
      <w:tr>
        <w:trPr>
          <w:trHeight w:val="216"/>
        </w:trPr>
        <w:tc>
          <w:tcPr>
            <w:tcW w:w="8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Selling, general and administrative</w:t>
            </w:r>
          </w:p>
        </w:tc>
        <w:tc>
          <w:tcPr>
            <w:tcW w:w="7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1,816</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1,075</w:t>
            </w:r>
          </w:p>
        </w:tc>
      </w:tr>
      <w:tr>
        <w:trPr>
          <w:trHeight w:val="21"/>
        </w:trPr>
        <w:tc>
          <w:tcPr>
            <w:tcW w:w="8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210"/>
        </w:trPr>
        <w:tc>
          <w:tcPr>
            <w:tcW w:w="8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4,045</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2,394</w:t>
            </w:r>
          </w:p>
        </w:tc>
      </w:tr>
      <w:tr>
        <w:trPr>
          <w:trHeight w:val="21"/>
        </w:trPr>
        <w:tc>
          <w:tcPr>
            <w:tcW w:w="8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Total non-cash stock compensation expense not yet recognized at March 31, 2014 amounted to $48.6 million. The weighted average period over which this is expected to be recognized is 2.7 years. Total tax benefit recognized in additional paid in capital related to the non-cash compensation expense amounted to $0.7 million for the three months ended March 31, 2014 (March 31, 2013: $0.3 million).</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8. Business Segment Information</w:t>
      </w:r>
    </w:p>
    <w:p>
      <w:pPr>
        <w:spacing w:after="0" w:line="256"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 xml:space="preserve">The Company determines and presents operating segments based on the information that is internally provided to the Chief Executive Officer and Chief Financial Officer, who together are considered the Company’s chief operating decision maker, in accordance with FASB ASC 280-10 </w:t>
      </w:r>
      <w:r>
        <w:rPr>
          <w:rFonts w:ascii="Arial" w:cs="Arial" w:eastAsia="Arial" w:hAnsi="Arial"/>
          <w:sz w:val="18"/>
          <w:szCs w:val="18"/>
          <w:i w:val="1"/>
          <w:iCs w:val="1"/>
          <w:color w:val="auto"/>
        </w:rPr>
        <w:t>Disclosures about</w:t>
      </w:r>
      <w:r>
        <w:rPr>
          <w:rFonts w:ascii="Arial" w:cs="Arial" w:eastAsia="Arial" w:hAnsi="Arial"/>
          <w:sz w:val="18"/>
          <w:szCs w:val="18"/>
          <w:color w:val="auto"/>
        </w:rPr>
        <w:t xml:space="preserve"> </w:t>
      </w:r>
      <w:r>
        <w:rPr>
          <w:rFonts w:ascii="Arial" w:cs="Arial" w:eastAsia="Arial" w:hAnsi="Arial"/>
          <w:sz w:val="18"/>
          <w:szCs w:val="18"/>
          <w:i w:val="1"/>
          <w:iCs w:val="1"/>
          <w:color w:val="auto"/>
        </w:rPr>
        <w:t>Segments of an Enterprise and Related Information</w:t>
      </w:r>
      <w:r>
        <w:rPr>
          <w:rFonts w:ascii="Arial" w:cs="Arial" w:eastAsia="Arial" w:hAnsi="Arial"/>
          <w:sz w:val="18"/>
          <w:szCs w:val="18"/>
          <w:color w:val="auto"/>
        </w:rPr>
        <w:t>.</w:t>
      </w:r>
    </w:p>
    <w:p>
      <w:pPr>
        <w:spacing w:after="0" w:line="20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is a contract research organization (“CRO”), providing outsourced development services on a global basis to the pharmaceutical, biotechnology and medical device industries. It specializes in the strategic development, management and analysis of programs that support all stages of the clinical development process - from compound selection to Phase I-IV clinical studies. The Company has the expertise and capability to conduct clinical trials in most major therapeutic areas on a global basis and has the operational flexibility to provide development services on a stand-alone basis or as part of an integrated “full service” solution. The Company has expanded predominately through internal growth, together with a number of strategic acquisitions to enhance its expertise and capabilities in certain areas of the clinical development process. The Company also provides laboratory services through its central laboratory business, which includes the Company’s central laboratories located in Dublin, New York, India, Singapore and China.</w:t>
      </w:r>
    </w:p>
    <w:p>
      <w:pPr>
        <w:spacing w:after="0" w:line="194"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Company's areas of operation outside of Ireland include the United States, United Kingdom, France, Germany, Italy, Spain, The Netherlands, Sweden, Turkey, Poland, Czech Republic, Lithuania, Latvia, Russia, Ukraine, Hungary, Israel, Romania, Canada, Mexico, Brazil, Colombia, Argentina, Chile, Peru, India, China, South Korea, Japan, Thailand, Taiwan, Singapore, The Philippines, Australia, New Zealand, and South Africa.</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Segment information as at March 31, 2014 and December 31, 2013 and for the three months ended March 31, 2014 and March 31, 2013 is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60" w:type="dxa"/>
            <w:vAlign w:val="bottom"/>
            <w:gridSpan w:val="2"/>
          </w:tcPr>
          <w:p>
            <w:pPr>
              <w:spacing w:after="0"/>
              <w:rPr>
                <w:sz w:val="20"/>
                <w:szCs w:val="20"/>
                <w:color w:val="auto"/>
              </w:rPr>
            </w:pPr>
            <w:r>
              <w:rPr>
                <w:rFonts w:ascii="Arial" w:cs="Arial" w:eastAsia="Arial" w:hAnsi="Arial"/>
                <w:sz w:val="18"/>
                <w:szCs w:val="18"/>
                <w:color w:val="auto"/>
              </w:rPr>
              <w:t>a) The distribution of net revenue by geographical area was as follows:</w:t>
            </w:r>
          </w:p>
        </w:tc>
        <w:tc>
          <w:tcPr>
            <w:tcW w:w="2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180" w:type="dxa"/>
            <w:vAlign w:val="bottom"/>
            <w:gridSpan w:val="12"/>
          </w:tcPr>
          <w:p>
            <w:pPr>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9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w w:val="94"/>
              </w:rPr>
              <w:t>March</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5"/>
          </w:tcPr>
          <w:p>
            <w:pPr>
              <w:spacing w:after="0" w:line="196" w:lineRule="exact"/>
              <w:rPr>
                <w:sz w:val="20"/>
                <w:szCs w:val="20"/>
                <w:color w:val="auto"/>
              </w:rPr>
            </w:pPr>
            <w:r>
              <w:rPr>
                <w:rFonts w:ascii="Arial" w:cs="Arial" w:eastAsia="Arial" w:hAnsi="Arial"/>
                <w:sz w:val="18"/>
                <w:szCs w:val="18"/>
                <w:b w:val="1"/>
                <w:bCs w:val="1"/>
                <w:color w:val="auto"/>
              </w:rPr>
              <w:t>March</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Borders>
              <w:top w:val="single" w:sz="8" w:color="auto"/>
            </w:tcBorders>
            <w:gridSpan w:val="4"/>
          </w:tcPr>
          <w:p>
            <w:pPr>
              <w:jc w:val="right"/>
              <w:spacing w:after="0" w:line="196" w:lineRule="exact"/>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9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360" w:type="dxa"/>
            <w:vAlign w:val="bottom"/>
            <w:gridSpan w:val="2"/>
          </w:tcPr>
          <w:p>
            <w:pPr>
              <w:spacing w:after="0"/>
              <w:rPr>
                <w:sz w:val="17"/>
                <w:szCs w:val="17"/>
                <w:color w:val="auto"/>
              </w:rPr>
            </w:pP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w w:val="84"/>
              </w:rPr>
              <w:t>2014</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60" w:type="dxa"/>
            <w:vAlign w:val="bottom"/>
            <w:gridSpan w:val="6"/>
          </w:tcPr>
          <w:p>
            <w:pPr>
              <w:jc w:val="right"/>
              <w:ind w:right="100"/>
              <w:spacing w:after="0" w:line="196" w:lineRule="exact"/>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5"/>
          </w:tcPr>
          <w:p>
            <w:pPr>
              <w:jc w:val="right"/>
              <w:spacing w:after="0"/>
              <w:rPr>
                <w:sz w:val="20"/>
                <w:szCs w:val="20"/>
                <w:color w:val="auto"/>
              </w:rPr>
            </w:pPr>
            <w:r>
              <w:rPr>
                <w:rFonts w:ascii="Arial" w:cs="Arial" w:eastAsia="Arial" w:hAnsi="Arial"/>
                <w:sz w:val="18"/>
                <w:szCs w:val="18"/>
                <w:b w:val="1"/>
                <w:bCs w:val="1"/>
                <w:color w:val="auto"/>
                <w:w w:val="93"/>
              </w:rPr>
              <w:t>(in thousands)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22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85,361</w:t>
            </w:r>
          </w:p>
        </w:tc>
        <w:tc>
          <w:tcPr>
            <w:tcW w:w="6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6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60,994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Rest of Europe</w:t>
            </w:r>
          </w:p>
        </w:tc>
        <w:tc>
          <w:tcPr>
            <w:tcW w:w="2280" w:type="dxa"/>
            <w:vAlign w:val="bottom"/>
          </w:tcPr>
          <w:p>
            <w:pPr>
              <w:spacing w:after="0"/>
              <w:rPr>
                <w:sz w:val="18"/>
                <w:szCs w:val="18"/>
                <w:color w:val="auto"/>
              </w:rPr>
            </w:pPr>
          </w:p>
        </w:tc>
        <w:tc>
          <w:tcPr>
            <w:tcW w:w="820" w:type="dxa"/>
            <w:vAlign w:val="bottom"/>
            <w:gridSpan w:val="5"/>
          </w:tcPr>
          <w:p>
            <w:pPr>
              <w:jc w:val="right"/>
              <w:ind w:right="100"/>
              <w:spacing w:after="0"/>
              <w:rPr>
                <w:sz w:val="20"/>
                <w:szCs w:val="20"/>
                <w:color w:val="auto"/>
              </w:rPr>
            </w:pPr>
            <w:r>
              <w:rPr>
                <w:rFonts w:ascii="Arial" w:cs="Arial" w:eastAsia="Arial" w:hAnsi="Arial"/>
                <w:sz w:val="18"/>
                <w:szCs w:val="18"/>
                <w:color w:val="auto"/>
              </w:rPr>
              <w:t>86,401</w:t>
            </w:r>
          </w:p>
        </w:tc>
        <w:tc>
          <w:tcPr>
            <w:tcW w:w="600" w:type="dxa"/>
            <w:vAlign w:val="bottom"/>
          </w:tcPr>
          <w:p>
            <w:pPr>
              <w:spacing w:after="0"/>
              <w:rPr>
                <w:sz w:val="18"/>
                <w:szCs w:val="18"/>
                <w:color w:val="auto"/>
              </w:rPr>
            </w:pPr>
          </w:p>
        </w:tc>
        <w:tc>
          <w:tcPr>
            <w:tcW w:w="760" w:type="dxa"/>
            <w:vAlign w:val="bottom"/>
            <w:gridSpan w:val="6"/>
          </w:tcPr>
          <w:p>
            <w:pPr>
              <w:jc w:val="right"/>
              <w:ind w:right="100"/>
              <w:spacing w:after="0"/>
              <w:rPr>
                <w:sz w:val="20"/>
                <w:szCs w:val="20"/>
                <w:color w:val="auto"/>
              </w:rPr>
            </w:pPr>
            <w:r>
              <w:rPr>
                <w:rFonts w:ascii="Arial" w:cs="Arial" w:eastAsia="Arial" w:hAnsi="Arial"/>
                <w:sz w:val="18"/>
                <w:szCs w:val="18"/>
                <w:color w:val="auto"/>
              </w:rPr>
              <w:t>85,036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228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141,679</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w w:val="98"/>
              </w:rPr>
              <w:t>135,475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 of World</w:t>
            </w:r>
          </w:p>
        </w:tc>
        <w:tc>
          <w:tcPr>
            <w:tcW w:w="2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36,193</w:t>
            </w:r>
          </w:p>
        </w:tc>
        <w:tc>
          <w:tcPr>
            <w:tcW w:w="6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8"/>
                <w:szCs w:val="18"/>
                <w:color w:val="auto"/>
              </w:rPr>
              <w:t>35,284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6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2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349,634</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8"/>
                <w:szCs w:val="18"/>
                <w:color w:val="auto"/>
                <w:w w:val="98"/>
              </w:rPr>
              <w:t>316,789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94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ind w:left="800" w:hanging="144"/>
        <w:spacing w:after="0"/>
        <w:tabs>
          <w:tab w:leader="none" w:pos="800" w:val="left"/>
        </w:tabs>
        <w:numPr>
          <w:ilvl w:val="1"/>
          <w:numId w:val="2"/>
        </w:numPr>
        <w:rPr>
          <w:rFonts w:ascii="Arial" w:cs="Arial" w:eastAsia="Arial" w:hAnsi="Arial"/>
          <w:sz w:val="18"/>
          <w:szCs w:val="18"/>
          <w:color w:val="auto"/>
        </w:rPr>
      </w:pPr>
      <w:r>
        <w:rPr>
          <w:rFonts w:ascii="Arial" w:cs="Arial" w:eastAsia="Arial" w:hAnsi="Arial"/>
          <w:sz w:val="18"/>
          <w:szCs w:val="18"/>
          <w:color w:val="auto"/>
        </w:rPr>
        <w:t>All sales shown for Ireland are export sales.</w:t>
      </w:r>
    </w:p>
    <w:p>
      <w:pPr>
        <w:spacing w:after="0" w:line="237" w:lineRule="exact"/>
        <w:rPr>
          <w:rFonts w:ascii="Arial" w:cs="Arial" w:eastAsia="Arial" w:hAnsi="Arial"/>
          <w:sz w:val="18"/>
          <w:szCs w:val="18"/>
          <w:color w:val="auto"/>
        </w:rPr>
      </w:pPr>
    </w:p>
    <w:p>
      <w:pPr>
        <w:ind w:left="200" w:hanging="192"/>
        <w:spacing w:after="0"/>
        <w:tabs>
          <w:tab w:leader="none" w:pos="2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distribution of income from operations, including restructuring and other items, by geographical area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w w:val="90"/>
              </w:rPr>
              <w:t>Three Months Ended</w:t>
            </w:r>
          </w:p>
        </w:tc>
        <w:tc>
          <w:tcPr>
            <w:tcW w:w="48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5820" w:type="dxa"/>
            <w:vAlign w:val="bottom"/>
          </w:tcPr>
          <w:p>
            <w:pPr>
              <w:spacing w:after="0"/>
              <w:rPr>
                <w:sz w:val="17"/>
                <w:szCs w:val="17"/>
                <w:color w:val="auto"/>
              </w:rPr>
            </w:pPr>
          </w:p>
        </w:tc>
        <w:tc>
          <w:tcPr>
            <w:tcW w:w="88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w w:val="91"/>
              </w:rPr>
              <w:t>March 31,</w:t>
            </w:r>
          </w:p>
        </w:tc>
        <w:tc>
          <w:tcPr>
            <w:tcW w:w="340" w:type="dxa"/>
            <w:vAlign w:val="bottom"/>
          </w:tcPr>
          <w:p>
            <w:pPr>
              <w:spacing w:after="0"/>
              <w:rPr>
                <w:sz w:val="17"/>
                <w:szCs w:val="17"/>
                <w:color w:val="auto"/>
              </w:rPr>
            </w:pPr>
          </w:p>
        </w:tc>
        <w:tc>
          <w:tcPr>
            <w:tcW w:w="1020" w:type="dxa"/>
            <w:vAlign w:val="bottom"/>
            <w:gridSpan w:val="5"/>
          </w:tcPr>
          <w:p>
            <w:pPr>
              <w:ind w:left="120"/>
              <w:spacing w:after="0" w:line="196" w:lineRule="exact"/>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5820" w:type="dxa"/>
            <w:vAlign w:val="bottom"/>
          </w:tcPr>
          <w:p>
            <w:pPr>
              <w:spacing w:after="0"/>
              <w:rPr>
                <w:sz w:val="17"/>
                <w:szCs w:val="17"/>
                <w:color w:val="auto"/>
              </w:rPr>
            </w:pPr>
          </w:p>
        </w:tc>
        <w:tc>
          <w:tcPr>
            <w:tcW w:w="420" w:type="dxa"/>
            <w:vAlign w:val="bottom"/>
            <w:tcBorders>
              <w:top w:val="single" w:sz="8" w:color="auto"/>
            </w:tcBorders>
            <w:gridSpan w:val="2"/>
          </w:tcPr>
          <w:p>
            <w:pPr>
              <w:spacing w:after="0"/>
              <w:rPr>
                <w:sz w:val="17"/>
                <w:szCs w:val="17"/>
                <w:color w:val="auto"/>
              </w:rPr>
            </w:pPr>
          </w:p>
        </w:tc>
        <w:tc>
          <w:tcPr>
            <w:tcW w:w="3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84"/>
              </w:rPr>
              <w:t>2014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gridSpan w:val="9"/>
          </w:tcPr>
          <w:p>
            <w:pPr>
              <w:ind w:left="22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58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28,134</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Rest of Europe</w:t>
            </w:r>
          </w:p>
        </w:tc>
        <w:tc>
          <w:tcPr>
            <w:tcW w:w="582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6,401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5"/>
          </w:tcPr>
          <w:p>
            <w:pPr>
              <w:jc w:val="right"/>
              <w:ind w:right="100"/>
              <w:spacing w:after="0"/>
              <w:rPr>
                <w:sz w:val="20"/>
                <w:szCs w:val="20"/>
                <w:color w:val="auto"/>
              </w:rPr>
            </w:pPr>
            <w:r>
              <w:rPr>
                <w:rFonts w:ascii="Arial" w:cs="Arial" w:eastAsia="Arial" w:hAnsi="Arial"/>
                <w:sz w:val="18"/>
                <w:szCs w:val="18"/>
                <w:color w:val="auto"/>
              </w:rPr>
              <w:t>3,786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58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6,694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5,537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 of World</w:t>
            </w:r>
          </w:p>
        </w:tc>
        <w:tc>
          <w:tcPr>
            <w:tcW w:w="58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1,769</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1,657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5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42,998</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22,996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40" w:type="dxa"/>
            <w:vAlign w:val="bottom"/>
            <w:tcBorders>
              <w:bottom w:val="single" w:sz="8" w:color="auto"/>
            </w:tcBorders>
          </w:tcPr>
          <w:p>
            <w:pPr>
              <w:spacing w:after="0" w:line="20" w:lineRule="exact"/>
              <w:rPr>
                <w:sz w:val="1"/>
                <w:szCs w:val="1"/>
                <w:color w:val="auto"/>
              </w:rPr>
            </w:pPr>
          </w:p>
        </w:tc>
        <w:tc>
          <w:tcPr>
            <w:tcW w:w="5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5820" w:type="dxa"/>
            <w:vAlign w:val="bottom"/>
          </w:tcPr>
          <w:p>
            <w:pPr>
              <w:jc w:val="right"/>
              <w:ind w:right="329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340" w:type="dxa"/>
            <w:vAlign w:val="bottom"/>
            <w:tcBorders>
              <w:bottom w:val="single" w:sz="8" w:color="808080"/>
            </w:tcBorders>
          </w:tcPr>
          <w:p>
            <w:pPr>
              <w:spacing w:after="0"/>
              <w:rPr>
                <w:sz w:val="10"/>
                <w:szCs w:val="10"/>
                <w:color w:val="auto"/>
              </w:rPr>
            </w:pPr>
          </w:p>
        </w:tc>
        <w:tc>
          <w:tcPr>
            <w:tcW w:w="58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c) The distribution of income from operations, excluding restructuring and other items, by geographical area was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10"/>
          </w:tcPr>
          <w:p>
            <w:pPr>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8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80" w:type="dxa"/>
            <w:vAlign w:val="bottom"/>
            <w:gridSpan w:val="4"/>
          </w:tcPr>
          <w:p>
            <w:pPr>
              <w:jc w:val="right"/>
              <w:ind w:right="100"/>
              <w:spacing w:after="0" w:line="194" w:lineRule="exact"/>
              <w:rPr>
                <w:sz w:val="20"/>
                <w:szCs w:val="20"/>
                <w:color w:val="auto"/>
              </w:rPr>
            </w:pPr>
            <w:r>
              <w:rPr>
                <w:rFonts w:ascii="Arial" w:cs="Arial" w:eastAsia="Arial" w:hAnsi="Arial"/>
                <w:sz w:val="18"/>
                <w:szCs w:val="18"/>
                <w:b w:val="1"/>
                <w:bCs w:val="1"/>
                <w:color w:val="auto"/>
                <w:w w:val="91"/>
              </w:rPr>
              <w:t>March 31,</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5"/>
          </w:tcPr>
          <w:p>
            <w:pPr>
              <w:jc w:val="right"/>
              <w:ind w:right="100"/>
              <w:spacing w:after="0" w:line="194" w:lineRule="exact"/>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20" w:type="dxa"/>
            <w:vAlign w:val="bottom"/>
            <w:tcBorders>
              <w:top w:val="single" w:sz="8" w:color="auto"/>
            </w:tcBorders>
            <w:gridSpan w:val="2"/>
          </w:tcPr>
          <w:p>
            <w:pPr>
              <w:spacing w:after="0"/>
              <w:rPr>
                <w:sz w:val="17"/>
                <w:szCs w:val="17"/>
                <w:color w:val="auto"/>
              </w:rPr>
            </w:pPr>
          </w:p>
        </w:tc>
        <w:tc>
          <w:tcPr>
            <w:tcW w:w="3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84"/>
              </w:rPr>
              <w:t>2014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gridSpan w:val="10"/>
          </w:tcPr>
          <w:p>
            <w:pPr>
              <w:ind w:left="22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13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28,134</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12,341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Rest of Europe</w:t>
            </w:r>
          </w:p>
        </w:tc>
        <w:tc>
          <w:tcPr>
            <w:tcW w:w="136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6,401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5"/>
          </w:tcPr>
          <w:p>
            <w:pPr>
              <w:jc w:val="right"/>
              <w:ind w:right="100"/>
              <w:spacing w:after="0"/>
              <w:rPr>
                <w:sz w:val="20"/>
                <w:szCs w:val="20"/>
                <w:color w:val="auto"/>
              </w:rPr>
            </w:pPr>
            <w:r>
              <w:rPr>
                <w:rFonts w:ascii="Arial" w:cs="Arial" w:eastAsia="Arial" w:hAnsi="Arial"/>
                <w:sz w:val="18"/>
                <w:szCs w:val="18"/>
                <w:color w:val="auto"/>
              </w:rPr>
              <w:t>5,557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13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6,694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7,790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 of World</w:t>
            </w:r>
          </w:p>
        </w:tc>
        <w:tc>
          <w:tcPr>
            <w:tcW w:w="1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1,769</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1,720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7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3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42,998</w:t>
            </w:r>
          </w:p>
        </w:tc>
        <w:tc>
          <w:tcPr>
            <w:tcW w:w="3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27,408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8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7820" w:type="dxa"/>
            <w:vAlign w:val="bottom"/>
            <w:gridSpan w:val="2"/>
          </w:tcPr>
          <w:p>
            <w:pPr>
              <w:spacing w:after="0"/>
              <w:rPr>
                <w:sz w:val="20"/>
                <w:szCs w:val="20"/>
                <w:color w:val="auto"/>
              </w:rPr>
            </w:pPr>
            <w:r>
              <w:rPr>
                <w:rFonts w:ascii="Arial" w:cs="Arial" w:eastAsia="Arial" w:hAnsi="Arial"/>
                <w:sz w:val="18"/>
                <w:szCs w:val="18"/>
                <w:color w:val="auto"/>
              </w:rPr>
              <w:t>d) The distribution of property, plant and equipment, net, by geographical area was as follows:</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8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w w:val="91"/>
              </w:rPr>
              <w:t>March 31,</w:t>
            </w:r>
          </w:p>
        </w:tc>
        <w:tc>
          <w:tcPr>
            <w:tcW w:w="200" w:type="dxa"/>
            <w:vAlign w:val="bottom"/>
          </w:tcPr>
          <w:p>
            <w:pPr>
              <w:spacing w:after="0"/>
              <w:rPr>
                <w:sz w:val="24"/>
                <w:szCs w:val="24"/>
                <w:color w:val="auto"/>
              </w:rPr>
            </w:pPr>
          </w:p>
        </w:tc>
        <w:tc>
          <w:tcPr>
            <w:tcW w:w="1160" w:type="dxa"/>
            <w:vAlign w:val="bottom"/>
            <w:gridSpan w:val="6"/>
          </w:tcPr>
          <w:p>
            <w:pPr>
              <w:jc w:val="right"/>
              <w:ind w:right="1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20" w:type="dxa"/>
            <w:vAlign w:val="bottom"/>
            <w:tcBorders>
              <w:top w:val="single" w:sz="8" w:color="auto"/>
            </w:tcBorders>
            <w:gridSpan w:val="2"/>
          </w:tcPr>
          <w:p>
            <w:pPr>
              <w:spacing w:after="0"/>
              <w:rPr>
                <w:sz w:val="17"/>
                <w:szCs w:val="17"/>
                <w:color w:val="auto"/>
              </w:rPr>
            </w:pPr>
          </w:p>
        </w:tc>
        <w:tc>
          <w:tcPr>
            <w:tcW w:w="3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84"/>
              </w:rPr>
              <w:t>2014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gridSpan w:val="4"/>
          </w:tcPr>
          <w:p>
            <w:pPr>
              <w:jc w:val="right"/>
              <w:spacing w:after="0" w:line="196" w:lineRule="exact"/>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gridSpan w:val="10"/>
          </w:tcPr>
          <w:p>
            <w:pPr>
              <w:ind w:left="22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13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100,874</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103,868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Rest of Europe</w:t>
            </w:r>
          </w:p>
        </w:tc>
        <w:tc>
          <w:tcPr>
            <w:tcW w:w="1360" w:type="dxa"/>
            <w:vAlign w:val="bottom"/>
          </w:tcPr>
          <w:p>
            <w:pPr>
              <w:spacing w:after="0"/>
              <w:rPr>
                <w:sz w:val="18"/>
                <w:szCs w:val="18"/>
                <w:color w:val="auto"/>
              </w:rPr>
            </w:pPr>
          </w:p>
        </w:tc>
        <w:tc>
          <w:tcPr>
            <w:tcW w:w="880" w:type="dxa"/>
            <w:vAlign w:val="bottom"/>
            <w:gridSpan w:val="4"/>
          </w:tcPr>
          <w:p>
            <w:pPr>
              <w:jc w:val="right"/>
              <w:ind w:right="100"/>
              <w:spacing w:after="0"/>
              <w:rPr>
                <w:sz w:val="20"/>
                <w:szCs w:val="20"/>
                <w:color w:val="auto"/>
              </w:rPr>
            </w:pPr>
            <w:r>
              <w:rPr>
                <w:rFonts w:ascii="Arial" w:cs="Arial" w:eastAsia="Arial" w:hAnsi="Arial"/>
                <w:sz w:val="18"/>
                <w:szCs w:val="18"/>
                <w:color w:val="auto"/>
              </w:rPr>
              <w:t>15,184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5"/>
          </w:tcPr>
          <w:p>
            <w:pPr>
              <w:jc w:val="right"/>
              <w:ind w:right="100"/>
              <w:spacing w:after="0"/>
              <w:rPr>
                <w:sz w:val="20"/>
                <w:szCs w:val="20"/>
                <w:color w:val="auto"/>
              </w:rPr>
            </w:pPr>
            <w:r>
              <w:rPr>
                <w:rFonts w:ascii="Arial" w:cs="Arial" w:eastAsia="Arial" w:hAnsi="Arial"/>
                <w:sz w:val="18"/>
                <w:szCs w:val="18"/>
                <w:color w:val="auto"/>
              </w:rPr>
              <w:t>14,630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136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32,996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33,947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 of World</w:t>
            </w:r>
          </w:p>
        </w:tc>
        <w:tc>
          <w:tcPr>
            <w:tcW w:w="1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8,133</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8,385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7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3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157,187</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160,830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8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7820" w:type="dxa"/>
            <w:vAlign w:val="bottom"/>
            <w:gridSpan w:val="2"/>
          </w:tcPr>
          <w:p>
            <w:pPr>
              <w:spacing w:after="0"/>
              <w:rPr>
                <w:sz w:val="20"/>
                <w:szCs w:val="20"/>
                <w:color w:val="auto"/>
              </w:rPr>
            </w:pPr>
            <w:r>
              <w:rPr>
                <w:rFonts w:ascii="Arial" w:cs="Arial" w:eastAsia="Arial" w:hAnsi="Arial"/>
                <w:sz w:val="18"/>
                <w:szCs w:val="18"/>
                <w:color w:val="auto"/>
              </w:rPr>
              <w:t>e) The distribution of depreciation and amortization by geographical area was as follows:</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Borders>
              <w:bottom w:val="single" w:sz="8" w:color="auto"/>
            </w:tcBorders>
            <w:gridSpan w:val="7"/>
          </w:tcPr>
          <w:p>
            <w:pPr>
              <w:spacing w:after="0"/>
              <w:rPr>
                <w:sz w:val="20"/>
                <w:szCs w:val="20"/>
                <w:color w:val="auto"/>
              </w:rPr>
            </w:pPr>
            <w:r>
              <w:rPr>
                <w:rFonts w:ascii="Arial" w:cs="Arial" w:eastAsia="Arial" w:hAnsi="Arial"/>
                <w:sz w:val="18"/>
                <w:szCs w:val="18"/>
                <w:b w:val="1"/>
                <w:bCs w:val="1"/>
                <w:color w:val="auto"/>
                <w:w w:val="90"/>
              </w:rPr>
              <w:t>Three Months Ended</w:t>
            </w:r>
          </w:p>
        </w:tc>
        <w:tc>
          <w:tcPr>
            <w:tcW w:w="4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8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w w:val="91"/>
              </w:rPr>
              <w:t>March 31,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20" w:type="dxa"/>
            <w:vAlign w:val="bottom"/>
            <w:tcBorders>
              <w:top w:val="single" w:sz="8" w:color="auto"/>
            </w:tcBorders>
            <w:gridSpan w:val="2"/>
          </w:tcPr>
          <w:p>
            <w:pPr>
              <w:spacing w:after="0"/>
              <w:rPr>
                <w:sz w:val="17"/>
                <w:szCs w:val="17"/>
                <w:color w:val="auto"/>
              </w:rPr>
            </w:pPr>
          </w:p>
        </w:tc>
        <w:tc>
          <w:tcPr>
            <w:tcW w:w="3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84"/>
              </w:rPr>
              <w:t>2014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gridSpan w:val="10"/>
          </w:tcPr>
          <w:p>
            <w:pPr>
              <w:ind w:left="22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13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5,149</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4,989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Rest of Europe</w:t>
            </w:r>
          </w:p>
        </w:tc>
        <w:tc>
          <w:tcPr>
            <w:tcW w:w="136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1,323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5"/>
          </w:tcPr>
          <w:p>
            <w:pPr>
              <w:jc w:val="right"/>
              <w:ind w:right="100"/>
              <w:spacing w:after="0"/>
              <w:rPr>
                <w:sz w:val="20"/>
                <w:szCs w:val="20"/>
                <w:color w:val="auto"/>
              </w:rPr>
            </w:pPr>
            <w:r>
              <w:rPr>
                <w:rFonts w:ascii="Arial" w:cs="Arial" w:eastAsia="Arial" w:hAnsi="Arial"/>
                <w:sz w:val="18"/>
                <w:szCs w:val="18"/>
                <w:color w:val="auto"/>
              </w:rPr>
              <w:t>1,734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13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4,203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3,718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 of World</w:t>
            </w:r>
          </w:p>
        </w:tc>
        <w:tc>
          <w:tcPr>
            <w:tcW w:w="1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873</w:t>
            </w: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7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3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11,548</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11,456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8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7820" w:type="dxa"/>
            <w:vAlign w:val="bottom"/>
            <w:gridSpan w:val="2"/>
          </w:tcPr>
          <w:p>
            <w:pPr>
              <w:spacing w:after="0"/>
              <w:rPr>
                <w:sz w:val="20"/>
                <w:szCs w:val="20"/>
                <w:color w:val="auto"/>
              </w:rPr>
            </w:pPr>
            <w:r>
              <w:rPr>
                <w:rFonts w:ascii="Arial" w:cs="Arial" w:eastAsia="Arial" w:hAnsi="Arial"/>
                <w:sz w:val="18"/>
                <w:szCs w:val="18"/>
                <w:color w:val="auto"/>
              </w:rPr>
              <w:t>f) The distribution of total assets by geographical area was as follows:</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8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w w:val="91"/>
              </w:rPr>
              <w:t>March 31,</w:t>
            </w:r>
          </w:p>
        </w:tc>
        <w:tc>
          <w:tcPr>
            <w:tcW w:w="200" w:type="dxa"/>
            <w:vAlign w:val="bottom"/>
          </w:tcPr>
          <w:p>
            <w:pPr>
              <w:spacing w:after="0"/>
              <w:rPr>
                <w:sz w:val="24"/>
                <w:szCs w:val="24"/>
                <w:color w:val="auto"/>
              </w:rPr>
            </w:pPr>
          </w:p>
        </w:tc>
        <w:tc>
          <w:tcPr>
            <w:tcW w:w="1160" w:type="dxa"/>
            <w:vAlign w:val="bottom"/>
            <w:gridSpan w:val="6"/>
          </w:tcPr>
          <w:p>
            <w:pPr>
              <w:jc w:val="right"/>
              <w:ind w:right="1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20" w:type="dxa"/>
            <w:vAlign w:val="bottom"/>
            <w:tcBorders>
              <w:top w:val="single" w:sz="8" w:color="auto"/>
            </w:tcBorders>
            <w:gridSpan w:val="2"/>
          </w:tcPr>
          <w:p>
            <w:pPr>
              <w:spacing w:after="0"/>
              <w:rPr>
                <w:sz w:val="17"/>
                <w:szCs w:val="17"/>
                <w:color w:val="auto"/>
              </w:rPr>
            </w:pPr>
          </w:p>
        </w:tc>
        <w:tc>
          <w:tcPr>
            <w:tcW w:w="3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84"/>
              </w:rPr>
              <w:t>2014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gridSpan w:val="4"/>
          </w:tcPr>
          <w:p>
            <w:pPr>
              <w:jc w:val="right"/>
              <w:spacing w:after="0" w:line="196" w:lineRule="exact"/>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gridSpan w:val="10"/>
          </w:tcPr>
          <w:p>
            <w:pPr>
              <w:ind w:left="22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13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655,923</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581,568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Rest of Europe</w:t>
            </w:r>
          </w:p>
        </w:tc>
        <w:tc>
          <w:tcPr>
            <w:tcW w:w="1360" w:type="dxa"/>
            <w:vAlign w:val="bottom"/>
          </w:tcPr>
          <w:p>
            <w:pPr>
              <w:spacing w:after="0"/>
              <w:rPr>
                <w:sz w:val="18"/>
                <w:szCs w:val="18"/>
                <w:color w:val="auto"/>
              </w:rPr>
            </w:pPr>
          </w:p>
        </w:tc>
        <w:tc>
          <w:tcPr>
            <w:tcW w:w="880" w:type="dxa"/>
            <w:vAlign w:val="bottom"/>
            <w:gridSpan w:val="4"/>
          </w:tcPr>
          <w:p>
            <w:pPr>
              <w:jc w:val="right"/>
              <w:ind w:right="100"/>
              <w:spacing w:after="0"/>
              <w:rPr>
                <w:sz w:val="20"/>
                <w:szCs w:val="20"/>
                <w:color w:val="auto"/>
              </w:rPr>
            </w:pPr>
            <w:r>
              <w:rPr>
                <w:rFonts w:ascii="Arial" w:cs="Arial" w:eastAsia="Arial" w:hAnsi="Arial"/>
                <w:sz w:val="18"/>
                <w:szCs w:val="18"/>
                <w:color w:val="auto"/>
              </w:rPr>
              <w:t>311,421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5"/>
          </w:tcPr>
          <w:p>
            <w:pPr>
              <w:jc w:val="right"/>
              <w:ind w:right="100"/>
              <w:spacing w:after="0"/>
              <w:rPr>
                <w:sz w:val="20"/>
                <w:szCs w:val="20"/>
                <w:color w:val="auto"/>
              </w:rPr>
            </w:pPr>
            <w:r>
              <w:rPr>
                <w:rFonts w:ascii="Arial" w:cs="Arial" w:eastAsia="Arial" w:hAnsi="Arial"/>
                <w:sz w:val="18"/>
                <w:szCs w:val="18"/>
                <w:color w:val="auto"/>
              </w:rPr>
              <w:t>321,661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13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464,363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486,232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 of World</w:t>
            </w:r>
          </w:p>
        </w:tc>
        <w:tc>
          <w:tcPr>
            <w:tcW w:w="1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52,834</w:t>
            </w: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52,999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3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4"/>
              </w:rPr>
              <w:t>1,484,541</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1,442,460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8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7820" w:type="dxa"/>
            <w:vAlign w:val="bottom"/>
            <w:gridSpan w:val="2"/>
          </w:tcPr>
          <w:p>
            <w:pPr>
              <w:jc w:val="right"/>
              <w:ind w:right="1930"/>
              <w:spacing w:after="0"/>
              <w:rPr>
                <w:sz w:val="20"/>
                <w:szCs w:val="20"/>
                <w:color w:val="auto"/>
              </w:rPr>
            </w:pPr>
            <w:r>
              <w:rPr>
                <w:rFonts w:ascii="Arial" w:cs="Arial" w:eastAsia="Arial" w:hAnsi="Arial"/>
                <w:sz w:val="18"/>
                <w:szCs w:val="18"/>
                <w:color w:val="auto"/>
              </w:rPr>
              <w:t>15</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80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ICON plc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5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following discussion and analysis should be read in conjunction with the unaudited Condensed Consolidated Financial Statements and accompanying notes included elsewhere herein and the Consolidated Financial Statements and related notes thereto included in our Form 20-F for the year ended December 31, 2013. The Consolidated Financial Statements have been prepared in accordance with accounting principles generally accepted in the United States.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contract research organization (“CRO”), providing outsourced development services on a global basis to the pharmaceutical, biotechnology and medical device industries. We specialize in the strategic development, management and analysis of programs that support all stages of the clinical development process - from compound selection to Phase I-IV clinical studies. Our vision is to be the Global CRO partner of choice in drug development by delivering best in class information, solutions and performance in clinical and outcomes research.</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 service” solution. At March 31, 2014, we employed approximately 10,300 employees, in 76 locations in 37 countries. During the year ended March 31, 2014 we derived approximately 40.5%, 49.1% and 10.4% of our net revenue in the United States, Europe and Rest of World, respectively.</w:t>
      </w:r>
    </w:p>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Revenue consists primarily of fees earned under contracts with third-party clients. In most cases, a portion of the contract fee is paid at the time the study or trial is started, with the balance of the contract fee generally payable in installments over the study or trial duration, based on the achievement of certain performance targets or "milestones". Revenue from contracts is recognized on a proportional performance method based on the relationship between time incurred and the total estimated duration of the trial or on a fee-for-service basis according to the particular circumstances of the contract. As is customary in the CRO industry, we contract with third party investigators in connection with clinical trials. All investigator fees and certain other costs, where reimbursed by clients, are, in accordance with industry practice, deducted from gross revenue to arrive at net revenue. As these costs vary from contract to contract, we view net revenue as our primary measure of revenue growth.</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the nature of our business involves the management of projects having a typical duration of one to four years, the commencement or completion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such clients from year to year.</w:t>
      </w:r>
    </w:p>
    <w:p>
      <w:pPr>
        <w:spacing w:after="0" w:line="21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Termination or delay in the performance of an individual contract may occur for various reasons, including, but not limited to, unexpected or undesired results, production problems resulting in shortages of the drug, adverse patient reactions to the drug, the client’s decision to de-emphasize a particular trial or inadequate patient enrolment or investigator recruitment. In the event of termination the Company is usually entitled to all sums owed for work performed through the notice of termination and certain costs associated with the termination of the study. In addition, contracts generally contain provisions for renegotiation in the event of changes in the scope, nature, duration, or volume of services of the contract.</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backlog consists of potential net revenue yet to be earned from projects awarded by clients. At March 31, 2014 and December 31, 2013 we had a backlog of approximately $3.1 billion. We believe that our backlog as of any date is not necessarily a meaningful predictor of future results, due to the potential for cancellation or delay of the projects underlying the backlog, and no assurances can be given on the extent to which we will be able to realize this backlog as net revenue.</w:t>
      </w:r>
    </w:p>
    <w:p>
      <w:pPr>
        <w:spacing w:after="0" w:line="21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Although we are domiciled in Ireland, we report our results in U.S. dollars. As a consequence the results of our non-U.S. based operations, when translated into U.S. dollars, could be materially affected by fluctuations in exchange rates between the U.S. dollar and the currencies of those operations.</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7" w:name="page18"/>
    <w:bookmarkEnd w:id="17"/>
    <w:p>
      <w:pPr>
        <w:jc w:val="both"/>
        <w:spacing w:after="0" w:line="270" w:lineRule="auto"/>
        <w:rPr>
          <w:sz w:val="20"/>
          <w:szCs w:val="20"/>
          <w:color w:val="auto"/>
        </w:rPr>
      </w:pPr>
      <w:r>
        <w:rPr>
          <w:rFonts w:ascii="Arial" w:cs="Arial" w:eastAsia="Arial" w:hAnsi="Arial"/>
          <w:sz w:val="17"/>
          <w:szCs w:val="17"/>
          <w:color w:val="auto"/>
        </w:rPr>
        <w:t>In addition to translation exposures, we are also subject to transaction exposures because the currency in which contracts are priced can be different from the currencies in which costs relating to those contracts are incurred. Our operations in the United States are not materially exposed to such currency differences as the majority of our revenues and costs are in U.S. dollars. However, outside the United States the multinational nature of our activities means that contracts are usually priced in a single currency, most often U.S. dollars or euro,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 We regularly review our currency exposures and usually negotiate currency fluctuation clauses in our contracts which allow for price negotiation if changes in the relative value of those currencies exceed predetermined tolerances.</w:t>
      </w:r>
    </w:p>
    <w:p>
      <w:pPr>
        <w:spacing w:after="0" w:line="20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we conduct operations on a global basis, our effective tax rate has depended and will depend on the geographic distribution of our revenue and earnings among locations with varying tax rates. Our results therefore may be affected by changes in the tax rates of the various jurisdictions. In particular, as the geographic mix of our results of operations among various tax jurisdictions changes, our effective tax rate may vary significantly from period to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2014 compared with Three Months Ended March 31, 2013</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40" w:type="dxa"/>
            <w:vAlign w:val="bottom"/>
            <w:gridSpan w:val="9"/>
          </w:tcPr>
          <w:p>
            <w:pPr>
              <w:jc w:val="right"/>
              <w:ind w:right="820"/>
              <w:spacing w:after="0"/>
              <w:rPr>
                <w:sz w:val="20"/>
                <w:szCs w:val="20"/>
                <w:color w:val="auto"/>
              </w:rPr>
            </w:pPr>
            <w:r>
              <w:rPr>
                <w:rFonts w:ascii="Arial" w:cs="Arial" w:eastAsia="Arial" w:hAnsi="Arial"/>
                <w:sz w:val="18"/>
                <w:szCs w:val="18"/>
                <w:b w:val="1"/>
                <w:bCs w:val="1"/>
                <w:color w:val="auto"/>
                <w:w w:val="89"/>
              </w:rPr>
              <w:t>Three Months Ended</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4"/>
          </w:tcPr>
          <w:p>
            <w:pPr>
              <w:jc w:val="right"/>
              <w:ind w:right="380"/>
              <w:spacing w:after="0" w:line="196" w:lineRule="exact"/>
              <w:rPr>
                <w:sz w:val="20"/>
                <w:szCs w:val="20"/>
                <w:color w:val="auto"/>
              </w:rPr>
            </w:pPr>
            <w:r>
              <w:rPr>
                <w:rFonts w:ascii="Arial" w:cs="Arial" w:eastAsia="Arial" w:hAnsi="Arial"/>
                <w:sz w:val="18"/>
                <w:szCs w:val="18"/>
                <w:b w:val="1"/>
                <w:bCs w:val="1"/>
                <w:color w:val="auto"/>
                <w:w w:val="93"/>
              </w:rPr>
              <w:t>March 31,</w:t>
            </w:r>
          </w:p>
        </w:tc>
        <w:tc>
          <w:tcPr>
            <w:tcW w:w="1380" w:type="dxa"/>
            <w:vAlign w:val="bottom"/>
            <w:gridSpan w:val="6"/>
          </w:tcPr>
          <w:p>
            <w:pPr>
              <w:jc w:val="right"/>
              <w:ind w:right="360"/>
              <w:spacing w:after="0" w:line="196" w:lineRule="exact"/>
              <w:rPr>
                <w:sz w:val="20"/>
                <w:szCs w:val="20"/>
                <w:color w:val="auto"/>
              </w:rPr>
            </w:pPr>
            <w:r>
              <w:rPr>
                <w:rFonts w:ascii="Arial" w:cs="Arial" w:eastAsia="Arial" w:hAnsi="Arial"/>
                <w:sz w:val="18"/>
                <w:szCs w:val="18"/>
                <w:b w:val="1"/>
                <w:bCs w:val="1"/>
                <w:color w:val="auto"/>
              </w:rPr>
              <w:t>March 31,</w:t>
            </w:r>
          </w:p>
        </w:tc>
        <w:tc>
          <w:tcPr>
            <w:tcW w:w="1040" w:type="dxa"/>
            <w:vAlign w:val="bottom"/>
            <w:gridSpan w:val="6"/>
          </w:tcPr>
          <w:p>
            <w:pPr>
              <w:jc w:val="right"/>
              <w:spacing w:after="0" w:line="196" w:lineRule="exact"/>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400" w:type="dxa"/>
            <w:vAlign w:val="bottom"/>
            <w:gridSpan w:val="2"/>
          </w:tcPr>
          <w:p>
            <w:pPr>
              <w:spacing w:after="0"/>
              <w:rPr>
                <w:sz w:val="17"/>
                <w:szCs w:val="17"/>
                <w:color w:val="auto"/>
              </w:rPr>
            </w:pPr>
          </w:p>
        </w:tc>
        <w:tc>
          <w:tcPr>
            <w:tcW w:w="1180" w:type="dxa"/>
            <w:vAlign w:val="bottom"/>
            <w:gridSpan w:val="4"/>
          </w:tcPr>
          <w:p>
            <w:pPr>
              <w:jc w:val="right"/>
              <w:ind w:right="380"/>
              <w:spacing w:after="0" w:line="196" w:lineRule="exact"/>
              <w:rPr>
                <w:sz w:val="20"/>
                <w:szCs w:val="20"/>
                <w:color w:val="auto"/>
              </w:rPr>
            </w:pPr>
            <w:r>
              <w:rPr>
                <w:rFonts w:ascii="Arial" w:cs="Arial" w:eastAsia="Arial" w:hAnsi="Arial"/>
                <w:sz w:val="18"/>
                <w:szCs w:val="18"/>
                <w:b w:val="1"/>
                <w:bCs w:val="1"/>
                <w:color w:val="auto"/>
              </w:rPr>
              <w:t>2014</w:t>
            </w:r>
          </w:p>
        </w:tc>
        <w:tc>
          <w:tcPr>
            <w:tcW w:w="1380" w:type="dxa"/>
            <w:vAlign w:val="bottom"/>
            <w:gridSpan w:val="6"/>
          </w:tcPr>
          <w:p>
            <w:pPr>
              <w:jc w:val="right"/>
              <w:ind w:right="360"/>
              <w:spacing w:after="0" w:line="196" w:lineRule="exact"/>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4"/>
          </w:tcPr>
          <w:p>
            <w:pPr>
              <w:jc w:val="right"/>
              <w:ind w:right="220"/>
              <w:spacing w:after="0" w:line="196" w:lineRule="exact"/>
              <w:rPr>
                <w:sz w:val="20"/>
                <w:szCs w:val="20"/>
                <w:color w:val="auto"/>
              </w:rPr>
            </w:pPr>
            <w:r>
              <w:rPr>
                <w:rFonts w:ascii="Arial" w:cs="Arial" w:eastAsia="Arial" w:hAnsi="Arial"/>
                <w:sz w:val="18"/>
                <w:szCs w:val="18"/>
                <w:b w:val="1"/>
                <w:bCs w:val="1"/>
                <w:color w:val="auto"/>
                <w:w w:val="86"/>
              </w:rPr>
              <w:t>to 2013</w:t>
            </w:r>
          </w:p>
        </w:tc>
      </w:tr>
      <w:tr>
        <w:trPr>
          <w:trHeight w:val="20"/>
        </w:trPr>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gridSpan w:val="8"/>
          </w:tcPr>
          <w:p>
            <w:pPr>
              <w:jc w:val="right"/>
              <w:ind w:right="220"/>
              <w:spacing w:after="0" w:line="196" w:lineRule="exact"/>
              <w:rPr>
                <w:sz w:val="20"/>
                <w:szCs w:val="20"/>
                <w:color w:val="auto"/>
              </w:rPr>
            </w:pPr>
            <w:r>
              <w:rPr>
                <w:rFonts w:ascii="Arial" w:cs="Arial" w:eastAsia="Arial" w:hAnsi="Arial"/>
                <w:sz w:val="18"/>
                <w:szCs w:val="18"/>
                <w:b w:val="1"/>
                <w:bCs w:val="1"/>
                <w:color w:val="auto"/>
              </w:rPr>
              <w:t>Percentage</w:t>
            </w:r>
          </w:p>
        </w:tc>
      </w:tr>
      <w:tr>
        <w:trPr>
          <w:trHeight w:val="196"/>
        </w:trPr>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3960" w:type="dxa"/>
            <w:vAlign w:val="bottom"/>
            <w:gridSpan w:val="12"/>
          </w:tcPr>
          <w:p>
            <w:pPr>
              <w:jc w:val="right"/>
              <w:ind w:right="600"/>
              <w:spacing w:after="0" w:line="196" w:lineRule="exact"/>
              <w:rPr>
                <w:sz w:val="20"/>
                <w:szCs w:val="20"/>
                <w:color w:val="auto"/>
              </w:rPr>
            </w:pPr>
            <w:r>
              <w:rPr>
                <w:rFonts w:ascii="Arial" w:cs="Arial" w:eastAsia="Arial" w:hAnsi="Arial"/>
                <w:sz w:val="18"/>
                <w:szCs w:val="18"/>
                <w:b w:val="1"/>
                <w:bCs w:val="1"/>
                <w:color w:val="auto"/>
              </w:rPr>
              <w:t>Percentage of Net Revenue</w:t>
            </w:r>
          </w:p>
        </w:tc>
        <w:tc>
          <w:tcPr>
            <w:tcW w:w="20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gridSpan w:val="4"/>
          </w:tcPr>
          <w:p>
            <w:pPr>
              <w:jc w:val="right"/>
              <w:ind w:right="20"/>
              <w:spacing w:after="0" w:line="196" w:lineRule="exact"/>
              <w:rPr>
                <w:sz w:val="20"/>
                <w:szCs w:val="20"/>
                <w:color w:val="auto"/>
              </w:rPr>
            </w:pPr>
            <w:r>
              <w:rPr>
                <w:rFonts w:ascii="Arial" w:cs="Arial" w:eastAsia="Arial" w:hAnsi="Arial"/>
                <w:sz w:val="18"/>
                <w:szCs w:val="18"/>
                <w:b w:val="1"/>
                <w:bCs w:val="1"/>
                <w:color w:val="auto"/>
                <w:w w:val="87"/>
              </w:rPr>
              <w:t>Increase/</w:t>
            </w:r>
          </w:p>
        </w:tc>
        <w:tc>
          <w:tcPr>
            <w:tcW w:w="200" w:type="dxa"/>
            <w:vAlign w:val="bottom"/>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gridSpan w:val="6"/>
          </w:tcPr>
          <w:p>
            <w:pPr>
              <w:jc w:val="right"/>
              <w:ind w:right="220"/>
              <w:spacing w:after="0" w:line="196" w:lineRule="exact"/>
              <w:rPr>
                <w:sz w:val="20"/>
                <w:szCs w:val="20"/>
                <w:color w:val="auto"/>
              </w:rPr>
            </w:pPr>
            <w:r>
              <w:rPr>
                <w:rFonts w:ascii="Arial" w:cs="Arial" w:eastAsia="Arial" w:hAnsi="Arial"/>
                <w:sz w:val="18"/>
                <w:szCs w:val="18"/>
                <w:b w:val="1"/>
                <w:bCs w:val="1"/>
                <w:color w:val="auto"/>
                <w:w w:val="84"/>
              </w:rPr>
              <w:t>(Decrease)</w:t>
            </w:r>
          </w:p>
        </w:tc>
      </w:tr>
      <w:tr>
        <w:trPr>
          <w:trHeight w:val="237"/>
        </w:trPr>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23"/>
        </w:trPr>
        <w:tc>
          <w:tcPr>
            <w:tcW w:w="180" w:type="dxa"/>
            <w:vAlign w:val="bottom"/>
            <w:tcBorders>
              <w:bottom w:val="single" w:sz="8" w:color="auto"/>
            </w:tcBorders>
            <w:shd w:val="clear" w:color="auto" w:fill="CCEEFF"/>
          </w:tcPr>
          <w:p>
            <w:pPr>
              <w:spacing w:after="0"/>
              <w:rPr>
                <w:sz w:val="19"/>
                <w:szCs w:val="19"/>
                <w:color w:val="auto"/>
              </w:rPr>
            </w:pPr>
          </w:p>
        </w:tc>
        <w:tc>
          <w:tcPr>
            <w:tcW w:w="60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Net revenue</w:t>
            </w:r>
          </w:p>
        </w:tc>
        <w:tc>
          <w:tcPr>
            <w:tcW w:w="2580" w:type="dxa"/>
            <w:vAlign w:val="bottom"/>
            <w:tcBorders>
              <w:bottom w:val="single" w:sz="8" w:color="auto"/>
            </w:tcBorders>
            <w:gridSpan w:val="6"/>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1380" w:type="dxa"/>
            <w:vAlign w:val="bottom"/>
            <w:tcBorders>
              <w:bottom w:val="single" w:sz="8" w:color="auto"/>
            </w:tcBorders>
            <w:gridSpan w:val="6"/>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260" w:type="dxa"/>
            <w:vAlign w:val="bottom"/>
            <w:tcBorders>
              <w:bottom w:val="single" w:sz="8" w:color="auto"/>
            </w:tcBorders>
            <w:gridSpan w:val="8"/>
            <w:shd w:val="clear" w:color="auto" w:fill="CCEEFF"/>
          </w:tcPr>
          <w:p>
            <w:pPr>
              <w:jc w:val="right"/>
              <w:ind w:right="60"/>
              <w:spacing w:after="0"/>
              <w:rPr>
                <w:sz w:val="20"/>
                <w:szCs w:val="20"/>
                <w:color w:val="auto"/>
              </w:rPr>
            </w:pPr>
            <w:r>
              <w:rPr>
                <w:rFonts w:ascii="Arial" w:cs="Arial" w:eastAsia="Arial" w:hAnsi="Arial"/>
                <w:sz w:val="18"/>
                <w:szCs w:val="18"/>
                <w:color w:val="auto"/>
              </w:rPr>
              <w:t>10.4%</w:t>
            </w:r>
          </w:p>
        </w:tc>
      </w:tr>
      <w:tr>
        <w:trPr>
          <w:trHeight w:val="216"/>
        </w:trPr>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4"/>
              </w:rPr>
              <w:t>Costs and expenses:</w:t>
            </w:r>
          </w:p>
        </w:tc>
        <w:tc>
          <w:tcPr>
            <w:tcW w:w="45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left w:val="single" w:sz="8" w:color="CCEEFF"/>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left w:val="single" w:sz="8" w:color="CCEEFF"/>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r>
      <w:tr>
        <w:trPr>
          <w:trHeight w:val="216"/>
        </w:trPr>
        <w:tc>
          <w:tcPr>
            <w:tcW w:w="18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Direct costs</w:t>
            </w:r>
          </w:p>
        </w:tc>
        <w:tc>
          <w:tcPr>
            <w:tcW w:w="2580" w:type="dxa"/>
            <w:vAlign w:val="bottom"/>
            <w:gridSpan w:val="6"/>
          </w:tcPr>
          <w:p>
            <w:pPr>
              <w:jc w:val="right"/>
              <w:ind w:right="240"/>
              <w:spacing w:after="0"/>
              <w:rPr>
                <w:sz w:val="20"/>
                <w:szCs w:val="20"/>
                <w:color w:val="auto"/>
              </w:rPr>
            </w:pPr>
            <w:r>
              <w:rPr>
                <w:rFonts w:ascii="Arial" w:cs="Arial" w:eastAsia="Arial" w:hAnsi="Arial"/>
                <w:sz w:val="18"/>
                <w:szCs w:val="18"/>
                <w:color w:val="auto"/>
              </w:rPr>
              <w:t>61.8%</w:t>
            </w:r>
          </w:p>
        </w:tc>
        <w:tc>
          <w:tcPr>
            <w:tcW w:w="1380" w:type="dxa"/>
            <w:vAlign w:val="bottom"/>
            <w:gridSpan w:val="6"/>
          </w:tcPr>
          <w:p>
            <w:pPr>
              <w:jc w:val="right"/>
              <w:ind w:right="220"/>
              <w:spacing w:after="0"/>
              <w:rPr>
                <w:sz w:val="20"/>
                <w:szCs w:val="20"/>
                <w:color w:val="auto"/>
              </w:rPr>
            </w:pPr>
            <w:r>
              <w:rPr>
                <w:rFonts w:ascii="Arial" w:cs="Arial" w:eastAsia="Arial" w:hAnsi="Arial"/>
                <w:sz w:val="18"/>
                <w:szCs w:val="18"/>
                <w:color w:val="auto"/>
              </w:rPr>
              <w:t>63.9%</w:t>
            </w:r>
          </w:p>
        </w:tc>
        <w:tc>
          <w:tcPr>
            <w:tcW w:w="1260" w:type="dxa"/>
            <w:vAlign w:val="bottom"/>
            <w:gridSpan w:val="8"/>
          </w:tcPr>
          <w:p>
            <w:pPr>
              <w:jc w:val="right"/>
              <w:ind w:right="60"/>
              <w:spacing w:after="0"/>
              <w:rPr>
                <w:sz w:val="20"/>
                <w:szCs w:val="20"/>
                <w:color w:val="auto"/>
              </w:rPr>
            </w:pPr>
            <w:r>
              <w:rPr>
                <w:rFonts w:ascii="Arial" w:cs="Arial" w:eastAsia="Arial" w:hAnsi="Arial"/>
                <w:sz w:val="18"/>
                <w:szCs w:val="18"/>
                <w:color w:val="auto"/>
              </w:rPr>
              <w:t>6.8%</w:t>
            </w:r>
          </w:p>
        </w:tc>
      </w:tr>
      <w:tr>
        <w:trPr>
          <w:trHeight w:val="216"/>
        </w:trPr>
        <w:tc>
          <w:tcPr>
            <w:tcW w:w="180" w:type="dxa"/>
            <w:vAlign w:val="bottom"/>
            <w:shd w:val="clear" w:color="auto" w:fill="CCEEFF"/>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580" w:type="dxa"/>
            <w:vAlign w:val="bottom"/>
            <w:gridSpan w:val="6"/>
            <w:shd w:val="clear" w:color="auto" w:fill="CCEEFF"/>
          </w:tcPr>
          <w:p>
            <w:pPr>
              <w:jc w:val="right"/>
              <w:ind w:right="240"/>
              <w:spacing w:after="0"/>
              <w:rPr>
                <w:sz w:val="20"/>
                <w:szCs w:val="20"/>
                <w:color w:val="auto"/>
              </w:rPr>
            </w:pPr>
            <w:r>
              <w:rPr>
                <w:rFonts w:ascii="Arial" w:cs="Arial" w:eastAsia="Arial" w:hAnsi="Arial"/>
                <w:sz w:val="18"/>
                <w:szCs w:val="18"/>
                <w:color w:val="auto"/>
              </w:rPr>
              <w:t>22.6%</w:t>
            </w:r>
          </w:p>
        </w:tc>
        <w:tc>
          <w:tcPr>
            <w:tcW w:w="1380" w:type="dxa"/>
            <w:vAlign w:val="bottom"/>
            <w:gridSpan w:val="6"/>
            <w:shd w:val="clear" w:color="auto" w:fill="CCEEFF"/>
          </w:tcPr>
          <w:p>
            <w:pPr>
              <w:jc w:val="right"/>
              <w:ind w:right="220"/>
              <w:spacing w:after="0"/>
              <w:rPr>
                <w:sz w:val="20"/>
                <w:szCs w:val="20"/>
                <w:color w:val="auto"/>
              </w:rPr>
            </w:pPr>
            <w:r>
              <w:rPr>
                <w:rFonts w:ascii="Arial" w:cs="Arial" w:eastAsia="Arial" w:hAnsi="Arial"/>
                <w:sz w:val="18"/>
                <w:szCs w:val="18"/>
                <w:color w:val="auto"/>
              </w:rPr>
              <w:t>23.8%</w:t>
            </w:r>
          </w:p>
        </w:tc>
        <w:tc>
          <w:tcPr>
            <w:tcW w:w="1260" w:type="dxa"/>
            <w:vAlign w:val="bottom"/>
            <w:gridSpan w:val="8"/>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r>
      <w:tr>
        <w:trPr>
          <w:trHeight w:val="216"/>
        </w:trPr>
        <w:tc>
          <w:tcPr>
            <w:tcW w:w="18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Depreciation</w:t>
            </w:r>
          </w:p>
        </w:tc>
        <w:tc>
          <w:tcPr>
            <w:tcW w:w="2580" w:type="dxa"/>
            <w:vAlign w:val="bottom"/>
            <w:gridSpan w:val="6"/>
          </w:tcPr>
          <w:p>
            <w:pPr>
              <w:jc w:val="right"/>
              <w:ind w:right="240"/>
              <w:spacing w:after="0"/>
              <w:rPr>
                <w:sz w:val="20"/>
                <w:szCs w:val="20"/>
                <w:color w:val="auto"/>
              </w:rPr>
            </w:pPr>
            <w:r>
              <w:rPr>
                <w:rFonts w:ascii="Arial" w:cs="Arial" w:eastAsia="Arial" w:hAnsi="Arial"/>
                <w:sz w:val="18"/>
                <w:szCs w:val="18"/>
                <w:color w:val="auto"/>
              </w:rPr>
              <w:t>2.8%</w:t>
            </w:r>
          </w:p>
        </w:tc>
        <w:tc>
          <w:tcPr>
            <w:tcW w:w="1380" w:type="dxa"/>
            <w:vAlign w:val="bottom"/>
            <w:gridSpan w:val="6"/>
          </w:tcPr>
          <w:p>
            <w:pPr>
              <w:jc w:val="right"/>
              <w:ind w:right="220"/>
              <w:spacing w:after="0"/>
              <w:rPr>
                <w:sz w:val="20"/>
                <w:szCs w:val="20"/>
                <w:color w:val="auto"/>
              </w:rPr>
            </w:pPr>
            <w:r>
              <w:rPr>
                <w:rFonts w:ascii="Arial" w:cs="Arial" w:eastAsia="Arial" w:hAnsi="Arial"/>
                <w:sz w:val="18"/>
                <w:szCs w:val="18"/>
                <w:color w:val="auto"/>
              </w:rPr>
              <w:t>3.1%</w:t>
            </w:r>
          </w:p>
        </w:tc>
        <w:tc>
          <w:tcPr>
            <w:tcW w:w="1260" w:type="dxa"/>
            <w:vAlign w:val="bottom"/>
            <w:gridSpan w:val="8"/>
          </w:tcPr>
          <w:p>
            <w:pPr>
              <w:jc w:val="right"/>
              <w:spacing w:after="0"/>
              <w:rPr>
                <w:sz w:val="20"/>
                <w:szCs w:val="20"/>
                <w:color w:val="auto"/>
              </w:rPr>
            </w:pPr>
            <w:r>
              <w:rPr>
                <w:rFonts w:ascii="Arial" w:cs="Arial" w:eastAsia="Arial" w:hAnsi="Arial"/>
                <w:sz w:val="18"/>
                <w:szCs w:val="18"/>
                <w:color w:val="auto"/>
              </w:rPr>
              <w:t>(0.3)%</w:t>
            </w:r>
          </w:p>
        </w:tc>
      </w:tr>
      <w:tr>
        <w:trPr>
          <w:trHeight w:val="223"/>
        </w:trPr>
        <w:tc>
          <w:tcPr>
            <w:tcW w:w="180" w:type="dxa"/>
            <w:vAlign w:val="bottom"/>
            <w:tcBorders>
              <w:bottom w:val="single" w:sz="8" w:color="auto"/>
            </w:tcBorders>
            <w:shd w:val="clear" w:color="auto" w:fill="CCEEFF"/>
          </w:tcPr>
          <w:p>
            <w:pPr>
              <w:spacing w:after="0"/>
              <w:rPr>
                <w:sz w:val="19"/>
                <w:szCs w:val="19"/>
                <w:color w:val="auto"/>
              </w:rPr>
            </w:pPr>
          </w:p>
        </w:tc>
        <w:tc>
          <w:tcPr>
            <w:tcW w:w="60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Amortization</w:t>
            </w:r>
          </w:p>
        </w:tc>
        <w:tc>
          <w:tcPr>
            <w:tcW w:w="2580" w:type="dxa"/>
            <w:vAlign w:val="bottom"/>
            <w:tcBorders>
              <w:bottom w:val="single" w:sz="8" w:color="auto"/>
            </w:tcBorders>
            <w:gridSpan w:val="6"/>
            <w:shd w:val="clear" w:color="auto" w:fill="CCEEFF"/>
          </w:tcPr>
          <w:p>
            <w:pPr>
              <w:jc w:val="right"/>
              <w:ind w:right="240"/>
              <w:spacing w:after="0"/>
              <w:rPr>
                <w:sz w:val="20"/>
                <w:szCs w:val="20"/>
                <w:color w:val="auto"/>
              </w:rPr>
            </w:pPr>
            <w:r>
              <w:rPr>
                <w:rFonts w:ascii="Arial" w:cs="Arial" w:eastAsia="Arial" w:hAnsi="Arial"/>
                <w:sz w:val="18"/>
                <w:szCs w:val="18"/>
                <w:color w:val="auto"/>
              </w:rPr>
              <w:t>0.5%</w:t>
            </w:r>
          </w:p>
        </w:tc>
        <w:tc>
          <w:tcPr>
            <w:tcW w:w="1380" w:type="dxa"/>
            <w:vAlign w:val="bottom"/>
            <w:tcBorders>
              <w:bottom w:val="single" w:sz="8" w:color="auto"/>
            </w:tcBorders>
            <w:gridSpan w:val="6"/>
            <w:shd w:val="clear" w:color="auto" w:fill="CCEEFF"/>
          </w:tcPr>
          <w:p>
            <w:pPr>
              <w:jc w:val="right"/>
              <w:ind w:right="220"/>
              <w:spacing w:after="0"/>
              <w:rPr>
                <w:sz w:val="20"/>
                <w:szCs w:val="20"/>
                <w:color w:val="auto"/>
              </w:rPr>
            </w:pPr>
            <w:r>
              <w:rPr>
                <w:rFonts w:ascii="Arial" w:cs="Arial" w:eastAsia="Arial" w:hAnsi="Arial"/>
                <w:sz w:val="18"/>
                <w:szCs w:val="18"/>
                <w:color w:val="auto"/>
              </w:rPr>
              <w:t>0.5%</w:t>
            </w:r>
          </w:p>
        </w:tc>
        <w:tc>
          <w:tcPr>
            <w:tcW w:w="1260" w:type="dxa"/>
            <w:vAlign w:val="bottom"/>
            <w:tcBorders>
              <w:bottom w:val="single" w:sz="8" w:color="auto"/>
            </w:tcBorders>
            <w:gridSpan w:val="8"/>
            <w:shd w:val="clear" w:color="auto" w:fill="CCEEFF"/>
          </w:tcPr>
          <w:p>
            <w:pPr>
              <w:jc w:val="right"/>
              <w:ind w:right="60"/>
              <w:spacing w:after="0"/>
              <w:rPr>
                <w:sz w:val="20"/>
                <w:szCs w:val="20"/>
                <w:color w:val="auto"/>
              </w:rPr>
            </w:pPr>
            <w:r>
              <w:rPr>
                <w:rFonts w:ascii="Arial" w:cs="Arial" w:eastAsia="Arial" w:hAnsi="Arial"/>
                <w:sz w:val="18"/>
                <w:szCs w:val="18"/>
                <w:color w:val="auto"/>
              </w:rPr>
              <w:t>7.0%</w:t>
            </w:r>
          </w:p>
        </w:tc>
      </w:tr>
      <w:tr>
        <w:trPr>
          <w:trHeight w:val="216"/>
        </w:trPr>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 (excluding restructuring and other items)</w:t>
            </w:r>
          </w:p>
        </w:tc>
        <w:tc>
          <w:tcPr>
            <w:tcW w:w="2580" w:type="dxa"/>
            <w:vAlign w:val="bottom"/>
            <w:gridSpan w:val="6"/>
            <w:shd w:val="clear" w:color="auto" w:fill="CCEEFF"/>
          </w:tcPr>
          <w:p>
            <w:pPr>
              <w:jc w:val="right"/>
              <w:ind w:right="240"/>
              <w:spacing w:after="0"/>
              <w:rPr>
                <w:sz w:val="20"/>
                <w:szCs w:val="20"/>
                <w:color w:val="auto"/>
              </w:rPr>
            </w:pPr>
            <w:r>
              <w:rPr>
                <w:rFonts w:ascii="Arial" w:cs="Arial" w:eastAsia="Arial" w:hAnsi="Arial"/>
                <w:sz w:val="18"/>
                <w:szCs w:val="18"/>
                <w:color w:val="auto"/>
              </w:rPr>
              <w:t>12.3%</w:t>
            </w:r>
          </w:p>
        </w:tc>
        <w:tc>
          <w:tcPr>
            <w:tcW w:w="1380" w:type="dxa"/>
            <w:vAlign w:val="bottom"/>
            <w:gridSpan w:val="6"/>
            <w:shd w:val="clear" w:color="auto" w:fill="CCEEFF"/>
          </w:tcPr>
          <w:p>
            <w:pPr>
              <w:jc w:val="right"/>
              <w:ind w:right="220"/>
              <w:spacing w:after="0"/>
              <w:rPr>
                <w:sz w:val="20"/>
                <w:szCs w:val="20"/>
                <w:color w:val="auto"/>
              </w:rPr>
            </w:pPr>
            <w:r>
              <w:rPr>
                <w:rFonts w:ascii="Arial" w:cs="Arial" w:eastAsia="Arial" w:hAnsi="Arial"/>
                <w:sz w:val="18"/>
                <w:szCs w:val="18"/>
                <w:color w:val="auto"/>
              </w:rPr>
              <w:t>8.7%</w:t>
            </w:r>
          </w:p>
        </w:tc>
        <w:tc>
          <w:tcPr>
            <w:tcW w:w="1260" w:type="dxa"/>
            <w:vAlign w:val="bottom"/>
            <w:gridSpan w:val="8"/>
            <w:shd w:val="clear" w:color="auto" w:fill="CCEEFF"/>
          </w:tcPr>
          <w:p>
            <w:pPr>
              <w:jc w:val="right"/>
              <w:ind w:right="60"/>
              <w:spacing w:after="0"/>
              <w:rPr>
                <w:sz w:val="20"/>
                <w:szCs w:val="20"/>
                <w:color w:val="auto"/>
              </w:rPr>
            </w:pPr>
            <w:r>
              <w:rPr>
                <w:rFonts w:ascii="Arial" w:cs="Arial" w:eastAsia="Arial" w:hAnsi="Arial"/>
                <w:sz w:val="18"/>
                <w:szCs w:val="18"/>
                <w:color w:val="auto"/>
              </w:rPr>
              <w:t>56.9%</w:t>
            </w:r>
          </w:p>
        </w:tc>
      </w:tr>
      <w:tr>
        <w:trPr>
          <w:trHeight w:val="223"/>
        </w:trPr>
        <w:tc>
          <w:tcPr>
            <w:tcW w:w="180" w:type="dxa"/>
            <w:vAlign w:val="bottom"/>
            <w:tcBorders>
              <w:bottom w:val="single" w:sz="8" w:color="auto"/>
            </w:tcBorders>
          </w:tcPr>
          <w:p>
            <w:pPr>
              <w:spacing w:after="0"/>
              <w:rPr>
                <w:sz w:val="19"/>
                <w:szCs w:val="19"/>
                <w:color w:val="auto"/>
              </w:rPr>
            </w:pPr>
          </w:p>
        </w:tc>
        <w:tc>
          <w:tcPr>
            <w:tcW w:w="6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Restructuring and other items</w:t>
            </w:r>
          </w:p>
        </w:tc>
        <w:tc>
          <w:tcPr>
            <w:tcW w:w="2580" w:type="dxa"/>
            <w:vAlign w:val="bottom"/>
            <w:tcBorders>
              <w:bottom w:val="single" w:sz="8" w:color="auto"/>
            </w:tcBorders>
            <w:gridSpan w:val="6"/>
          </w:tcPr>
          <w:p>
            <w:pPr>
              <w:jc w:val="right"/>
              <w:ind w:right="38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gridSpan w:val="6"/>
          </w:tcPr>
          <w:p>
            <w:pPr>
              <w:jc w:val="right"/>
              <w:ind w:right="220"/>
              <w:spacing w:after="0"/>
              <w:rPr>
                <w:sz w:val="20"/>
                <w:szCs w:val="20"/>
                <w:color w:val="auto"/>
              </w:rPr>
            </w:pPr>
            <w:r>
              <w:rPr>
                <w:rFonts w:ascii="Arial" w:cs="Arial" w:eastAsia="Arial" w:hAnsi="Arial"/>
                <w:sz w:val="18"/>
                <w:szCs w:val="18"/>
                <w:color w:val="auto"/>
              </w:rPr>
              <w:t>1.4%</w:t>
            </w:r>
          </w:p>
        </w:tc>
        <w:tc>
          <w:tcPr>
            <w:tcW w:w="1260" w:type="dxa"/>
            <w:vAlign w:val="bottom"/>
            <w:tcBorders>
              <w:bottom w:val="single" w:sz="8" w:color="auto"/>
            </w:tcBorders>
            <w:gridSpan w:val="8"/>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180" w:type="dxa"/>
            <w:vAlign w:val="bottom"/>
            <w:tcBorders>
              <w:bottom w:val="single" w:sz="8" w:color="auto"/>
            </w:tcBorders>
          </w:tcPr>
          <w:p>
            <w:pPr>
              <w:spacing w:after="0"/>
              <w:rPr>
                <w:sz w:val="18"/>
                <w:szCs w:val="18"/>
                <w:color w:val="auto"/>
              </w:rPr>
            </w:pPr>
          </w:p>
        </w:tc>
        <w:tc>
          <w:tcPr>
            <w:tcW w:w="6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Income from operations (including restructuring and other items)</w:t>
            </w:r>
          </w:p>
        </w:tc>
        <w:tc>
          <w:tcPr>
            <w:tcW w:w="2580" w:type="dxa"/>
            <w:vAlign w:val="bottom"/>
            <w:tcBorders>
              <w:bottom w:val="single" w:sz="8" w:color="auto"/>
            </w:tcBorders>
            <w:gridSpan w:val="6"/>
          </w:tcPr>
          <w:p>
            <w:pPr>
              <w:jc w:val="right"/>
              <w:ind w:right="240"/>
              <w:spacing w:after="0"/>
              <w:rPr>
                <w:sz w:val="20"/>
                <w:szCs w:val="20"/>
                <w:color w:val="auto"/>
              </w:rPr>
            </w:pPr>
            <w:r>
              <w:rPr>
                <w:rFonts w:ascii="Arial" w:cs="Arial" w:eastAsia="Arial" w:hAnsi="Arial"/>
                <w:sz w:val="18"/>
                <w:szCs w:val="18"/>
                <w:color w:val="auto"/>
              </w:rPr>
              <w:t>12.3%</w:t>
            </w:r>
          </w:p>
        </w:tc>
        <w:tc>
          <w:tcPr>
            <w:tcW w:w="1380" w:type="dxa"/>
            <w:vAlign w:val="bottom"/>
            <w:tcBorders>
              <w:bottom w:val="single" w:sz="8" w:color="auto"/>
            </w:tcBorders>
            <w:gridSpan w:val="6"/>
          </w:tcPr>
          <w:p>
            <w:pPr>
              <w:jc w:val="right"/>
              <w:ind w:right="220"/>
              <w:spacing w:after="0"/>
              <w:rPr>
                <w:sz w:val="20"/>
                <w:szCs w:val="20"/>
                <w:color w:val="auto"/>
              </w:rPr>
            </w:pPr>
            <w:r>
              <w:rPr>
                <w:rFonts w:ascii="Arial" w:cs="Arial" w:eastAsia="Arial" w:hAnsi="Arial"/>
                <w:sz w:val="18"/>
                <w:szCs w:val="18"/>
                <w:color w:val="auto"/>
              </w:rPr>
              <w:t>7.3%</w:t>
            </w:r>
          </w:p>
        </w:tc>
        <w:tc>
          <w:tcPr>
            <w:tcW w:w="1260" w:type="dxa"/>
            <w:vAlign w:val="bottom"/>
            <w:tcBorders>
              <w:bottom w:val="single" w:sz="8" w:color="auto"/>
            </w:tcBorders>
            <w:gridSpan w:val="8"/>
          </w:tcPr>
          <w:p>
            <w:pPr>
              <w:jc w:val="right"/>
              <w:ind w:right="60"/>
              <w:spacing w:after="0"/>
              <w:rPr>
                <w:sz w:val="20"/>
                <w:szCs w:val="20"/>
                <w:color w:val="auto"/>
              </w:rPr>
            </w:pPr>
            <w:r>
              <w:rPr>
                <w:rFonts w:ascii="Arial" w:cs="Arial" w:eastAsia="Arial" w:hAnsi="Arial"/>
                <w:sz w:val="18"/>
                <w:szCs w:val="18"/>
                <w:color w:val="auto"/>
              </w:rPr>
              <w:t>87.0%</w:t>
            </w:r>
          </w:p>
        </w:tc>
      </w:tr>
      <w:tr>
        <w:trPr>
          <w:trHeight w:val="21"/>
        </w:trPr>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5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Net revenue for the period increased by $32.8 million, or 10.4%, from $316.8 million for the three months ended March 31, 2013 to $349.6 million for the three months ended March 31, 2014. For the three months ended March 31, 2014 we derived approximately 40.5%, 49.1% and 10.4% of our net revenue in the United States, Europe and Rest of World, respectively.</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revenue in Ireland increased from $61.0 million for the three months ended March 31, 2013 to $85.4 million for the three months ended March 31, 2014. Net revenue in Ireland is principally a function of the Company’s global transfer pricing model. Previous strategic investment in personnel and related infrastructure complemented with enhanced operating processes and the successful leveraging of our support costs in the current year has resulted in a decrease of the proportion of the Group’s net revenue being used to support other Group entities and a corresponding increase in net revenue in Ireland in the current year.</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8" w:name="page19"/>
    <w:bookmarkEnd w:id="18"/>
    <w:p>
      <w:pPr>
        <w:jc w:val="both"/>
        <w:spacing w:after="0" w:line="255" w:lineRule="auto"/>
        <w:rPr>
          <w:sz w:val="20"/>
          <w:szCs w:val="20"/>
          <w:color w:val="auto"/>
        </w:rPr>
      </w:pPr>
      <w:r>
        <w:rPr>
          <w:rFonts w:ascii="Arial" w:cs="Arial" w:eastAsia="Arial" w:hAnsi="Arial"/>
          <w:sz w:val="18"/>
          <w:szCs w:val="18"/>
          <w:color w:val="auto"/>
        </w:rPr>
        <w:t>Direct costs for the period increased by $13.7 million, or 6.8%, from $202.4 million for the three months ended March 31, 2013 to $216.1 million for the three months ended March 31, 2014. Direct costs consist primarily of compensation, associated fringe benefits and share based compensation expense for project-related employees and other direct project driven costs. The increase in direct costs during the period arose from an increase in headcount and a corresponding increase in personnel related expenditure of $16.0 million offset by a decrease in other direct project related costs of $2.3 million. As a percentage of net revenue, direct costs have decreased from 63.9% for the three months ended March 31, 2013 to 61.8% for the three months ended March 31, 2014.</w:t>
      </w:r>
    </w:p>
    <w:p>
      <w:pPr>
        <w:spacing w:after="0" w:line="22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Selling, general and administrative expenses for the period increased by $3.3 million, or 4.5%, from $75.6 million for the three months ended March 31, 2013 to $78.9 million for the three months ended March 31, 2014. Selling, general and administrative expenses comprise primarily of compensation, related fringe benefits and share based compensation expense for non-project-related employees, recruitment expenditure, professional service costs, advertising costs and all costs related to facilities and information systems. The increase in selling, general and administration expenses for the period arose primarily from an increase in personnel related expenditure of $2.3 million, a decrease in facilities and related costs expenditure of $1.2 million and an increase in general and administrative expenses of $2.2 million. As a percentage of net revenue, selling, general and administrative expenses, decreased from 23.8% for the three months ended March 31, 2013 to 22.6% for the three months ended March 31, 2014.</w:t>
      </w:r>
    </w:p>
    <w:p>
      <w:pPr>
        <w:spacing w:after="0" w:line="20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Depreciation expense remained at $9.7 million for the three months ended March 31, 2013 and for the three months ended March 31, 2014 and principally arises from an investment in facilities, information systems and equipment to support the Company’s growth. As a percentage of net revenue, depreciation expense decreased from 3.1% of net revenues for the three months ended March 31, 2013 to 2.8% for the three months ended March 31, 2014. Amortization expense for the period increased by $0.1 million, or 7.0%, from $1.8 million for the three months ended March 31, 2013 to $1.9 million for the three months ended March 31, 2014. Amortization expense represents the amortization of intangible assets acquired on business combinations. As a percentage of net revenue, amortization expense remained at 0.5% of net revenues for the three months ended March 31, 2013 and for the three months ended March 31, 2014.</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Restructuring charges of $4.4 million were recognized during three months ended March 31, 2013 under a restructuring plan adopted following a review by the Company of its operations. Under this restructuring plan the Company announced the closure of its Phase I facility in Omaha, Nebraska. This followed the expansion of the Company’s Phase I facility in San Antonio, Texas and the consolidation of the Company’s US Phase I capabilities in this location. The restructuring plan also included resource rationalizations in certain areas of the business to improve resource utilization. The restructuring charge recognized included $0.5 million in respect of lease termination costs associated with the Omaha facility and $3.9 million in respect of resource rationalizations (s</w:t>
      </w:r>
      <w:r>
        <w:rPr>
          <w:rFonts w:ascii="Arial" w:cs="Arial" w:eastAsia="Arial" w:hAnsi="Arial"/>
          <w:sz w:val="18"/>
          <w:szCs w:val="18"/>
          <w:i w:val="1"/>
          <w:iCs w:val="1"/>
          <w:color w:val="auto"/>
        </w:rPr>
        <w:t>ee note</w:t>
      </w:r>
      <w:r>
        <w:rPr>
          <w:rFonts w:ascii="Arial" w:cs="Arial" w:eastAsia="Arial" w:hAnsi="Arial"/>
          <w:sz w:val="18"/>
          <w:szCs w:val="18"/>
          <w:color w:val="auto"/>
        </w:rPr>
        <w:t xml:space="preserve"> </w:t>
      </w:r>
      <w:r>
        <w:rPr>
          <w:rFonts w:ascii="Arial" w:cs="Arial" w:eastAsia="Arial" w:hAnsi="Arial"/>
          <w:sz w:val="18"/>
          <w:szCs w:val="18"/>
          <w:i w:val="1"/>
          <w:iCs w:val="1"/>
          <w:color w:val="auto"/>
        </w:rPr>
        <w:t>4 Restructuring and other items for further information).</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the above, income from operations for the three months increased by $20.0 million, or 87.0%, from $23.0 million for the three months ended March 31, 2013 ($27.4 million excluding restructuring charges) to $43.0 million for the three months ended March 31, 2014. As a percentage of net revenue, income from operations increased from 7.3% of net revenues for the three months ended March 31, 2013 (8.7% excluding restructuring charges) to 12.3% of net revenues for the three months ended March 31, 2014.</w:t>
      </w:r>
    </w:p>
    <w:p>
      <w:pPr>
        <w:spacing w:after="0" w:line="21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Income from operations in Ireland increased from a profit of $12.0 million for the three months ended March 31, 2013 ($12.3 million excluding restructuring charges), to a profit of $28.1 million for the three months ended March 31, 2014. Income/ (losses) from operations in Ireland are impacted by the Group’s global transfer pricing model. Previous strategic investment in personnel and related infrastructure complemented with enhanced operating processes and the successful leveraging of our support costs in the current year has resulted in a decrease of the proportion of the Group’s net revenue being used to support other Group entities and a corresponding increase in profit from operations in Ireland in the current year.</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expense for the period decreased from $0.4 million for the three months ended March 31, 2013 to $0.3 million for the three months ended March 31, 2014. Interest income for the three months ended March 31, 2014 increased from $0.2 million for the three months ended March 31, 2013 to $0.3 million for the three months ended March 31, 2014.</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9" w:name="page20"/>
    <w:bookmarkEnd w:id="19"/>
    <w:p>
      <w:pPr>
        <w:jc w:val="both"/>
        <w:spacing w:after="0" w:line="279" w:lineRule="auto"/>
        <w:rPr>
          <w:sz w:val="20"/>
          <w:szCs w:val="20"/>
          <w:color w:val="auto"/>
        </w:rPr>
      </w:pPr>
      <w:r>
        <w:rPr>
          <w:rFonts w:ascii="Arial" w:cs="Arial" w:eastAsia="Arial" w:hAnsi="Arial"/>
          <w:sz w:val="17"/>
          <w:szCs w:val="17"/>
          <w:color w:val="auto"/>
        </w:rPr>
        <w:t>Provision for income taxes for the period increased from $3.8 million for the three months ended March 31, 2013 ($5.0 million excluding the impact of restructuring charges) to $6.9 million for the three months ended March 31, 2014. The Company’s effective tax rate for the three months ended March 31, 2014 was 16.0% compared with 16.5% (18.4% excluding the impact of restructuring charges) for the three months ended March 31, 2013. The Company’s effective tax rate is principally a function of the distribution of pre-tax profits amongst the territories in which it operates.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CRO industry is generally not capital intensive. The Group’s principal operating cash needs are payment of salaries, office rents, travel expenditures and payments to investigators. Investing activities primarily reflect capital expenditures for facilities and information systems enhancements, the purchase and sale of short term investments and acquisitions.</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clinical research and development contracts are generally fixed price with some variable components and range in duration from a few weeks to several years. Revenue from contracts is generally recognized as income on the basis of the relationship between time incurred and the total estimated contract duration or on a fee-for-service basis. The cash flow from contracts typically consists of a small down payment at the time the contract is entered into, with the balance paid in installments over the contract's duration, in some cases on the achievement of certain milestones. Accordingly, cash receipts do not correspond to costs incurred and revenue recognized on contracts.</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cash and short term investment balances at March 31, 2014 amounted to $363.5 million compared with cash and short term investment balances of $320.8 million at December 31, 2013. The Company’s cash and short term investment balances at March 31, 2014 comprised cash and cash equivalents $236.7 million and short-term investments $126.9 million. The Company’s cash and short-term investment balances at December 31, 2013 comprised cash and cash equivalents $182.5 million and short-term investments $138.3 million.</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20, 2011 the Company entered into a three year committed multi currency revolving credit facility for $150.0 million with Citibank, JP Morgan, Ulster Bank, Deutsche Bank and Barclays Bank. Each bank subject to the agreement has committed $30 million to the facility, with equal terms and conditions in place with all institutions. The facility bears interest at LIBOR plus a margin and includes certain composite guarantees, indemnities and pledges in favor of the banks. Amounts available to the Group under the facility amounted to $150.0 million at March 31, 2014 compared with $150.0 million at December 31, 2013.</w:t>
      </w:r>
    </w:p>
    <w:p>
      <w:pPr>
        <w:spacing w:after="0" w:line="21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Net cash provided by operating activities was $38.7 million for the three months ended March 31, 2014 compared with cash provided by operating activities of $69.4 million for the three months ended March 31, 2013. The most significant influence on our operating cash flow is revenue outstanding, which comprises accounts receivable and unbilled revenue, less payments on account. The dollar value of these balances and the related number of days revenue outstanding (i.e. revenue outstanding as a percentage of revenue for the period, multiplied by the number of days in the period) can vary over a study or trial duration. Contract fees are generally payable in installments based on the achievement of certain performance targets or “milestones” (e.g. target patient enrollment rates, clinical testing sites initiated or case report forms completed), such milestones being specific to the terms of each individual contract, while revenues on contracts are recognized as contractual obligations are performed. Days revenue outstanding can vary therefore due to, amongst others, the scheduling of contractual milestones over a study or trial duration, the achievement of a particular milestone during the period or the timing of cash receipts from customers. A decrease in the number of days revenue outstanding during a period will result in cash inflows to the Company while an increase in days revenue outstanding will lead to cash outflows. The number of days revenue outstanding at March 31, 2014 was 35 days compared to 32 days at December 31, 2013. The number of days revenue outstanding at March 31, 2013 was 33 days compared to 40 days at December 31, 2012.</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provided by investing activities was $5.4 million for the three months ended March 31, 2014 compared to net cash used in investing activities of $47.2 million for the three months ended March 31, 2013. Net cash provided in the three months ended March 31, 2014 arose principally from cash received from the sale of short-term investments.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Amounts payable at March 31, 2014 in relation to acquisitions include $3.2 million payable contingent upon the results of BeijingWits Medical.</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0" w:name="page21"/>
    <w:bookmarkEnd w:id="20"/>
    <w:p>
      <w:pPr>
        <w:jc w:val="both"/>
        <w:spacing w:after="0" w:line="264" w:lineRule="auto"/>
        <w:rPr>
          <w:sz w:val="20"/>
          <w:szCs w:val="20"/>
          <w:color w:val="auto"/>
        </w:rPr>
      </w:pPr>
      <w:r>
        <w:rPr>
          <w:rFonts w:ascii="Arial" w:cs="Arial" w:eastAsia="Arial" w:hAnsi="Arial"/>
          <w:sz w:val="18"/>
          <w:szCs w:val="18"/>
          <w:color w:val="auto"/>
        </w:rPr>
        <w:t>Capital expenditure for the three months ended March 31, 2014 amounted to $6.2 million and comprised mainly of expenditure on global infrastructure and information technology systems to support the Company’s growth. During the three months ended March 31, 2014 the Company received a net $11.5 million from the sale of short-term investments.</w:t>
      </w:r>
    </w:p>
    <w:p>
      <w:pPr>
        <w:spacing w:after="0" w:line="20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Net cash provided by financing activities during the three months ended March 31, 2014 amounted to $10.5 million compared with net cash provided by financing activities of $5.0 million for the three months ended March 31, 2013. Net cash provided by financing activities during the three months ended March 31, 2014 arose primarily from the $9.8 million received from the exercise of stock options. Net cash provided by financing activities during the three months ended March 31, 2013 arose primarily from the $4.9 million received from the exercise of stock options.</w:t>
      </w:r>
    </w:p>
    <w:p>
      <w:pPr>
        <w:spacing w:after="0" w:line="19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a result of these cash flows, cash and cash equivalents increased by $54.1 million for the three months ended March 31, 2014 compared to an increase of $23.3 million for the three months ended March 31, 2013.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effects of inflation generally do not have a material adverse impact on our operations or financial conditions.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5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are not party to any litigation or other legal proceedings that we believe could reasonably be expected to have a material adverse effect on our business, results of operations and financial condition.</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Arial" w:cs="Arial" w:eastAsia="Arial" w:hAnsi="Arial"/>
                <w:sz w:val="18"/>
                <w:szCs w:val="18"/>
                <w:b w:val="1"/>
                <w:bCs w:val="1"/>
                <w:color w:val="auto"/>
              </w:rPr>
              <w:t>ICON plc</w:t>
            </w:r>
          </w:p>
        </w:tc>
      </w:tr>
      <w:tr>
        <w:trPr>
          <w:trHeight w:val="871"/>
        </w:trPr>
        <w:tc>
          <w:tcPr>
            <w:tcW w:w="20" w:type="dxa"/>
            <w:vAlign w:val="bottom"/>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4120" w:type="dxa"/>
            <w:vAlign w:val="bottom"/>
          </w:tcPr>
          <w:p>
            <w:pPr>
              <w:spacing w:after="0"/>
              <w:rPr>
                <w:sz w:val="24"/>
                <w:szCs w:val="24"/>
                <w:color w:val="auto"/>
              </w:rPr>
            </w:pPr>
          </w:p>
        </w:tc>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Brendan Brennan</w:t>
            </w:r>
          </w:p>
        </w:tc>
      </w:tr>
      <w:tr>
        <w:trPr>
          <w:trHeight w:val="202"/>
        </w:trPr>
        <w:tc>
          <w:tcPr>
            <w:tcW w:w="20" w:type="dxa"/>
            <w:vAlign w:val="bottom"/>
          </w:tcPr>
          <w:p>
            <w:pPr>
              <w:spacing w:after="0"/>
              <w:rPr>
                <w:sz w:val="17"/>
                <w:szCs w:val="17"/>
                <w:color w:val="auto"/>
              </w:rPr>
            </w:pPr>
          </w:p>
        </w:tc>
        <w:tc>
          <w:tcPr>
            <w:tcW w:w="3640" w:type="dxa"/>
            <w:vAlign w:val="bottom"/>
          </w:tcPr>
          <w:p>
            <w:pPr>
              <w:spacing w:after="0" w:line="201" w:lineRule="exact"/>
              <w:rPr>
                <w:sz w:val="20"/>
                <w:szCs w:val="20"/>
                <w:color w:val="auto"/>
              </w:rPr>
            </w:pPr>
            <w:r>
              <w:rPr>
                <w:rFonts w:ascii="Arial" w:cs="Arial" w:eastAsia="Arial" w:hAnsi="Arial"/>
                <w:sz w:val="18"/>
                <w:szCs w:val="18"/>
                <w:color w:val="auto"/>
              </w:rPr>
              <w:t>Date: May 14, 2014</w:t>
            </w:r>
          </w:p>
        </w:tc>
        <w:tc>
          <w:tcPr>
            <w:tcW w:w="4120" w:type="dxa"/>
            <w:vAlign w:val="bottom"/>
          </w:tcPr>
          <w:p>
            <w:pPr>
              <w:spacing w:after="0"/>
              <w:rPr>
                <w:sz w:val="17"/>
                <w:szCs w:val="17"/>
                <w:color w:val="auto"/>
              </w:rPr>
            </w:pPr>
          </w:p>
        </w:tc>
        <w:tc>
          <w:tcPr>
            <w:tcW w:w="3640" w:type="dxa"/>
            <w:vAlign w:val="bottom"/>
          </w:tcPr>
          <w:p>
            <w:pPr>
              <w:spacing w:after="0" w:line="201" w:lineRule="exact"/>
              <w:rPr>
                <w:sz w:val="20"/>
                <w:szCs w:val="20"/>
                <w:color w:val="auto"/>
              </w:rPr>
            </w:pPr>
            <w:r>
              <w:rPr>
                <w:rFonts w:ascii="Arial" w:cs="Arial" w:eastAsia="Arial" w:hAnsi="Arial"/>
                <w:sz w:val="18"/>
                <w:szCs w:val="18"/>
                <w:color w:val="auto"/>
              </w:rPr>
              <w:t>Brendan Brennan</w:t>
            </w:r>
          </w:p>
        </w:tc>
      </w:tr>
      <w:tr>
        <w:trPr>
          <w:trHeight w:val="230"/>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sectPr>
      <w:pgSz w:w="11900" w:h="16838" w:orient="portrait"/>
      <w:cols w:equalWidth="0" w:num="1">
        <w:col w:w="11420"/>
      </w:cols>
      <w:pgMar w:left="240" w:top="51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lvl w:ilvl="1">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2019-12-06T19:44:44Z</dcterms:created>
  <dcterms:modified xsi:type="dcterms:W3CDTF">2019-12-06T19:44:44Z</dcterms:modified>
</cp:coreProperties>
</file>