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80"/>
        <w:spacing w:after="0"/>
        <w:rPr>
          <w:sz w:val="20"/>
          <w:szCs w:val="20"/>
          <w:color w:val="auto"/>
        </w:rPr>
      </w:pPr>
      <w:r>
        <w:rPr>
          <w:rFonts w:ascii="Arial" w:cs="Arial" w:eastAsia="Arial" w:hAnsi="Arial"/>
          <w:sz w:val="15"/>
          <w:szCs w:val="15"/>
          <w:b w:val="1"/>
          <w:bCs w:val="1"/>
          <w:color w:val="auto"/>
        </w:rPr>
        <w:t>UNITED STATES</w:t>
      </w:r>
    </w:p>
    <w:p>
      <w:pPr>
        <w:spacing w:after="0" w:line="24" w:lineRule="exact"/>
        <w:rPr>
          <w:sz w:val="24"/>
          <w:szCs w:val="24"/>
          <w:color w:val="auto"/>
        </w:rPr>
      </w:pPr>
    </w:p>
    <w:p>
      <w:pPr>
        <w:jc w:val="center"/>
        <w:ind w:right="-1080"/>
        <w:spacing w:after="0"/>
        <w:rPr>
          <w:sz w:val="20"/>
          <w:szCs w:val="20"/>
          <w:color w:val="auto"/>
        </w:rPr>
      </w:pPr>
      <w:r>
        <w:rPr>
          <w:rFonts w:ascii="Arial" w:cs="Arial" w:eastAsia="Arial" w:hAnsi="Arial"/>
          <w:sz w:val="15"/>
          <w:szCs w:val="15"/>
          <w:b w:val="1"/>
          <w:bCs w:val="1"/>
          <w:color w:val="auto"/>
        </w:rPr>
        <w:t>SECURITIES AND EXCHANGE COMMISSION</w:t>
      </w:r>
    </w:p>
    <w:p>
      <w:pPr>
        <w:spacing w:after="0" w:line="239" w:lineRule="exact"/>
        <w:rPr>
          <w:sz w:val="24"/>
          <w:szCs w:val="24"/>
          <w:color w:val="auto"/>
        </w:rPr>
      </w:pPr>
    </w:p>
    <w:p>
      <w:pPr>
        <w:jc w:val="center"/>
        <w:ind w:right="-1080"/>
        <w:spacing w:after="0"/>
        <w:rPr>
          <w:sz w:val="20"/>
          <w:szCs w:val="20"/>
          <w:color w:val="auto"/>
        </w:rPr>
      </w:pPr>
      <w:r>
        <w:rPr>
          <w:rFonts w:ascii="Arial" w:cs="Arial" w:eastAsia="Arial" w:hAnsi="Arial"/>
          <w:sz w:val="15"/>
          <w:szCs w:val="15"/>
          <w:color w:val="auto"/>
        </w:rPr>
        <w:t>Washington, D.C. 20549</w:t>
      </w:r>
    </w:p>
    <w:p>
      <w:pPr>
        <w:spacing w:after="0" w:line="238" w:lineRule="exact"/>
        <w:rPr>
          <w:sz w:val="24"/>
          <w:szCs w:val="24"/>
          <w:color w:val="auto"/>
        </w:rPr>
      </w:pPr>
    </w:p>
    <w:p>
      <w:pPr>
        <w:ind w:left="5240"/>
        <w:spacing w:after="0"/>
        <w:rPr>
          <w:sz w:val="20"/>
          <w:szCs w:val="20"/>
          <w:color w:val="auto"/>
        </w:rPr>
      </w:pPr>
      <w:r>
        <w:rPr>
          <w:rFonts w:ascii="Arial" w:cs="Arial" w:eastAsia="Arial" w:hAnsi="Arial"/>
          <w:sz w:val="15"/>
          <w:szCs w:val="15"/>
          <w:b w:val="1"/>
          <w:bCs w:val="1"/>
          <w:color w:val="auto"/>
        </w:rPr>
        <w:t>FORM 6-K</w:t>
      </w:r>
    </w:p>
    <w:p>
      <w:pPr>
        <w:spacing w:after="0" w:line="253" w:lineRule="exact"/>
        <w:rPr>
          <w:sz w:val="24"/>
          <w:szCs w:val="24"/>
          <w:color w:val="auto"/>
        </w:rPr>
      </w:pPr>
    </w:p>
    <w:p>
      <w:pPr>
        <w:jc w:val="center"/>
        <w:ind w:right="-1080"/>
        <w:spacing w:after="0"/>
        <w:rPr>
          <w:sz w:val="20"/>
          <w:szCs w:val="20"/>
          <w:color w:val="auto"/>
        </w:rPr>
      </w:pPr>
      <w:r>
        <w:rPr>
          <w:rFonts w:ascii="Arial" w:cs="Arial" w:eastAsia="Arial" w:hAnsi="Arial"/>
          <w:sz w:val="15"/>
          <w:szCs w:val="15"/>
          <w:b w:val="1"/>
          <w:bCs w:val="1"/>
          <w:color w:val="auto"/>
        </w:rPr>
        <w:t>Report of Foreign Private Issuer</w:t>
      </w:r>
    </w:p>
    <w:p>
      <w:pPr>
        <w:spacing w:after="0" w:line="24" w:lineRule="exact"/>
        <w:rPr>
          <w:sz w:val="24"/>
          <w:szCs w:val="24"/>
          <w:color w:val="auto"/>
        </w:rPr>
      </w:pPr>
    </w:p>
    <w:p>
      <w:pPr>
        <w:jc w:val="center"/>
        <w:ind w:right="-1080"/>
        <w:spacing w:after="0"/>
        <w:rPr>
          <w:sz w:val="20"/>
          <w:szCs w:val="20"/>
          <w:color w:val="auto"/>
        </w:rPr>
      </w:pPr>
      <w:r>
        <w:rPr>
          <w:rFonts w:ascii="Arial" w:cs="Arial" w:eastAsia="Arial" w:hAnsi="Arial"/>
          <w:sz w:val="15"/>
          <w:szCs w:val="15"/>
          <w:b w:val="1"/>
          <w:bCs w:val="1"/>
          <w:color w:val="auto"/>
        </w:rPr>
        <w:t>Pursuant to Rule 13a-16 or 15d-16 under</w:t>
      </w:r>
    </w:p>
    <w:p>
      <w:pPr>
        <w:spacing w:after="0" w:line="8" w:lineRule="exact"/>
        <w:rPr>
          <w:sz w:val="24"/>
          <w:szCs w:val="24"/>
          <w:color w:val="auto"/>
        </w:rPr>
      </w:pPr>
    </w:p>
    <w:p>
      <w:pPr>
        <w:jc w:val="center"/>
        <w:ind w:right="-1080"/>
        <w:spacing w:after="0"/>
        <w:rPr>
          <w:sz w:val="20"/>
          <w:szCs w:val="20"/>
          <w:color w:val="auto"/>
        </w:rPr>
      </w:pPr>
      <w:r>
        <w:rPr>
          <w:rFonts w:ascii="Arial" w:cs="Arial" w:eastAsia="Arial" w:hAnsi="Arial"/>
          <w:sz w:val="15"/>
          <w:szCs w:val="15"/>
          <w:b w:val="1"/>
          <w:bCs w:val="1"/>
          <w:color w:val="auto"/>
        </w:rPr>
        <w:t>the Securities Exchange Act of 1934</w:t>
      </w:r>
    </w:p>
    <w:p>
      <w:pPr>
        <w:spacing w:after="0" w:line="200" w:lineRule="exact"/>
        <w:rPr>
          <w:sz w:val="24"/>
          <w:szCs w:val="24"/>
          <w:color w:val="auto"/>
        </w:rPr>
      </w:pPr>
    </w:p>
    <w:p>
      <w:pPr>
        <w:spacing w:after="0" w:line="271" w:lineRule="exact"/>
        <w:rPr>
          <w:sz w:val="24"/>
          <w:szCs w:val="24"/>
          <w:color w:val="auto"/>
        </w:rPr>
      </w:pPr>
    </w:p>
    <w:p>
      <w:pPr>
        <w:jc w:val="center"/>
        <w:ind w:right="-1080"/>
        <w:spacing w:after="0"/>
        <w:rPr>
          <w:sz w:val="20"/>
          <w:szCs w:val="20"/>
          <w:color w:val="auto"/>
        </w:rPr>
      </w:pPr>
      <w:r>
        <w:rPr>
          <w:rFonts w:ascii="Arial" w:cs="Arial" w:eastAsia="Arial" w:hAnsi="Arial"/>
          <w:sz w:val="15"/>
          <w:szCs w:val="15"/>
          <w:color w:val="auto"/>
        </w:rPr>
        <w:t>For the month of</w:t>
      </w:r>
    </w:p>
    <w:p>
      <w:pPr>
        <w:spacing w:after="0" w:line="22" w:lineRule="exact"/>
        <w:rPr>
          <w:sz w:val="24"/>
          <w:szCs w:val="24"/>
          <w:color w:val="auto"/>
        </w:rPr>
      </w:pPr>
    </w:p>
    <w:p>
      <w:pPr>
        <w:jc w:val="center"/>
        <w:ind w:right="-1080"/>
        <w:spacing w:after="0"/>
        <w:rPr>
          <w:sz w:val="20"/>
          <w:szCs w:val="20"/>
          <w:color w:val="auto"/>
        </w:rPr>
      </w:pPr>
      <w:r>
        <w:rPr>
          <w:rFonts w:ascii="Arial" w:cs="Arial" w:eastAsia="Arial" w:hAnsi="Arial"/>
          <w:sz w:val="15"/>
          <w:szCs w:val="15"/>
          <w:color w:val="auto"/>
        </w:rPr>
        <w:t>October 2025</w:t>
      </w:r>
    </w:p>
    <w:p>
      <w:pPr>
        <w:spacing w:after="0" w:line="200" w:lineRule="exact"/>
        <w:rPr>
          <w:sz w:val="24"/>
          <w:szCs w:val="24"/>
          <w:color w:val="auto"/>
        </w:rPr>
      </w:pPr>
    </w:p>
    <w:p>
      <w:pPr>
        <w:spacing w:after="0" w:line="271" w:lineRule="exact"/>
        <w:rPr>
          <w:sz w:val="24"/>
          <w:szCs w:val="24"/>
          <w:color w:val="auto"/>
        </w:rPr>
      </w:pPr>
    </w:p>
    <w:p>
      <w:pPr>
        <w:jc w:val="center"/>
        <w:ind w:right="-1080"/>
        <w:spacing w:after="0"/>
        <w:rPr>
          <w:sz w:val="20"/>
          <w:szCs w:val="20"/>
          <w:color w:val="auto"/>
        </w:rPr>
      </w:pPr>
      <w:r>
        <w:rPr>
          <w:rFonts w:ascii="Arial" w:cs="Arial" w:eastAsia="Arial" w:hAnsi="Arial"/>
          <w:sz w:val="15"/>
          <w:szCs w:val="15"/>
          <w:color w:val="auto"/>
        </w:rPr>
        <w:t>333-08704</w:t>
      </w:r>
    </w:p>
    <w:p>
      <w:pPr>
        <w:spacing w:after="0" w:line="22" w:lineRule="exact"/>
        <w:rPr>
          <w:sz w:val="24"/>
          <w:szCs w:val="24"/>
          <w:color w:val="auto"/>
        </w:rPr>
      </w:pPr>
    </w:p>
    <w:p>
      <w:pPr>
        <w:jc w:val="center"/>
        <w:ind w:right="-1080"/>
        <w:spacing w:after="0"/>
        <w:rPr>
          <w:sz w:val="20"/>
          <w:szCs w:val="20"/>
          <w:color w:val="auto"/>
        </w:rPr>
      </w:pPr>
      <w:r>
        <w:rPr>
          <w:rFonts w:ascii="Arial" w:cs="Arial" w:eastAsia="Arial" w:hAnsi="Arial"/>
          <w:sz w:val="15"/>
          <w:szCs w:val="15"/>
          <w:color w:val="auto"/>
        </w:rPr>
        <w:t>(Commission file number)</w:t>
      </w:r>
    </w:p>
    <w:p>
      <w:pPr>
        <w:spacing w:after="0" w:line="200" w:lineRule="exact"/>
        <w:rPr>
          <w:sz w:val="24"/>
          <w:szCs w:val="24"/>
          <w:color w:val="auto"/>
        </w:rPr>
      </w:pPr>
    </w:p>
    <w:p>
      <w:pPr>
        <w:spacing w:after="0" w:line="256" w:lineRule="exact"/>
        <w:rPr>
          <w:sz w:val="24"/>
          <w:szCs w:val="24"/>
          <w:color w:val="auto"/>
        </w:rPr>
      </w:pPr>
    </w:p>
    <w:p>
      <w:pPr>
        <w:jc w:val="center"/>
        <w:ind w:right="-1080"/>
        <w:spacing w:after="0"/>
        <w:rPr>
          <w:sz w:val="20"/>
          <w:szCs w:val="20"/>
          <w:color w:val="auto"/>
        </w:rPr>
      </w:pPr>
      <w:r>
        <w:rPr>
          <w:rFonts w:ascii="Arial" w:cs="Arial" w:eastAsia="Arial" w:hAnsi="Arial"/>
          <w:sz w:val="15"/>
          <w:szCs w:val="15"/>
          <w:b w:val="1"/>
          <w:bCs w:val="1"/>
          <w:color w:val="auto"/>
        </w:rPr>
        <w:t>ICON plc</w:t>
      </w:r>
    </w:p>
    <w:p>
      <w:pPr>
        <w:spacing w:after="0" w:line="37" w:lineRule="exact"/>
        <w:rPr>
          <w:sz w:val="24"/>
          <w:szCs w:val="24"/>
          <w:color w:val="auto"/>
        </w:rPr>
      </w:pPr>
    </w:p>
    <w:p>
      <w:pPr>
        <w:jc w:val="center"/>
        <w:ind w:right="-1080"/>
        <w:spacing w:after="0"/>
        <w:rPr>
          <w:sz w:val="20"/>
          <w:szCs w:val="20"/>
          <w:color w:val="auto"/>
        </w:rPr>
      </w:pPr>
      <w:r>
        <w:rPr>
          <w:rFonts w:ascii="Arial" w:cs="Arial" w:eastAsia="Arial" w:hAnsi="Arial"/>
          <w:sz w:val="15"/>
          <w:szCs w:val="15"/>
          <w:color w:val="auto"/>
        </w:rPr>
        <w:t>(Translation of registrant's name into English)</w:t>
      </w:r>
    </w:p>
    <w:p>
      <w:pPr>
        <w:spacing w:after="0" w:line="200" w:lineRule="exact"/>
        <w:rPr>
          <w:sz w:val="24"/>
          <w:szCs w:val="24"/>
          <w:color w:val="auto"/>
        </w:rPr>
      </w:pPr>
    </w:p>
    <w:p>
      <w:pPr>
        <w:spacing w:after="0" w:line="258" w:lineRule="exact"/>
        <w:rPr>
          <w:sz w:val="24"/>
          <w:szCs w:val="24"/>
          <w:color w:val="auto"/>
        </w:rPr>
      </w:pPr>
    </w:p>
    <w:p>
      <w:pPr>
        <w:jc w:val="center"/>
        <w:ind w:right="-1080"/>
        <w:spacing w:after="0"/>
        <w:rPr>
          <w:sz w:val="20"/>
          <w:szCs w:val="20"/>
          <w:color w:val="auto"/>
        </w:rPr>
      </w:pPr>
      <w:r>
        <w:rPr>
          <w:rFonts w:ascii="Arial" w:cs="Arial" w:eastAsia="Arial" w:hAnsi="Arial"/>
          <w:sz w:val="15"/>
          <w:szCs w:val="15"/>
          <w:color w:val="auto"/>
        </w:rPr>
        <w:t>South County Business Park, Leopardstown, Dublin 18, D18 X5R3, Ireland</w:t>
      </w:r>
    </w:p>
    <w:p>
      <w:pPr>
        <w:spacing w:after="0" w:line="22" w:lineRule="exact"/>
        <w:rPr>
          <w:sz w:val="24"/>
          <w:szCs w:val="24"/>
          <w:color w:val="auto"/>
        </w:rPr>
      </w:pPr>
    </w:p>
    <w:p>
      <w:pPr>
        <w:jc w:val="center"/>
        <w:ind w:right="-1080"/>
        <w:spacing w:after="0"/>
        <w:rPr>
          <w:sz w:val="20"/>
          <w:szCs w:val="20"/>
          <w:color w:val="auto"/>
        </w:rPr>
      </w:pPr>
      <w:r>
        <w:rPr>
          <w:rFonts w:ascii="Arial" w:cs="Arial" w:eastAsia="Arial" w:hAnsi="Arial"/>
          <w:sz w:val="15"/>
          <w:szCs w:val="15"/>
          <w:color w:val="auto"/>
        </w:rPr>
        <w:t>(Address of principal executive offices)</w:t>
      </w:r>
    </w:p>
    <w:p>
      <w:pPr>
        <w:spacing w:after="0" w:line="200" w:lineRule="exact"/>
        <w:rPr>
          <w:sz w:val="24"/>
          <w:szCs w:val="24"/>
          <w:color w:val="auto"/>
        </w:rPr>
      </w:pPr>
    </w:p>
    <w:p>
      <w:pPr>
        <w:spacing w:after="0" w:line="310"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files or will file annual reports under cover of Form 20-F or Form 40-F.</w:t>
      </w:r>
    </w:p>
    <w:p>
      <w:pPr>
        <w:spacing w:after="0" w:line="32" w:lineRule="exact"/>
        <w:rPr>
          <w:sz w:val="24"/>
          <w:szCs w:val="24"/>
          <w:color w:val="auto"/>
        </w:rPr>
      </w:pPr>
    </w:p>
    <w:p>
      <w:pPr>
        <w:ind w:left="4380"/>
        <w:spacing w:after="0"/>
        <w:tabs>
          <w:tab w:leader="none" w:pos="6520" w:val="left"/>
        </w:tabs>
        <w:rPr>
          <w:sz w:val="20"/>
          <w:szCs w:val="20"/>
          <w:color w:val="auto"/>
        </w:rPr>
      </w:pPr>
      <w:r>
        <w:rPr>
          <w:rFonts w:ascii="Arial" w:cs="Arial" w:eastAsia="Arial" w:hAnsi="Arial"/>
          <w:sz w:val="15"/>
          <w:szCs w:val="15"/>
          <w:color w:val="auto"/>
        </w:rPr>
        <w:t>Form 20-F___</w:t>
      </w:r>
      <w:r>
        <w:rPr>
          <w:rFonts w:ascii="Arial" w:cs="Arial" w:eastAsia="Arial" w:hAnsi="Arial"/>
          <w:sz w:val="15"/>
          <w:szCs w:val="15"/>
          <w:b w:val="1"/>
          <w:bCs w:val="1"/>
          <w:color w:val="auto"/>
        </w:rPr>
        <w:t>X</w:t>
      </w:r>
      <w:r>
        <w:rPr>
          <w:rFonts w:ascii="Arial" w:cs="Arial" w:eastAsia="Arial" w:hAnsi="Arial"/>
          <w:sz w:val="15"/>
          <w:szCs w:val="15"/>
          <w:color w:val="auto"/>
        </w:rPr>
        <w:t>___</w:t>
      </w:r>
      <w:r>
        <w:rPr>
          <w:sz w:val="20"/>
          <w:szCs w:val="20"/>
          <w:color w:val="auto"/>
        </w:rPr>
        <w:tab/>
      </w:r>
      <w:r>
        <w:rPr>
          <w:rFonts w:ascii="Arial" w:cs="Arial" w:eastAsia="Arial" w:hAnsi="Arial"/>
          <w:sz w:val="15"/>
          <w:szCs w:val="15"/>
          <w:color w:val="auto"/>
        </w:rPr>
        <w:t>Form 40-F______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-22860</wp:posOffset>
            </wp:positionH>
            <wp:positionV relativeFrom="paragraph">
              <wp:posOffset>754380</wp:posOffset>
            </wp:positionV>
            <wp:extent cx="716407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19"/>
          </w:cols>
          <w:pgMar w:left="340" w:top="1195" w:right="1440" w:bottom="1440" w:gutter="0" w:footer="0" w:header="0"/>
        </w:sectPr>
      </w:pPr>
    </w:p>
    <w:bookmarkStart w:id="1" w:name="page2"/>
    <w:bookmarkEnd w:id="1"/>
    <w:p>
      <w:pPr>
        <w:spacing w:after="0"/>
        <w:rPr>
          <w:sz w:val="20"/>
          <w:szCs w:val="20"/>
          <w:color w:val="auto"/>
        </w:rPr>
      </w:pPr>
      <w:r>
        <w:rPr>
          <w:rFonts w:ascii="Arial" w:cs="Arial" w:eastAsia="Arial" w:hAnsi="Arial"/>
          <w:sz w:val="15"/>
          <w:szCs w:val="15"/>
          <w:b w:val="1"/>
          <w:bCs w:val="1"/>
          <w:color w:val="auto"/>
        </w:rPr>
        <w:t>ICON plc</w:t>
      </w:r>
    </w:p>
    <w:p>
      <w:pPr>
        <w:spacing w:after="0" w:line="165"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5"/>
          <w:szCs w:val="15"/>
          <w:color w:val="auto"/>
        </w:rPr>
        <w:t>This report on Form 6-K is hereby incorporated by reference into the registration statements of ICON plc on Form S-8 (Registration Nos. 333-152802, 333-204153, 333-231527, 333-254891, 333-257578 and 333-282826) and on Form F-3 (Registration No. 333-278943), and this report on Form 6-K shall be deemed a part of each such registration statement from the date on which this report is filed, to the extent not superseded by documents or reports subsequently filed or furnished by ICON plc under the Securities Act of 1933 or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2" w:name="page3"/>
    <w:bookmarkEnd w:id="2"/>
    <w:p>
      <w:pPr>
        <w:spacing w:after="0"/>
        <w:rPr>
          <w:sz w:val="20"/>
          <w:szCs w:val="20"/>
          <w:color w:val="auto"/>
        </w:rPr>
      </w:pPr>
      <w:r>
        <w:rPr>
          <w:rFonts w:ascii="Arial" w:cs="Arial" w:eastAsia="Arial" w:hAnsi="Arial"/>
          <w:sz w:val="15"/>
          <w:szCs w:val="15"/>
          <w:b w:val="1"/>
          <w:bCs w:val="1"/>
          <w:color w:val="auto"/>
        </w:rPr>
        <w:t>GENERAL</w:t>
      </w:r>
    </w:p>
    <w:p>
      <w:pPr>
        <w:spacing w:after="0" w:line="242"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As used herein, “ICON plc”, “ICON”, "ICON Group", the “Company” and “we”, "our" or “us” refer to ICON public limited company and its consolidated subsidiaries, unless the context requires otherwise.</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55"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ICON is a contract research organization (“CRO”), providing outsourced services on a global basis to pharmaceutical, biotechnology, medical device and government and public health organizations. We specialize in the strategic development, management and analysis of programs that support all stages of the clinical development process, from compound selection to Phase I-IV clinical studies. Our vision is to be the healthcare intelligence partner of choice by delivering industry leading solutions and best in class performance in clinical development.</w:t>
      </w:r>
    </w:p>
    <w:p>
      <w:pPr>
        <w:spacing w:after="0" w:line="188"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"full-service" or a “blended-service” solution. At September 30, 2025 we had approximately 39,800 employees in 95 locations in 55 countries. During the nine months ended September 30, 2025 we derived 31.2%, 57.7% and 11.1% of our revenue in the United States, Europe and other regions ("Rest of World") respectively (during the nine months ended September 30, 2024: 37.8%, 50.7% and 11.5% respectively).</w:t>
      </w:r>
    </w:p>
    <w:p>
      <w:pPr>
        <w:spacing w:after="0" w:line="186"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We began operations in 1990 and have expanded our business through organic growth, together with a number of strategic acquisitions to enhance our capabilities and expertise in certain areas of the clinical development process. We are incorporated in Ireland and our principal executive office is located at: South County Business Park, Leopardstown, Dublin 18, D18 X5R3, Republic of Ireland. The contact telephone number of this office is +353-1-291-2000.</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 developments</w:t>
      </w:r>
    </w:p>
    <w:p>
      <w:pPr>
        <w:spacing w:after="0" w:line="24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Executive leadership transition</w:t>
      </w:r>
    </w:p>
    <w:p>
      <w:pPr>
        <w:spacing w:after="0" w:line="227"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On September 4, 2025, the Company announced that Chief Executive Officer ("CEO"), Dr. Steve Cutler, would retire from his role as CEO effective October 1, 2025 and Mr. Barry Balfe, ICON's Chief Operating Officer ("COO"), would succeed Dr. Cutler on that date. Mr. Balfe was also appointed to the Board of Directors effective September 3, 2025. Dr. Cutler will continue to serve on the Board of Directors as a non-executive director to facilitate a smooth transition.</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Share repurchase program</w:t>
      </w:r>
    </w:p>
    <w:p>
      <w:pPr>
        <w:spacing w:after="0" w:line="227"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On February 18, 2025, the Company's Board of Directors authorized an additional share repurchase program under which the Company may repurchase up to $750.0 million of the outstanding ordinary shares of the Company by way of redemption. Along with unutilized amounts under previous authorizations, this authorized the Company as of February 18, 2025 to repurchase up to $1.0 billion worth of ordinary shares.</w:t>
      </w:r>
    </w:p>
    <w:p>
      <w:pPr>
        <w:spacing w:after="0" w:line="191"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During March 2025, 1,360,537 shares were redeemed by the Company under our repurchase program for a total consideration of $250.0 million. During June 2025, a further 1,717,181 shares were redeemed by the Company under our repurchase program for a total consideration of $250.0 million.</w:t>
      </w:r>
    </w:p>
    <w:p>
      <w:pPr>
        <w:spacing w:after="0" w:line="170"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On July 22, 2025, the Company's Board of Directors authorized a further additional share repurchase program under which the Company could repurchase up to $500.0 million of the outstanding ordinary shares of the Company by way of redemption.</w:t>
      </w:r>
    </w:p>
    <w:p>
      <w:pPr>
        <w:spacing w:after="0" w:line="15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During August and September 2025, 1,426,612 shares were redeemed by the Company under our repurchase program for a total consideration of $250.0</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million.</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As of October 23, 2025, the Company has remaining authorization to repurchase up to $750.0 million of ordinary shares under the repurchase program.</w:t>
      </w:r>
    </w:p>
    <w:p>
      <w:pPr>
        <w:spacing w:after="0" w:line="240"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All ordinary shares redeemed under the repurchase program were canceled in accordance with the constitution of the Company and the nominal value of these shares transferred to other undenominated capital as required by Irish Company law.</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3" w:name="page4"/>
    <w:bookmarkEnd w:id="3"/>
    <w:p>
      <w:pPr>
        <w:spacing w:after="0"/>
        <w:rPr>
          <w:sz w:val="20"/>
          <w:szCs w:val="20"/>
          <w:color w:val="auto"/>
        </w:rPr>
      </w:pPr>
      <w:r>
        <w:rPr>
          <w:rFonts w:ascii="Arial" w:cs="Arial" w:eastAsia="Arial" w:hAnsi="Arial"/>
          <w:sz w:val="15"/>
          <w:szCs w:val="15"/>
          <w:b w:val="1"/>
          <w:bCs w:val="1"/>
          <w:i w:val="1"/>
          <w:iCs w:val="1"/>
          <w:color w:val="auto"/>
        </w:rPr>
        <w:t>Update on Vaccine Study</w:t>
      </w:r>
    </w:p>
    <w:p>
      <w:pPr>
        <w:spacing w:after="0" w:line="240"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color w:val="auto"/>
        </w:rPr>
        <w:t>On March 3, 2025, the Company announced that the large-scale next generation COVID vaccine study, which was highlighted on our earnings call on February 20, 2025 as actively screening and moving forward as planned, was delayed by the sponsor. In May 2025, we communicated that we had recently received a positive update and the large-scale next generation COVID vaccine study had restarted. On August 12, 2025, the Company announced that this vaccine study had a stop work notice issued by the Biomedical Advanced Research and Development Authority ("BARDA") of the United States ("U.S.") to the sponsor. As a result, the sponsor directed the Company to halt all screening and dosing activities for new subjects. Approximately half of the planned 10,000 subjects had already been enrolled (and dosed) in the trial and those participants will continue to be followed up per protocol. As of August 12, 2025, we announced that there was no change to our financial guidance for the year ended December 31, 2025 at that time.</w:t>
      </w:r>
    </w:p>
    <w:p>
      <w:pPr>
        <w:spacing w:after="0" w:line="206"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Please also refer to the section entitled "Risk Factors" of our Form 20-F filed on February 21, 2025 for a discussion of some of the principal risks that could adversely affect our business, operations and financial results including the termination or delay of a large contract, or of multiple contracts which could have a material adverse effect on our revenue and profitability.</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Foreign exchange translation</w:t>
      </w:r>
    </w:p>
    <w:p>
      <w:pPr>
        <w:spacing w:after="0" w:line="152"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The Company prepares its financial statements in U.S. dollar while the local results of a certain number of our subsidiaries are prepared in currencies other than U.S. dollars, including, amongst others, the pound sterling and the euro. In addition, the Company's contracts with clients are sometimes denominated in currencies other than the U.S. dollar. Finally, the Company is exposed to a wide variety of currencies in the expenses line due to most expenses being incurred in the local currencies of where our global operations are based. Accordingly, changes in exchange rates between the U.S. dollar and those other currencies can impact the Company’s financial results.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73660</wp:posOffset>
            </wp:positionV>
            <wp:extent cx="716407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49" w:right="339" w:bottom="1440" w:gutter="0" w:footer="0" w:header="0"/>
        </w:sectPr>
      </w:pPr>
    </w:p>
    <w:bookmarkStart w:id="4" w:name="page5"/>
    <w:bookmarkEnd w:id="4"/>
    <w:p>
      <w:pPr>
        <w:ind w:left="4280"/>
        <w:spacing w:after="0"/>
        <w:rPr>
          <w:sz w:val="20"/>
          <w:szCs w:val="20"/>
          <w:color w:val="auto"/>
        </w:rPr>
      </w:pPr>
      <w:r>
        <w:rPr>
          <w:rFonts w:ascii="Arial" w:cs="Arial" w:eastAsia="Arial" w:hAnsi="Arial"/>
          <w:sz w:val="15"/>
          <w:szCs w:val="15"/>
          <w:b w:val="1"/>
          <w:bCs w:val="1"/>
          <w:color w:val="auto"/>
        </w:rPr>
        <w:t>ICON plc</w:t>
      </w:r>
    </w:p>
    <w:p>
      <w:pPr>
        <w:spacing w:after="0" w:line="37" w:lineRule="exact"/>
        <w:rPr>
          <w:sz w:val="20"/>
          <w:szCs w:val="20"/>
          <w:color w:val="auto"/>
        </w:rPr>
      </w:pPr>
    </w:p>
    <w:p>
      <w:pPr>
        <w:ind w:left="2640"/>
        <w:spacing w:after="0"/>
        <w:rPr>
          <w:sz w:val="20"/>
          <w:szCs w:val="20"/>
          <w:color w:val="auto"/>
        </w:rPr>
      </w:pPr>
      <w:r>
        <w:rPr>
          <w:rFonts w:ascii="Arial" w:cs="Arial" w:eastAsia="Arial" w:hAnsi="Arial"/>
          <w:sz w:val="15"/>
          <w:szCs w:val="15"/>
          <w:b w:val="1"/>
          <w:bCs w:val="1"/>
          <w:color w:val="auto"/>
        </w:rPr>
        <w:t>CONDENSED CONSOLIDATED BALANCE SHEETS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AS AT SEPTEMBER 30, 2025 AND DECEMBER 31, 2024</w:t>
      </w:r>
    </w:p>
    <w:p>
      <w:pPr>
        <w:spacing w:after="0" w:line="122" w:lineRule="exact"/>
        <w:rPr>
          <w:sz w:val="20"/>
          <w:szCs w:val="20"/>
          <w:color w:val="auto"/>
        </w:rPr>
      </w:pPr>
    </w:p>
    <w:tbl>
      <w:tblPr>
        <w:tblLayout w:type="fixed"/>
        <w:tblInd w:w="160" w:type="dxa"/>
        <w:tblCellMar>
          <w:top w:w="0" w:type="dxa"/>
          <w:left w:w="0" w:type="dxa"/>
          <w:bottom w:w="0" w:type="dxa"/>
          <w:right w:w="0" w:type="dxa"/>
        </w:tblCellMar>
      </w:tblPr>
      <w:tr>
        <w:trPr>
          <w:trHeight w:val="245"/>
        </w:trPr>
        <w:tc>
          <w:tcPr>
            <w:tcW w:w="744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(Unaudited)</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(Audited)</w:t>
            </w:r>
          </w:p>
        </w:tc>
      </w:tr>
      <w:tr>
        <w:trPr>
          <w:trHeight w:val="186"/>
        </w:trPr>
        <w:tc>
          <w:tcPr>
            <w:tcW w:w="7440" w:type="dxa"/>
            <w:vAlign w:val="bottom"/>
          </w:tcPr>
          <w:p>
            <w:pPr>
              <w:jc w:val="right"/>
              <w:ind w:right="143"/>
              <w:spacing w:after="0"/>
              <w:rPr>
                <w:sz w:val="20"/>
                <w:szCs w:val="20"/>
                <w:color w:val="auto"/>
              </w:rPr>
            </w:pPr>
            <w:r>
              <w:rPr>
                <w:rFonts w:ascii="Arial" w:cs="Arial" w:eastAsia="Arial" w:hAnsi="Arial"/>
                <w:sz w:val="15"/>
                <w:szCs w:val="15"/>
                <w:b w:val="1"/>
                <w:bCs w:val="1"/>
                <w:color w:val="auto"/>
              </w:rPr>
              <w:t>September 30,</w:t>
            </w: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December 31,</w:t>
            </w:r>
          </w:p>
        </w:tc>
      </w:tr>
      <w:tr>
        <w:trPr>
          <w:trHeight w:val="206"/>
        </w:trPr>
        <w:tc>
          <w:tcPr>
            <w:tcW w:w="7440" w:type="dxa"/>
            <w:vAlign w:val="bottom"/>
          </w:tcPr>
          <w:p>
            <w:pPr>
              <w:jc w:val="right"/>
              <w:ind w:right="143"/>
              <w:spacing w:after="0"/>
              <w:rPr>
                <w:sz w:val="20"/>
                <w:szCs w:val="20"/>
                <w:color w:val="auto"/>
              </w:rPr>
            </w:pPr>
            <w:r>
              <w:rPr>
                <w:rFonts w:ascii="Arial" w:cs="Arial" w:eastAsia="Arial" w:hAnsi="Arial"/>
                <w:sz w:val="15"/>
                <w:szCs w:val="15"/>
                <w:b w:val="1"/>
                <w:bCs w:val="1"/>
                <w:color w:val="auto"/>
              </w:rPr>
              <w:t>2025</w:t>
            </w: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2024</w:t>
            </w:r>
          </w:p>
        </w:tc>
      </w:tr>
    </w:tbl>
    <w:p>
      <w:pPr>
        <w:spacing w:after="0" w:line="1" w:lineRule="exact"/>
        <w:rPr>
          <w:sz w:val="20"/>
          <w:szCs w:val="20"/>
          <w:color w:val="auto"/>
        </w:rPr>
      </w:pPr>
    </w:p>
    <w:tbl>
      <w:tblPr>
        <w:tblLayout w:type="fixed"/>
        <w:tblInd w:w="160" w:type="dxa"/>
        <w:tblCellMar>
          <w:top w:w="0" w:type="dxa"/>
          <w:left w:w="0" w:type="dxa"/>
          <w:bottom w:w="0" w:type="dxa"/>
          <w:right w:w="0" w:type="dxa"/>
        </w:tblCellMar>
      </w:tblPr>
      <w:tr>
        <w:trPr>
          <w:trHeight w:val="199"/>
        </w:trPr>
        <w:tc>
          <w:tcPr>
            <w:tcW w:w="5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640" w:type="dxa"/>
            <w:vAlign w:val="bottom"/>
            <w:tcBorders>
              <w:top w:val="single" w:sz="8" w:color="auto"/>
            </w:tcBorders>
            <w:shd w:val="clear" w:color="auto" w:fill="CCEEFF"/>
          </w:tcPr>
          <w:p>
            <w:pPr>
              <w:spacing w:after="0"/>
              <w:rPr>
                <w:sz w:val="17"/>
                <w:szCs w:val="17"/>
                <w:color w:val="auto"/>
              </w:rPr>
            </w:pPr>
          </w:p>
        </w:tc>
        <w:tc>
          <w:tcPr>
            <w:tcW w:w="2460" w:type="dxa"/>
            <w:vAlign w:val="bottom"/>
            <w:tcBorders>
              <w:top w:val="single" w:sz="8" w:color="auto"/>
            </w:tcBorders>
            <w:gridSpan w:val="3"/>
            <w:shd w:val="clear" w:color="auto" w:fill="CCEEFF"/>
          </w:tcPr>
          <w:p>
            <w:pPr>
              <w:jc w:val="right"/>
              <w:ind w:right="763"/>
              <w:spacing w:after="0"/>
              <w:rPr>
                <w:sz w:val="20"/>
                <w:szCs w:val="20"/>
                <w:color w:val="auto"/>
              </w:rPr>
            </w:pPr>
            <w:r>
              <w:rPr>
                <w:rFonts w:ascii="Arial" w:cs="Arial" w:eastAsia="Arial" w:hAnsi="Arial"/>
                <w:sz w:val="15"/>
                <w:szCs w:val="15"/>
                <w:b w:val="1"/>
                <w:bCs w:val="1"/>
                <w:color w:val="auto"/>
              </w:rPr>
              <w:t>(in thousands)</w:t>
            </w:r>
          </w:p>
        </w:tc>
      </w:tr>
      <w:tr>
        <w:trPr>
          <w:trHeight w:val="205"/>
        </w:trPr>
        <w:tc>
          <w:tcPr>
            <w:tcW w:w="5580" w:type="dxa"/>
            <w:vAlign w:val="bottom"/>
          </w:tcPr>
          <w:p>
            <w:pPr>
              <w:ind w:left="20"/>
              <w:spacing w:after="0"/>
              <w:rPr>
                <w:sz w:val="20"/>
                <w:szCs w:val="20"/>
                <w:color w:val="auto"/>
              </w:rPr>
            </w:pPr>
            <w:r>
              <w:rPr>
                <w:rFonts w:ascii="Arial" w:cs="Arial" w:eastAsia="Arial" w:hAnsi="Arial"/>
                <w:sz w:val="15"/>
                <w:szCs w:val="15"/>
                <w:color w:val="auto"/>
              </w:rPr>
              <w:t>Current assets:</w:t>
            </w:r>
          </w:p>
        </w:tc>
        <w:tc>
          <w:tcPr>
            <w:tcW w:w="6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7"/>
        </w:trPr>
        <w:tc>
          <w:tcPr>
            <w:tcW w:w="55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Cash and cash equivalents</w:t>
            </w:r>
          </w:p>
        </w:tc>
        <w:tc>
          <w:tcPr>
            <w:tcW w:w="64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468,888</w:t>
            </w:r>
          </w:p>
        </w:tc>
        <w:tc>
          <w:tcPr>
            <w:tcW w:w="3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538,785</w:t>
            </w:r>
          </w:p>
        </w:tc>
      </w:tr>
      <w:tr>
        <w:trPr>
          <w:trHeight w:val="205"/>
        </w:trPr>
        <w:tc>
          <w:tcPr>
            <w:tcW w:w="5580" w:type="dxa"/>
            <w:vAlign w:val="bottom"/>
          </w:tcPr>
          <w:p>
            <w:pPr>
              <w:ind w:left="320"/>
              <w:spacing w:after="0"/>
              <w:rPr>
                <w:sz w:val="20"/>
                <w:szCs w:val="20"/>
                <w:color w:val="auto"/>
              </w:rPr>
            </w:pPr>
            <w:r>
              <w:rPr>
                <w:rFonts w:ascii="Arial" w:cs="Arial" w:eastAsia="Arial" w:hAnsi="Arial"/>
                <w:sz w:val="15"/>
                <w:szCs w:val="15"/>
                <w:color w:val="auto"/>
              </w:rPr>
              <w:t>Accounts receivable, net of allowance for credit losses</w:t>
            </w:r>
          </w:p>
        </w:tc>
        <w:tc>
          <w:tcPr>
            <w:tcW w:w="640" w:type="dxa"/>
            <w:vAlign w:val="bottom"/>
          </w:tcPr>
          <w:p>
            <w:pPr>
              <w:spacing w:after="0"/>
              <w:rPr>
                <w:sz w:val="17"/>
                <w:szCs w:val="17"/>
                <w:color w:val="auto"/>
              </w:rPr>
            </w:pPr>
          </w:p>
        </w:tc>
        <w:tc>
          <w:tcPr>
            <w:tcW w:w="1080" w:type="dxa"/>
            <w:vAlign w:val="bottom"/>
          </w:tcPr>
          <w:p>
            <w:pPr>
              <w:jc w:val="right"/>
              <w:ind w:right="63"/>
              <w:spacing w:after="0"/>
              <w:rPr>
                <w:sz w:val="20"/>
                <w:szCs w:val="20"/>
                <w:color w:val="auto"/>
              </w:rPr>
            </w:pPr>
            <w:r>
              <w:rPr>
                <w:rFonts w:ascii="Arial" w:cs="Arial" w:eastAsia="Arial" w:hAnsi="Arial"/>
                <w:sz w:val="15"/>
                <w:szCs w:val="15"/>
                <w:color w:val="auto"/>
              </w:rPr>
              <w:t>1,387,690</w:t>
            </w:r>
          </w:p>
        </w:tc>
        <w:tc>
          <w:tcPr>
            <w:tcW w:w="36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1,401,989</w:t>
            </w:r>
          </w:p>
        </w:tc>
      </w:tr>
      <w:tr>
        <w:trPr>
          <w:trHeight w:val="207"/>
        </w:trPr>
        <w:tc>
          <w:tcPr>
            <w:tcW w:w="55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Unbilled revenue</w:t>
            </w: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1,258,706</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1,286,274</w:t>
            </w:r>
          </w:p>
        </w:tc>
      </w:tr>
      <w:tr>
        <w:trPr>
          <w:trHeight w:val="205"/>
        </w:trPr>
        <w:tc>
          <w:tcPr>
            <w:tcW w:w="5580" w:type="dxa"/>
            <w:vAlign w:val="bottom"/>
          </w:tcPr>
          <w:p>
            <w:pPr>
              <w:ind w:left="320"/>
              <w:spacing w:after="0"/>
              <w:rPr>
                <w:sz w:val="20"/>
                <w:szCs w:val="20"/>
                <w:color w:val="auto"/>
              </w:rPr>
            </w:pPr>
            <w:r>
              <w:rPr>
                <w:rFonts w:ascii="Arial" w:cs="Arial" w:eastAsia="Arial" w:hAnsi="Arial"/>
                <w:sz w:val="15"/>
                <w:szCs w:val="15"/>
                <w:color w:val="auto"/>
              </w:rPr>
              <w:t>Other receivables</w:t>
            </w:r>
          </w:p>
        </w:tc>
        <w:tc>
          <w:tcPr>
            <w:tcW w:w="640" w:type="dxa"/>
            <w:vAlign w:val="bottom"/>
          </w:tcPr>
          <w:p>
            <w:pPr>
              <w:spacing w:after="0"/>
              <w:rPr>
                <w:sz w:val="17"/>
                <w:szCs w:val="17"/>
                <w:color w:val="auto"/>
              </w:rPr>
            </w:pPr>
          </w:p>
        </w:tc>
        <w:tc>
          <w:tcPr>
            <w:tcW w:w="1080" w:type="dxa"/>
            <w:vAlign w:val="bottom"/>
          </w:tcPr>
          <w:p>
            <w:pPr>
              <w:jc w:val="right"/>
              <w:ind w:right="63"/>
              <w:spacing w:after="0"/>
              <w:rPr>
                <w:sz w:val="20"/>
                <w:szCs w:val="20"/>
                <w:color w:val="auto"/>
              </w:rPr>
            </w:pPr>
            <w:r>
              <w:rPr>
                <w:rFonts w:ascii="Arial" w:cs="Arial" w:eastAsia="Arial" w:hAnsi="Arial"/>
                <w:sz w:val="15"/>
                <w:szCs w:val="15"/>
                <w:color w:val="auto"/>
              </w:rPr>
              <w:t>91,018</w:t>
            </w:r>
          </w:p>
        </w:tc>
        <w:tc>
          <w:tcPr>
            <w:tcW w:w="36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79,487</w:t>
            </w:r>
          </w:p>
        </w:tc>
      </w:tr>
      <w:tr>
        <w:trPr>
          <w:trHeight w:val="207"/>
        </w:trPr>
        <w:tc>
          <w:tcPr>
            <w:tcW w:w="55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Prepayments and other current assets</w:t>
            </w: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140,713</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140,435</w:t>
            </w:r>
          </w:p>
        </w:tc>
      </w:tr>
      <w:tr>
        <w:trPr>
          <w:trHeight w:val="205"/>
        </w:trPr>
        <w:tc>
          <w:tcPr>
            <w:tcW w:w="5580" w:type="dxa"/>
            <w:vAlign w:val="bottom"/>
            <w:tcBorders>
              <w:bottom w:val="single" w:sz="8" w:color="auto"/>
            </w:tcBorders>
          </w:tcPr>
          <w:p>
            <w:pPr>
              <w:ind w:left="320"/>
              <w:spacing w:after="0"/>
              <w:rPr>
                <w:sz w:val="20"/>
                <w:szCs w:val="20"/>
                <w:color w:val="auto"/>
              </w:rPr>
            </w:pPr>
            <w:r>
              <w:rPr>
                <w:rFonts w:ascii="Arial" w:cs="Arial" w:eastAsia="Arial" w:hAnsi="Arial"/>
                <w:sz w:val="15"/>
                <w:szCs w:val="15"/>
                <w:color w:val="auto"/>
              </w:rPr>
              <w:t>Income taxes receivable</w:t>
            </w:r>
          </w:p>
        </w:tc>
        <w:tc>
          <w:tcPr>
            <w:tcW w:w="6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61,626</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83,523</w:t>
            </w:r>
          </w:p>
        </w:tc>
      </w:tr>
      <w:tr>
        <w:trPr>
          <w:trHeight w:val="200"/>
        </w:trPr>
        <w:tc>
          <w:tcPr>
            <w:tcW w:w="5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current assets</w:t>
            </w:r>
          </w:p>
        </w:tc>
        <w:tc>
          <w:tcPr>
            <w:tcW w:w="64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3,408,641</w:t>
            </w:r>
          </w:p>
        </w:tc>
        <w:tc>
          <w:tcPr>
            <w:tcW w:w="3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3,530,493</w:t>
            </w:r>
          </w:p>
        </w:tc>
      </w:tr>
      <w:tr>
        <w:trPr>
          <w:trHeight w:val="155"/>
        </w:trPr>
        <w:tc>
          <w:tcPr>
            <w:tcW w:w="5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06"/>
        </w:trPr>
        <w:tc>
          <w:tcPr>
            <w:tcW w:w="5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Non-current assets:</w:t>
            </w:r>
          </w:p>
        </w:tc>
        <w:tc>
          <w:tcPr>
            <w:tcW w:w="6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5"/>
        </w:trPr>
        <w:tc>
          <w:tcPr>
            <w:tcW w:w="5580" w:type="dxa"/>
            <w:vAlign w:val="bottom"/>
          </w:tcPr>
          <w:p>
            <w:pPr>
              <w:ind w:left="320"/>
              <w:spacing w:after="0"/>
              <w:rPr>
                <w:sz w:val="20"/>
                <w:szCs w:val="20"/>
                <w:color w:val="auto"/>
              </w:rPr>
            </w:pPr>
            <w:r>
              <w:rPr>
                <w:rFonts w:ascii="Arial" w:cs="Arial" w:eastAsia="Arial" w:hAnsi="Arial"/>
                <w:sz w:val="15"/>
                <w:szCs w:val="15"/>
                <w:color w:val="auto"/>
              </w:rPr>
              <w:t>Property, plant and equipment, net</w:t>
            </w:r>
          </w:p>
        </w:tc>
        <w:tc>
          <w:tcPr>
            <w:tcW w:w="640" w:type="dxa"/>
            <w:vAlign w:val="bottom"/>
          </w:tcPr>
          <w:p>
            <w:pPr>
              <w:spacing w:after="0"/>
              <w:rPr>
                <w:sz w:val="17"/>
                <w:szCs w:val="17"/>
                <w:color w:val="auto"/>
              </w:rPr>
            </w:pPr>
          </w:p>
        </w:tc>
        <w:tc>
          <w:tcPr>
            <w:tcW w:w="1080" w:type="dxa"/>
            <w:vAlign w:val="bottom"/>
          </w:tcPr>
          <w:p>
            <w:pPr>
              <w:jc w:val="right"/>
              <w:ind w:right="63"/>
              <w:spacing w:after="0"/>
              <w:rPr>
                <w:sz w:val="20"/>
                <w:szCs w:val="20"/>
                <w:color w:val="auto"/>
              </w:rPr>
            </w:pPr>
            <w:r>
              <w:rPr>
                <w:rFonts w:ascii="Arial" w:cs="Arial" w:eastAsia="Arial" w:hAnsi="Arial"/>
                <w:sz w:val="15"/>
                <w:szCs w:val="15"/>
                <w:color w:val="auto"/>
              </w:rPr>
              <w:t>390,837</w:t>
            </w:r>
          </w:p>
        </w:tc>
        <w:tc>
          <w:tcPr>
            <w:tcW w:w="36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382,879</w:t>
            </w:r>
          </w:p>
        </w:tc>
      </w:tr>
      <w:tr>
        <w:trPr>
          <w:trHeight w:val="207"/>
        </w:trPr>
        <w:tc>
          <w:tcPr>
            <w:tcW w:w="55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Goodwill</w:t>
            </w: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8,927,323</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9,051,410</w:t>
            </w:r>
          </w:p>
        </w:tc>
      </w:tr>
      <w:tr>
        <w:trPr>
          <w:trHeight w:val="205"/>
        </w:trPr>
        <w:tc>
          <w:tcPr>
            <w:tcW w:w="5580" w:type="dxa"/>
            <w:vAlign w:val="bottom"/>
          </w:tcPr>
          <w:p>
            <w:pPr>
              <w:ind w:left="320"/>
              <w:spacing w:after="0"/>
              <w:rPr>
                <w:sz w:val="20"/>
                <w:szCs w:val="20"/>
                <w:color w:val="auto"/>
              </w:rPr>
            </w:pPr>
            <w:r>
              <w:rPr>
                <w:rFonts w:ascii="Arial" w:cs="Arial" w:eastAsia="Arial" w:hAnsi="Arial"/>
                <w:sz w:val="15"/>
                <w:szCs w:val="15"/>
                <w:color w:val="auto"/>
              </w:rPr>
              <w:t>Intangible assets, net</w:t>
            </w:r>
          </w:p>
        </w:tc>
        <w:tc>
          <w:tcPr>
            <w:tcW w:w="640" w:type="dxa"/>
            <w:vAlign w:val="bottom"/>
          </w:tcPr>
          <w:p>
            <w:pPr>
              <w:spacing w:after="0"/>
              <w:rPr>
                <w:sz w:val="17"/>
                <w:szCs w:val="17"/>
                <w:color w:val="auto"/>
              </w:rPr>
            </w:pPr>
          </w:p>
        </w:tc>
        <w:tc>
          <w:tcPr>
            <w:tcW w:w="1080" w:type="dxa"/>
            <w:vAlign w:val="bottom"/>
          </w:tcPr>
          <w:p>
            <w:pPr>
              <w:jc w:val="right"/>
              <w:ind w:right="63"/>
              <w:spacing w:after="0"/>
              <w:rPr>
                <w:sz w:val="20"/>
                <w:szCs w:val="20"/>
                <w:color w:val="auto"/>
              </w:rPr>
            </w:pPr>
            <w:r>
              <w:rPr>
                <w:rFonts w:ascii="Arial" w:cs="Arial" w:eastAsia="Arial" w:hAnsi="Arial"/>
                <w:sz w:val="15"/>
                <w:szCs w:val="15"/>
                <w:color w:val="auto"/>
              </w:rPr>
              <w:t>3,384,322</w:t>
            </w:r>
          </w:p>
        </w:tc>
        <w:tc>
          <w:tcPr>
            <w:tcW w:w="36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3,559,792</w:t>
            </w:r>
          </w:p>
        </w:tc>
      </w:tr>
      <w:tr>
        <w:trPr>
          <w:trHeight w:val="207"/>
        </w:trPr>
        <w:tc>
          <w:tcPr>
            <w:tcW w:w="55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Operating right-of-use assets</w:t>
            </w: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134,341</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147,602</w:t>
            </w:r>
          </w:p>
        </w:tc>
      </w:tr>
      <w:tr>
        <w:trPr>
          <w:trHeight w:val="205"/>
        </w:trPr>
        <w:tc>
          <w:tcPr>
            <w:tcW w:w="5580" w:type="dxa"/>
            <w:vAlign w:val="bottom"/>
          </w:tcPr>
          <w:p>
            <w:pPr>
              <w:ind w:left="320"/>
              <w:spacing w:after="0"/>
              <w:rPr>
                <w:sz w:val="20"/>
                <w:szCs w:val="20"/>
                <w:color w:val="auto"/>
              </w:rPr>
            </w:pPr>
            <w:r>
              <w:rPr>
                <w:rFonts w:ascii="Arial" w:cs="Arial" w:eastAsia="Arial" w:hAnsi="Arial"/>
                <w:sz w:val="15"/>
                <w:szCs w:val="15"/>
                <w:color w:val="auto"/>
              </w:rPr>
              <w:t>Other receivables</w:t>
            </w:r>
          </w:p>
        </w:tc>
        <w:tc>
          <w:tcPr>
            <w:tcW w:w="640" w:type="dxa"/>
            <w:vAlign w:val="bottom"/>
          </w:tcPr>
          <w:p>
            <w:pPr>
              <w:spacing w:after="0"/>
              <w:rPr>
                <w:sz w:val="17"/>
                <w:szCs w:val="17"/>
                <w:color w:val="auto"/>
              </w:rPr>
            </w:pPr>
          </w:p>
        </w:tc>
        <w:tc>
          <w:tcPr>
            <w:tcW w:w="1080" w:type="dxa"/>
            <w:vAlign w:val="bottom"/>
          </w:tcPr>
          <w:p>
            <w:pPr>
              <w:jc w:val="right"/>
              <w:ind w:right="63"/>
              <w:spacing w:after="0"/>
              <w:rPr>
                <w:sz w:val="20"/>
                <w:szCs w:val="20"/>
                <w:color w:val="auto"/>
              </w:rPr>
            </w:pPr>
            <w:r>
              <w:rPr>
                <w:rFonts w:ascii="Arial" w:cs="Arial" w:eastAsia="Arial" w:hAnsi="Arial"/>
                <w:sz w:val="15"/>
                <w:szCs w:val="15"/>
                <w:color w:val="auto"/>
              </w:rPr>
              <w:t>89,932</w:t>
            </w:r>
          </w:p>
        </w:tc>
        <w:tc>
          <w:tcPr>
            <w:tcW w:w="36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72,796</w:t>
            </w:r>
          </w:p>
        </w:tc>
      </w:tr>
      <w:tr>
        <w:trPr>
          <w:trHeight w:val="207"/>
        </w:trPr>
        <w:tc>
          <w:tcPr>
            <w:tcW w:w="55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Deferred tax asset</w:t>
            </w: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100,810</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74,758</w:t>
            </w:r>
          </w:p>
        </w:tc>
      </w:tr>
      <w:tr>
        <w:trPr>
          <w:trHeight w:val="205"/>
        </w:trPr>
        <w:tc>
          <w:tcPr>
            <w:tcW w:w="5580" w:type="dxa"/>
            <w:vAlign w:val="bottom"/>
            <w:tcBorders>
              <w:bottom w:val="single" w:sz="8" w:color="auto"/>
            </w:tcBorders>
          </w:tcPr>
          <w:p>
            <w:pPr>
              <w:ind w:left="320"/>
              <w:spacing w:after="0"/>
              <w:rPr>
                <w:sz w:val="20"/>
                <w:szCs w:val="20"/>
                <w:color w:val="auto"/>
              </w:rPr>
            </w:pPr>
            <w:r>
              <w:rPr>
                <w:rFonts w:ascii="Arial" w:cs="Arial" w:eastAsia="Arial" w:hAnsi="Arial"/>
                <w:sz w:val="15"/>
                <w:szCs w:val="15"/>
                <w:color w:val="auto"/>
              </w:rPr>
              <w:t>Investments in equity</w:t>
            </w:r>
          </w:p>
        </w:tc>
        <w:tc>
          <w:tcPr>
            <w:tcW w:w="6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71,284</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57,948</w:t>
            </w:r>
          </w:p>
        </w:tc>
      </w:tr>
      <w:tr>
        <w:trPr>
          <w:trHeight w:val="224"/>
        </w:trPr>
        <w:tc>
          <w:tcPr>
            <w:tcW w:w="5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Total Assets</w:t>
            </w:r>
          </w:p>
        </w:tc>
        <w:tc>
          <w:tcPr>
            <w:tcW w:w="6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16,507,490</w:t>
            </w:r>
          </w:p>
        </w:tc>
        <w:tc>
          <w:tcPr>
            <w:tcW w:w="3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16,877,678</w:t>
            </w:r>
          </w:p>
        </w:tc>
      </w:tr>
      <w:tr>
        <w:trPr>
          <w:trHeight w:val="20"/>
        </w:trPr>
        <w:tc>
          <w:tcPr>
            <w:tcW w:w="55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5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06"/>
        </w:trPr>
        <w:tc>
          <w:tcPr>
            <w:tcW w:w="55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LIABILITIES AND SHAREHOLDERS’ EQUITY</w:t>
            </w:r>
          </w:p>
        </w:tc>
        <w:tc>
          <w:tcPr>
            <w:tcW w:w="6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5"/>
        </w:trPr>
        <w:tc>
          <w:tcPr>
            <w:tcW w:w="5580" w:type="dxa"/>
            <w:vAlign w:val="bottom"/>
          </w:tcPr>
          <w:p>
            <w:pPr>
              <w:ind w:left="20"/>
              <w:spacing w:after="0"/>
              <w:rPr>
                <w:sz w:val="20"/>
                <w:szCs w:val="20"/>
                <w:color w:val="auto"/>
              </w:rPr>
            </w:pPr>
            <w:r>
              <w:rPr>
                <w:rFonts w:ascii="Arial" w:cs="Arial" w:eastAsia="Arial" w:hAnsi="Arial"/>
                <w:sz w:val="15"/>
                <w:szCs w:val="15"/>
                <w:color w:val="auto"/>
              </w:rPr>
              <w:t>Current liabilities:</w:t>
            </w:r>
          </w:p>
        </w:tc>
        <w:tc>
          <w:tcPr>
            <w:tcW w:w="6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7"/>
        </w:trPr>
        <w:tc>
          <w:tcPr>
            <w:tcW w:w="55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Accounts payable</w:t>
            </w:r>
          </w:p>
        </w:tc>
        <w:tc>
          <w:tcPr>
            <w:tcW w:w="64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113,288</w:t>
            </w:r>
          </w:p>
        </w:tc>
        <w:tc>
          <w:tcPr>
            <w:tcW w:w="3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173,025</w:t>
            </w:r>
          </w:p>
        </w:tc>
      </w:tr>
      <w:tr>
        <w:trPr>
          <w:trHeight w:val="205"/>
        </w:trPr>
        <w:tc>
          <w:tcPr>
            <w:tcW w:w="5580" w:type="dxa"/>
            <w:vAlign w:val="bottom"/>
          </w:tcPr>
          <w:p>
            <w:pPr>
              <w:ind w:left="320"/>
              <w:spacing w:after="0"/>
              <w:rPr>
                <w:sz w:val="20"/>
                <w:szCs w:val="20"/>
                <w:color w:val="auto"/>
              </w:rPr>
            </w:pPr>
            <w:r>
              <w:rPr>
                <w:rFonts w:ascii="Arial" w:cs="Arial" w:eastAsia="Arial" w:hAnsi="Arial"/>
                <w:sz w:val="15"/>
                <w:szCs w:val="15"/>
                <w:color w:val="auto"/>
              </w:rPr>
              <w:t>Unearned revenue</w:t>
            </w:r>
          </w:p>
        </w:tc>
        <w:tc>
          <w:tcPr>
            <w:tcW w:w="640" w:type="dxa"/>
            <w:vAlign w:val="bottom"/>
          </w:tcPr>
          <w:p>
            <w:pPr>
              <w:spacing w:after="0"/>
              <w:rPr>
                <w:sz w:val="17"/>
                <w:szCs w:val="17"/>
                <w:color w:val="auto"/>
              </w:rPr>
            </w:pPr>
          </w:p>
        </w:tc>
        <w:tc>
          <w:tcPr>
            <w:tcW w:w="1080" w:type="dxa"/>
            <w:vAlign w:val="bottom"/>
          </w:tcPr>
          <w:p>
            <w:pPr>
              <w:jc w:val="right"/>
              <w:ind w:right="63"/>
              <w:spacing w:after="0"/>
              <w:rPr>
                <w:sz w:val="20"/>
                <w:szCs w:val="20"/>
                <w:color w:val="auto"/>
              </w:rPr>
            </w:pPr>
            <w:r>
              <w:rPr>
                <w:rFonts w:ascii="Arial" w:cs="Arial" w:eastAsia="Arial" w:hAnsi="Arial"/>
                <w:sz w:val="15"/>
                <w:szCs w:val="15"/>
                <w:color w:val="auto"/>
              </w:rPr>
              <w:t>1,528,343</w:t>
            </w:r>
          </w:p>
        </w:tc>
        <w:tc>
          <w:tcPr>
            <w:tcW w:w="36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1,614,758</w:t>
            </w:r>
          </w:p>
        </w:tc>
      </w:tr>
      <w:tr>
        <w:trPr>
          <w:trHeight w:val="207"/>
        </w:trPr>
        <w:tc>
          <w:tcPr>
            <w:tcW w:w="55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Other liabilities</w:t>
            </w: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998,472</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923,603</w:t>
            </w:r>
          </w:p>
        </w:tc>
      </w:tr>
      <w:tr>
        <w:trPr>
          <w:trHeight w:val="205"/>
        </w:trPr>
        <w:tc>
          <w:tcPr>
            <w:tcW w:w="5580" w:type="dxa"/>
            <w:vAlign w:val="bottom"/>
          </w:tcPr>
          <w:p>
            <w:pPr>
              <w:ind w:left="320"/>
              <w:spacing w:after="0"/>
              <w:rPr>
                <w:sz w:val="20"/>
                <w:szCs w:val="20"/>
                <w:color w:val="auto"/>
              </w:rPr>
            </w:pPr>
            <w:r>
              <w:rPr>
                <w:rFonts w:ascii="Arial" w:cs="Arial" w:eastAsia="Arial" w:hAnsi="Arial"/>
                <w:sz w:val="15"/>
                <w:szCs w:val="15"/>
                <w:color w:val="auto"/>
              </w:rPr>
              <w:t>Income taxes payable</w:t>
            </w:r>
          </w:p>
        </w:tc>
        <w:tc>
          <w:tcPr>
            <w:tcW w:w="640" w:type="dxa"/>
            <w:vAlign w:val="bottom"/>
          </w:tcPr>
          <w:p>
            <w:pPr>
              <w:spacing w:after="0"/>
              <w:rPr>
                <w:sz w:val="17"/>
                <w:szCs w:val="17"/>
                <w:color w:val="auto"/>
              </w:rPr>
            </w:pPr>
          </w:p>
        </w:tc>
        <w:tc>
          <w:tcPr>
            <w:tcW w:w="1080" w:type="dxa"/>
            <w:vAlign w:val="bottom"/>
          </w:tcPr>
          <w:p>
            <w:pPr>
              <w:jc w:val="right"/>
              <w:ind w:right="63"/>
              <w:spacing w:after="0"/>
              <w:rPr>
                <w:sz w:val="20"/>
                <w:szCs w:val="20"/>
                <w:color w:val="auto"/>
              </w:rPr>
            </w:pPr>
            <w:r>
              <w:rPr>
                <w:rFonts w:ascii="Arial" w:cs="Arial" w:eastAsia="Arial" w:hAnsi="Arial"/>
                <w:sz w:val="15"/>
                <w:szCs w:val="15"/>
                <w:color w:val="auto"/>
              </w:rPr>
              <w:t>49,350</w:t>
            </w:r>
          </w:p>
        </w:tc>
        <w:tc>
          <w:tcPr>
            <w:tcW w:w="36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55,258</w:t>
            </w:r>
          </w:p>
        </w:tc>
      </w:tr>
      <w:tr>
        <w:trPr>
          <w:trHeight w:val="206"/>
        </w:trPr>
        <w:tc>
          <w:tcPr>
            <w:tcW w:w="5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5"/>
                <w:szCs w:val="15"/>
                <w:color w:val="auto"/>
              </w:rPr>
              <w:t>Current bank credit lines, loan facilities and notes</w:t>
            </w:r>
          </w:p>
        </w:tc>
        <w:tc>
          <w:tcPr>
            <w:tcW w:w="6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529,762</w:t>
            </w:r>
          </w:p>
        </w:tc>
        <w:tc>
          <w:tcPr>
            <w:tcW w:w="3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29,762</w:t>
            </w:r>
          </w:p>
        </w:tc>
      </w:tr>
      <w:tr>
        <w:trPr>
          <w:trHeight w:val="199"/>
        </w:trPr>
        <w:tc>
          <w:tcPr>
            <w:tcW w:w="5580" w:type="dxa"/>
            <w:vAlign w:val="bottom"/>
          </w:tcPr>
          <w:p>
            <w:pPr>
              <w:ind w:left="20"/>
              <w:spacing w:after="0"/>
              <w:rPr>
                <w:sz w:val="20"/>
                <w:szCs w:val="20"/>
                <w:color w:val="auto"/>
              </w:rPr>
            </w:pPr>
            <w:r>
              <w:rPr>
                <w:rFonts w:ascii="Arial" w:cs="Arial" w:eastAsia="Arial" w:hAnsi="Arial"/>
                <w:sz w:val="15"/>
                <w:szCs w:val="15"/>
                <w:color w:val="auto"/>
              </w:rPr>
              <w:t>Total current liabilities</w:t>
            </w:r>
          </w:p>
        </w:tc>
        <w:tc>
          <w:tcPr>
            <w:tcW w:w="64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63"/>
              <w:spacing w:after="0"/>
              <w:rPr>
                <w:sz w:val="20"/>
                <w:szCs w:val="20"/>
                <w:color w:val="auto"/>
              </w:rPr>
            </w:pPr>
            <w:r>
              <w:rPr>
                <w:rFonts w:ascii="Arial" w:cs="Arial" w:eastAsia="Arial" w:hAnsi="Arial"/>
                <w:sz w:val="15"/>
                <w:szCs w:val="15"/>
                <w:color w:val="auto"/>
              </w:rPr>
              <w:t>3,219,215</w:t>
            </w:r>
          </w:p>
        </w:tc>
        <w:tc>
          <w:tcPr>
            <w:tcW w:w="36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2,796,406</w:t>
            </w:r>
          </w:p>
        </w:tc>
      </w:tr>
      <w:tr>
        <w:trPr>
          <w:trHeight w:val="207"/>
        </w:trPr>
        <w:tc>
          <w:tcPr>
            <w:tcW w:w="5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05"/>
        </w:trPr>
        <w:tc>
          <w:tcPr>
            <w:tcW w:w="5580" w:type="dxa"/>
            <w:vAlign w:val="bottom"/>
          </w:tcPr>
          <w:p>
            <w:pPr>
              <w:ind w:left="20"/>
              <w:spacing w:after="0"/>
              <w:rPr>
                <w:sz w:val="20"/>
                <w:szCs w:val="20"/>
                <w:color w:val="auto"/>
              </w:rPr>
            </w:pPr>
            <w:r>
              <w:rPr>
                <w:rFonts w:ascii="Arial" w:cs="Arial" w:eastAsia="Arial" w:hAnsi="Arial"/>
                <w:sz w:val="15"/>
                <w:szCs w:val="15"/>
                <w:color w:val="auto"/>
              </w:rPr>
              <w:t>Non-current liabilities:</w:t>
            </w:r>
          </w:p>
        </w:tc>
        <w:tc>
          <w:tcPr>
            <w:tcW w:w="6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7"/>
        </w:trPr>
        <w:tc>
          <w:tcPr>
            <w:tcW w:w="55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Non-current bank credit lines, loan facilities and notes, net</w:t>
            </w: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2,878,547</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3,396,398</w:t>
            </w:r>
          </w:p>
        </w:tc>
      </w:tr>
      <w:tr>
        <w:trPr>
          <w:trHeight w:val="205"/>
        </w:trPr>
        <w:tc>
          <w:tcPr>
            <w:tcW w:w="5580" w:type="dxa"/>
            <w:vAlign w:val="bottom"/>
          </w:tcPr>
          <w:p>
            <w:pPr>
              <w:ind w:left="320"/>
              <w:spacing w:after="0"/>
              <w:rPr>
                <w:sz w:val="20"/>
                <w:szCs w:val="20"/>
                <w:color w:val="auto"/>
              </w:rPr>
            </w:pPr>
            <w:r>
              <w:rPr>
                <w:rFonts w:ascii="Arial" w:cs="Arial" w:eastAsia="Arial" w:hAnsi="Arial"/>
                <w:sz w:val="15"/>
                <w:szCs w:val="15"/>
                <w:color w:val="auto"/>
              </w:rPr>
              <w:t>Lease liabilities</w:t>
            </w:r>
          </w:p>
        </w:tc>
        <w:tc>
          <w:tcPr>
            <w:tcW w:w="640" w:type="dxa"/>
            <w:vAlign w:val="bottom"/>
          </w:tcPr>
          <w:p>
            <w:pPr>
              <w:spacing w:after="0"/>
              <w:rPr>
                <w:sz w:val="17"/>
                <w:szCs w:val="17"/>
                <w:color w:val="auto"/>
              </w:rPr>
            </w:pPr>
          </w:p>
        </w:tc>
        <w:tc>
          <w:tcPr>
            <w:tcW w:w="1080" w:type="dxa"/>
            <w:vAlign w:val="bottom"/>
          </w:tcPr>
          <w:p>
            <w:pPr>
              <w:jc w:val="right"/>
              <w:ind w:right="63"/>
              <w:spacing w:after="0"/>
              <w:rPr>
                <w:sz w:val="20"/>
                <w:szCs w:val="20"/>
                <w:color w:val="auto"/>
              </w:rPr>
            </w:pPr>
            <w:r>
              <w:rPr>
                <w:rFonts w:ascii="Arial" w:cs="Arial" w:eastAsia="Arial" w:hAnsi="Arial"/>
                <w:sz w:val="15"/>
                <w:szCs w:val="15"/>
                <w:color w:val="auto"/>
              </w:rPr>
              <w:t>125,110</w:t>
            </w:r>
          </w:p>
        </w:tc>
        <w:tc>
          <w:tcPr>
            <w:tcW w:w="36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140,085</w:t>
            </w:r>
          </w:p>
        </w:tc>
      </w:tr>
      <w:tr>
        <w:trPr>
          <w:trHeight w:val="207"/>
        </w:trPr>
        <w:tc>
          <w:tcPr>
            <w:tcW w:w="55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Non-current other liabilities</w:t>
            </w: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99,490</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83,470</w:t>
            </w:r>
          </w:p>
        </w:tc>
      </w:tr>
      <w:tr>
        <w:trPr>
          <w:trHeight w:val="205"/>
        </w:trPr>
        <w:tc>
          <w:tcPr>
            <w:tcW w:w="5580" w:type="dxa"/>
            <w:vAlign w:val="bottom"/>
          </w:tcPr>
          <w:p>
            <w:pPr>
              <w:ind w:left="320"/>
              <w:spacing w:after="0"/>
              <w:rPr>
                <w:sz w:val="20"/>
                <w:szCs w:val="20"/>
                <w:color w:val="auto"/>
              </w:rPr>
            </w:pPr>
            <w:r>
              <w:rPr>
                <w:rFonts w:ascii="Arial" w:cs="Arial" w:eastAsia="Arial" w:hAnsi="Arial"/>
                <w:sz w:val="15"/>
                <w:szCs w:val="15"/>
                <w:color w:val="auto"/>
              </w:rPr>
              <w:t>Non-current income taxes payable</w:t>
            </w:r>
          </w:p>
        </w:tc>
        <w:tc>
          <w:tcPr>
            <w:tcW w:w="640" w:type="dxa"/>
            <w:vAlign w:val="bottom"/>
          </w:tcPr>
          <w:p>
            <w:pPr>
              <w:spacing w:after="0"/>
              <w:rPr>
                <w:sz w:val="17"/>
                <w:szCs w:val="17"/>
                <w:color w:val="auto"/>
              </w:rPr>
            </w:pPr>
          </w:p>
        </w:tc>
        <w:tc>
          <w:tcPr>
            <w:tcW w:w="1080" w:type="dxa"/>
            <w:vAlign w:val="bottom"/>
          </w:tcPr>
          <w:p>
            <w:pPr>
              <w:jc w:val="right"/>
              <w:ind w:right="63"/>
              <w:spacing w:after="0"/>
              <w:rPr>
                <w:sz w:val="20"/>
                <w:szCs w:val="20"/>
                <w:color w:val="auto"/>
              </w:rPr>
            </w:pPr>
            <w:r>
              <w:rPr>
                <w:rFonts w:ascii="Arial" w:cs="Arial" w:eastAsia="Arial" w:hAnsi="Arial"/>
                <w:sz w:val="15"/>
                <w:szCs w:val="15"/>
                <w:color w:val="auto"/>
              </w:rPr>
              <w:t>105,832</w:t>
            </w:r>
          </w:p>
        </w:tc>
        <w:tc>
          <w:tcPr>
            <w:tcW w:w="36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125,834</w:t>
            </w:r>
          </w:p>
        </w:tc>
      </w:tr>
      <w:tr>
        <w:trPr>
          <w:trHeight w:val="207"/>
        </w:trPr>
        <w:tc>
          <w:tcPr>
            <w:tcW w:w="55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Deferred tax liability</w:t>
            </w: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744,450</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812,486</w:t>
            </w:r>
          </w:p>
        </w:tc>
      </w:tr>
      <w:tr>
        <w:trPr>
          <w:trHeight w:val="205"/>
        </w:trPr>
        <w:tc>
          <w:tcPr>
            <w:tcW w:w="5580" w:type="dxa"/>
            <w:vAlign w:val="bottom"/>
            <w:tcBorders>
              <w:bottom w:val="single" w:sz="8" w:color="auto"/>
            </w:tcBorders>
          </w:tcPr>
          <w:p>
            <w:pPr>
              <w:ind w:left="320"/>
              <w:spacing w:after="0"/>
              <w:rPr>
                <w:sz w:val="20"/>
                <w:szCs w:val="20"/>
                <w:color w:val="auto"/>
              </w:rPr>
            </w:pPr>
            <w:r>
              <w:rPr>
                <w:rFonts w:ascii="Arial" w:cs="Arial" w:eastAsia="Arial" w:hAnsi="Arial"/>
                <w:sz w:val="15"/>
                <w:szCs w:val="15"/>
                <w:color w:val="auto"/>
              </w:rPr>
              <w:t>Commitments and contingencies</w:t>
            </w:r>
          </w:p>
        </w:tc>
        <w:tc>
          <w:tcPr>
            <w:tcW w:w="6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r>
      <w:tr>
        <w:trPr>
          <w:trHeight w:val="199"/>
        </w:trPr>
        <w:tc>
          <w:tcPr>
            <w:tcW w:w="5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Total Liabilities</w:t>
            </w:r>
          </w:p>
        </w:tc>
        <w:tc>
          <w:tcPr>
            <w:tcW w:w="6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7,172,644</w:t>
            </w:r>
          </w:p>
        </w:tc>
        <w:tc>
          <w:tcPr>
            <w:tcW w:w="3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7,354,679</w:t>
            </w:r>
          </w:p>
        </w:tc>
      </w:tr>
      <w:tr>
        <w:trPr>
          <w:trHeight w:val="187"/>
        </w:trPr>
        <w:tc>
          <w:tcPr>
            <w:tcW w:w="5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6"/>
        </w:trPr>
        <w:tc>
          <w:tcPr>
            <w:tcW w:w="5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Shareholders' Equity:</w:t>
            </w:r>
          </w:p>
        </w:tc>
        <w:tc>
          <w:tcPr>
            <w:tcW w:w="6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55"/>
        </w:trPr>
        <w:tc>
          <w:tcPr>
            <w:tcW w:w="5580" w:type="dxa"/>
            <w:vAlign w:val="bottom"/>
          </w:tcPr>
          <w:p>
            <w:pPr>
              <w:ind w:left="320"/>
              <w:spacing w:after="0" w:line="156" w:lineRule="exact"/>
              <w:rPr>
                <w:sz w:val="20"/>
                <w:szCs w:val="20"/>
                <w:color w:val="auto"/>
              </w:rPr>
            </w:pPr>
            <w:r>
              <w:rPr>
                <w:rFonts w:ascii="Arial" w:cs="Arial" w:eastAsia="Arial" w:hAnsi="Arial"/>
                <w:sz w:val="15"/>
                <w:szCs w:val="15"/>
                <w:color w:val="auto"/>
              </w:rPr>
              <w:t>Ordinary shares, par value 6 euro cents per share; 100,000,000 shares</w:t>
            </w:r>
          </w:p>
        </w:tc>
        <w:tc>
          <w:tcPr>
            <w:tcW w:w="6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05"/>
        </w:trPr>
        <w:tc>
          <w:tcPr>
            <w:tcW w:w="5580" w:type="dxa"/>
            <w:vAlign w:val="bottom"/>
          </w:tcPr>
          <w:p>
            <w:pPr>
              <w:ind w:left="320"/>
              <w:spacing w:after="0"/>
              <w:rPr>
                <w:sz w:val="20"/>
                <w:szCs w:val="20"/>
                <w:color w:val="auto"/>
              </w:rPr>
            </w:pPr>
            <w:r>
              <w:rPr>
                <w:rFonts w:ascii="Arial" w:cs="Arial" w:eastAsia="Arial" w:hAnsi="Arial"/>
                <w:sz w:val="15"/>
                <w:szCs w:val="15"/>
                <w:color w:val="auto"/>
              </w:rPr>
              <w:t>authorized,</w:t>
            </w:r>
          </w:p>
        </w:tc>
        <w:tc>
          <w:tcPr>
            <w:tcW w:w="6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7"/>
        </w:trPr>
        <w:tc>
          <w:tcPr>
            <w:tcW w:w="55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76,359,932 shares issued and outstanding at September 30, 2025 and</w:t>
            </w: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05"/>
        </w:trPr>
        <w:tc>
          <w:tcPr>
            <w:tcW w:w="5580" w:type="dxa"/>
            <w:vAlign w:val="bottom"/>
          </w:tcPr>
          <w:p>
            <w:pPr>
              <w:ind w:left="320"/>
              <w:spacing w:after="0"/>
              <w:rPr>
                <w:sz w:val="20"/>
                <w:szCs w:val="20"/>
                <w:color w:val="auto"/>
              </w:rPr>
            </w:pPr>
            <w:r>
              <w:rPr>
                <w:rFonts w:ascii="Arial" w:cs="Arial" w:eastAsia="Arial" w:hAnsi="Arial"/>
                <w:sz w:val="15"/>
                <w:szCs w:val="15"/>
                <w:color w:val="auto"/>
              </w:rPr>
              <w:t>80,756,860 shares issued and outstanding at December 31, 2024</w:t>
            </w:r>
          </w:p>
        </w:tc>
        <w:tc>
          <w:tcPr>
            <w:tcW w:w="640" w:type="dxa"/>
            <w:vAlign w:val="bottom"/>
          </w:tcPr>
          <w:p>
            <w:pPr>
              <w:spacing w:after="0"/>
              <w:rPr>
                <w:sz w:val="17"/>
                <w:szCs w:val="17"/>
                <w:color w:val="auto"/>
              </w:rPr>
            </w:pPr>
          </w:p>
        </w:tc>
        <w:tc>
          <w:tcPr>
            <w:tcW w:w="1080" w:type="dxa"/>
            <w:vAlign w:val="bottom"/>
          </w:tcPr>
          <w:p>
            <w:pPr>
              <w:jc w:val="right"/>
              <w:ind w:right="63"/>
              <w:spacing w:after="0"/>
              <w:rPr>
                <w:sz w:val="20"/>
                <w:szCs w:val="20"/>
                <w:color w:val="auto"/>
              </w:rPr>
            </w:pPr>
            <w:r>
              <w:rPr>
                <w:rFonts w:ascii="Arial" w:cs="Arial" w:eastAsia="Arial" w:hAnsi="Arial"/>
                <w:sz w:val="15"/>
                <w:szCs w:val="15"/>
                <w:color w:val="auto"/>
              </w:rPr>
              <w:t>6,290</w:t>
            </w:r>
          </w:p>
        </w:tc>
        <w:tc>
          <w:tcPr>
            <w:tcW w:w="36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6,586</w:t>
            </w:r>
          </w:p>
        </w:tc>
      </w:tr>
      <w:tr>
        <w:trPr>
          <w:trHeight w:val="207"/>
        </w:trPr>
        <w:tc>
          <w:tcPr>
            <w:tcW w:w="55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Additional paid-in capital</w:t>
            </w: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7,100,059</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7,020,231</w:t>
            </w:r>
          </w:p>
        </w:tc>
      </w:tr>
      <w:tr>
        <w:trPr>
          <w:trHeight w:val="205"/>
        </w:trPr>
        <w:tc>
          <w:tcPr>
            <w:tcW w:w="5580" w:type="dxa"/>
            <w:vAlign w:val="bottom"/>
          </w:tcPr>
          <w:p>
            <w:pPr>
              <w:ind w:left="320"/>
              <w:spacing w:after="0"/>
              <w:rPr>
                <w:sz w:val="20"/>
                <w:szCs w:val="20"/>
                <w:color w:val="auto"/>
              </w:rPr>
            </w:pPr>
            <w:r>
              <w:rPr>
                <w:rFonts w:ascii="Arial" w:cs="Arial" w:eastAsia="Arial" w:hAnsi="Arial"/>
                <w:sz w:val="15"/>
                <w:szCs w:val="15"/>
                <w:color w:val="auto"/>
              </w:rPr>
              <w:t>Other undenominated capital</w:t>
            </w:r>
          </w:p>
        </w:tc>
        <w:tc>
          <w:tcPr>
            <w:tcW w:w="640" w:type="dxa"/>
            <w:vAlign w:val="bottom"/>
          </w:tcPr>
          <w:p>
            <w:pPr>
              <w:spacing w:after="0"/>
              <w:rPr>
                <w:sz w:val="17"/>
                <w:szCs w:val="17"/>
                <w:color w:val="auto"/>
              </w:rPr>
            </w:pPr>
          </w:p>
        </w:tc>
        <w:tc>
          <w:tcPr>
            <w:tcW w:w="1080" w:type="dxa"/>
            <w:vAlign w:val="bottom"/>
          </w:tcPr>
          <w:p>
            <w:pPr>
              <w:jc w:val="right"/>
              <w:ind w:right="63"/>
              <w:spacing w:after="0"/>
              <w:rPr>
                <w:sz w:val="20"/>
                <w:szCs w:val="20"/>
                <w:color w:val="auto"/>
              </w:rPr>
            </w:pPr>
            <w:r>
              <w:rPr>
                <w:rFonts w:ascii="Arial" w:cs="Arial" w:eastAsia="Arial" w:hAnsi="Arial"/>
                <w:sz w:val="15"/>
                <w:szCs w:val="15"/>
                <w:color w:val="auto"/>
              </w:rPr>
              <w:t>1,606</w:t>
            </w:r>
          </w:p>
        </w:tc>
        <w:tc>
          <w:tcPr>
            <w:tcW w:w="36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1,304</w:t>
            </w:r>
          </w:p>
        </w:tc>
      </w:tr>
      <w:tr>
        <w:trPr>
          <w:trHeight w:val="207"/>
        </w:trPr>
        <w:tc>
          <w:tcPr>
            <w:tcW w:w="55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Accumulated other comprehensive loss</w:t>
            </w: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(86,944)</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(229,929)</w:t>
            </w:r>
          </w:p>
        </w:tc>
      </w:tr>
      <w:tr>
        <w:trPr>
          <w:trHeight w:val="205"/>
        </w:trPr>
        <w:tc>
          <w:tcPr>
            <w:tcW w:w="5580" w:type="dxa"/>
            <w:vAlign w:val="bottom"/>
            <w:tcBorders>
              <w:bottom w:val="single" w:sz="8" w:color="auto"/>
            </w:tcBorders>
          </w:tcPr>
          <w:p>
            <w:pPr>
              <w:ind w:left="320"/>
              <w:spacing w:after="0"/>
              <w:rPr>
                <w:sz w:val="20"/>
                <w:szCs w:val="20"/>
                <w:color w:val="auto"/>
              </w:rPr>
            </w:pPr>
            <w:r>
              <w:rPr>
                <w:rFonts w:ascii="Arial" w:cs="Arial" w:eastAsia="Arial" w:hAnsi="Arial"/>
                <w:sz w:val="15"/>
                <w:szCs w:val="15"/>
                <w:color w:val="auto"/>
              </w:rPr>
              <w:t>Retained earnings</w:t>
            </w:r>
          </w:p>
        </w:tc>
        <w:tc>
          <w:tcPr>
            <w:tcW w:w="6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2,313,835</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2,724,807</w:t>
            </w:r>
          </w:p>
        </w:tc>
      </w:tr>
      <w:tr>
        <w:trPr>
          <w:trHeight w:val="199"/>
        </w:trPr>
        <w:tc>
          <w:tcPr>
            <w:tcW w:w="55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5"/>
                <w:szCs w:val="15"/>
                <w:color w:val="auto"/>
              </w:rPr>
              <w:t>Total Shareholders' Equity</w:t>
            </w:r>
          </w:p>
        </w:tc>
        <w:tc>
          <w:tcPr>
            <w:tcW w:w="6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9,334,846</w:t>
            </w:r>
          </w:p>
        </w:tc>
        <w:tc>
          <w:tcPr>
            <w:tcW w:w="3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9,522,999</w:t>
            </w:r>
          </w:p>
        </w:tc>
      </w:tr>
      <w:tr>
        <w:trPr>
          <w:trHeight w:val="199"/>
        </w:trPr>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Total Liabilities and Shareholders' Equity</w:t>
            </w:r>
          </w:p>
        </w:tc>
        <w:tc>
          <w:tcPr>
            <w:tcW w:w="64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16,507,490</w:t>
            </w:r>
          </w:p>
        </w:tc>
        <w:tc>
          <w:tcPr>
            <w:tcW w:w="3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16,877,678</w:t>
            </w:r>
          </w:p>
        </w:tc>
      </w:tr>
      <w:tr>
        <w:trPr>
          <w:trHeight w:val="20"/>
        </w:trPr>
        <w:tc>
          <w:tcPr>
            <w:tcW w:w="55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65405</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9019"/>
          </w:cols>
          <w:pgMar w:left="1440" w:top="448" w:right="1440" w:bottom="1440" w:gutter="0" w:footer="0" w:header="0"/>
        </w:sectPr>
      </w:pPr>
    </w:p>
    <w:bookmarkStart w:id="5" w:name="page6"/>
    <w:bookmarkEnd w:id="5"/>
    <w:p>
      <w:pPr>
        <w:jc w:val="center"/>
        <w:spacing w:after="0"/>
        <w:rPr>
          <w:sz w:val="20"/>
          <w:szCs w:val="20"/>
          <w:color w:val="auto"/>
        </w:rPr>
      </w:pPr>
      <w:r>
        <w:rPr>
          <w:rFonts w:ascii="Arial" w:cs="Arial" w:eastAsia="Arial" w:hAnsi="Arial"/>
          <w:sz w:val="15"/>
          <w:szCs w:val="15"/>
          <w:b w:val="1"/>
          <w:bCs w:val="1"/>
          <w:color w:val="auto"/>
        </w:rPr>
        <w:t>ICON plc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FOR THE THREE AND NINE MONTHS ENDED SEPTEMBER 30, 2025 AND SEPTEMBER 30, 2024</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(UNAUDITED)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5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2820" w:type="dxa"/>
            <w:vAlign w:val="bottom"/>
            <w:tcBorders>
              <w:bottom w:val="single" w:sz="8" w:color="auto"/>
            </w:tcBorders>
            <w:gridSpan w:val="3"/>
            <w:shd w:val="clear" w:color="auto" w:fill="CCEEFF"/>
          </w:tcPr>
          <w:p>
            <w:pPr>
              <w:jc w:val="right"/>
              <w:ind w:right="703"/>
              <w:spacing w:after="0"/>
              <w:rPr>
                <w:sz w:val="20"/>
                <w:szCs w:val="20"/>
                <w:color w:val="auto"/>
              </w:rPr>
            </w:pPr>
            <w:r>
              <w:rPr>
                <w:rFonts w:ascii="Arial" w:cs="Arial" w:eastAsia="Arial" w:hAnsi="Arial"/>
                <w:sz w:val="15"/>
                <w:szCs w:val="15"/>
                <w:b w:val="1"/>
                <w:bCs w:val="1"/>
                <w:color w:val="auto"/>
              </w:rPr>
              <w:t>Three Months Ended</w:t>
            </w:r>
          </w:p>
        </w:tc>
        <w:tc>
          <w:tcPr>
            <w:tcW w:w="280" w:type="dxa"/>
            <w:vAlign w:val="bottom"/>
            <w:tcBorders>
              <w:bottom w:val="single" w:sz="8" w:color="auto"/>
            </w:tcBorders>
            <w:shd w:val="clear" w:color="auto" w:fill="CCEEFF"/>
          </w:tcPr>
          <w:p>
            <w:pPr>
              <w:spacing w:after="0"/>
              <w:rPr>
                <w:sz w:val="17"/>
                <w:szCs w:val="17"/>
                <w:color w:val="auto"/>
              </w:rPr>
            </w:pPr>
          </w:p>
        </w:tc>
        <w:tc>
          <w:tcPr>
            <w:tcW w:w="2760" w:type="dxa"/>
            <w:vAlign w:val="bottom"/>
            <w:tcBorders>
              <w:bottom w:val="single" w:sz="8" w:color="auto"/>
            </w:tcBorders>
            <w:gridSpan w:val="3"/>
            <w:shd w:val="clear" w:color="auto" w:fill="CCEEFF"/>
          </w:tcPr>
          <w:p>
            <w:pPr>
              <w:jc w:val="right"/>
              <w:ind w:right="703"/>
              <w:spacing w:after="0"/>
              <w:rPr>
                <w:sz w:val="20"/>
                <w:szCs w:val="20"/>
                <w:color w:val="auto"/>
              </w:rPr>
            </w:pPr>
            <w:r>
              <w:rPr>
                <w:rFonts w:ascii="Arial" w:cs="Arial" w:eastAsia="Arial" w:hAnsi="Arial"/>
                <w:sz w:val="15"/>
                <w:szCs w:val="15"/>
                <w:b w:val="1"/>
                <w:bCs w:val="1"/>
                <w:color w:val="auto"/>
              </w:rPr>
              <w:t>Nine Months Ended</w:t>
            </w:r>
          </w:p>
        </w:tc>
      </w:tr>
      <w:tr>
        <w:trPr>
          <w:trHeight w:val="148"/>
        </w:trPr>
        <w:tc>
          <w:tcPr>
            <w:tcW w:w="4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6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September 30,</w:t>
            </w:r>
          </w:p>
        </w:tc>
        <w:tc>
          <w:tcPr>
            <w:tcW w:w="300" w:type="dxa"/>
            <w:vAlign w:val="bottom"/>
          </w:tcPr>
          <w:p>
            <w:pPr>
              <w:spacing w:after="0"/>
              <w:rPr>
                <w:sz w:val="12"/>
                <w:szCs w:val="12"/>
                <w:color w:val="auto"/>
              </w:rPr>
            </w:pPr>
          </w:p>
        </w:tc>
        <w:tc>
          <w:tcPr>
            <w:tcW w:w="126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September 30,</w:t>
            </w:r>
          </w:p>
        </w:tc>
        <w:tc>
          <w:tcPr>
            <w:tcW w:w="280" w:type="dxa"/>
            <w:vAlign w:val="bottom"/>
          </w:tcPr>
          <w:p>
            <w:pPr>
              <w:spacing w:after="0"/>
              <w:rPr>
                <w:sz w:val="12"/>
                <w:szCs w:val="12"/>
                <w:color w:val="auto"/>
              </w:rPr>
            </w:pPr>
          </w:p>
        </w:tc>
        <w:tc>
          <w:tcPr>
            <w:tcW w:w="126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September 30,</w:t>
            </w:r>
          </w:p>
        </w:tc>
        <w:tc>
          <w:tcPr>
            <w:tcW w:w="300" w:type="dxa"/>
            <w:vAlign w:val="bottom"/>
          </w:tcPr>
          <w:p>
            <w:pPr>
              <w:spacing w:after="0"/>
              <w:rPr>
                <w:sz w:val="12"/>
                <w:szCs w:val="12"/>
                <w:color w:val="auto"/>
              </w:rPr>
            </w:pPr>
          </w:p>
        </w:tc>
        <w:tc>
          <w:tcPr>
            <w:tcW w:w="120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September 30,</w:t>
            </w:r>
          </w:p>
        </w:tc>
      </w:tr>
      <w:tr>
        <w:trPr>
          <w:trHeight w:val="206"/>
        </w:trPr>
        <w:tc>
          <w:tcPr>
            <w:tcW w:w="45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r>
      <w:tr>
        <w:trPr>
          <w:trHeight w:val="199"/>
        </w:trPr>
        <w:tc>
          <w:tcPr>
            <w:tcW w:w="45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660" w:type="dxa"/>
            <w:vAlign w:val="bottom"/>
            <w:gridSpan w:val="6"/>
            <w:shd w:val="clear" w:color="auto" w:fill="CCEEFF"/>
          </w:tcPr>
          <w:p>
            <w:pPr>
              <w:jc w:val="right"/>
              <w:ind w:right="83"/>
              <w:spacing w:after="0"/>
              <w:rPr>
                <w:sz w:val="20"/>
                <w:szCs w:val="20"/>
                <w:color w:val="auto"/>
              </w:rPr>
            </w:pPr>
            <w:r>
              <w:rPr>
                <w:rFonts w:ascii="Arial" w:cs="Arial" w:eastAsia="Arial" w:hAnsi="Arial"/>
                <w:sz w:val="15"/>
                <w:szCs w:val="15"/>
                <w:b w:val="1"/>
                <w:bCs w:val="1"/>
                <w:color w:val="auto"/>
              </w:rPr>
              <w:t>(in thousands except share and per share data)</w:t>
            </w:r>
          </w:p>
        </w:tc>
        <w:tc>
          <w:tcPr>
            <w:tcW w:w="1200" w:type="dxa"/>
            <w:vAlign w:val="bottom"/>
            <w:shd w:val="clear" w:color="auto" w:fill="CCEEFF"/>
          </w:tcPr>
          <w:p>
            <w:pPr>
              <w:spacing w:after="0"/>
              <w:rPr>
                <w:sz w:val="17"/>
                <w:szCs w:val="17"/>
                <w:color w:val="auto"/>
              </w:rPr>
            </w:pPr>
          </w:p>
        </w:tc>
      </w:tr>
      <w:tr>
        <w:trPr>
          <w:trHeight w:val="258"/>
        </w:trPr>
        <w:tc>
          <w:tcPr>
            <w:tcW w:w="45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06"/>
        </w:trPr>
        <w:tc>
          <w:tcPr>
            <w:tcW w:w="4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Revenue</w:t>
            </w:r>
          </w:p>
        </w:tc>
        <w:tc>
          <w:tcPr>
            <w:tcW w:w="8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2,042,812</w:t>
            </w:r>
          </w:p>
        </w:tc>
        <w:tc>
          <w:tcPr>
            <w:tcW w:w="3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2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2,030,030</w:t>
            </w:r>
          </w:p>
        </w:tc>
        <w:tc>
          <w:tcPr>
            <w:tcW w:w="2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2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6,061,501</w:t>
            </w:r>
          </w:p>
        </w:tc>
        <w:tc>
          <w:tcPr>
            <w:tcW w:w="3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6,240,575</w:t>
            </w:r>
          </w:p>
        </w:tc>
      </w:tr>
      <w:tr>
        <w:trPr>
          <w:trHeight w:val="258"/>
        </w:trPr>
        <w:tc>
          <w:tcPr>
            <w:tcW w:w="45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06"/>
        </w:trPr>
        <w:tc>
          <w:tcPr>
            <w:tcW w:w="4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Costs and expenses:</w:t>
            </w:r>
          </w:p>
        </w:tc>
        <w:tc>
          <w:tcPr>
            <w:tcW w:w="8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05"/>
        </w:trPr>
        <w:tc>
          <w:tcPr>
            <w:tcW w:w="4580" w:type="dxa"/>
            <w:vAlign w:val="bottom"/>
          </w:tcPr>
          <w:p>
            <w:pPr>
              <w:ind w:left="320"/>
              <w:spacing w:after="0"/>
              <w:rPr>
                <w:sz w:val="20"/>
                <w:szCs w:val="20"/>
                <w:color w:val="auto"/>
              </w:rPr>
            </w:pPr>
            <w:r>
              <w:rPr>
                <w:rFonts w:ascii="Arial" w:cs="Arial" w:eastAsia="Arial" w:hAnsi="Arial"/>
                <w:sz w:val="15"/>
                <w:szCs w:val="15"/>
                <w:color w:val="auto"/>
              </w:rPr>
              <w:t>Direct costs</w:t>
            </w:r>
          </w:p>
        </w:tc>
        <w:tc>
          <w:tcPr>
            <w:tcW w:w="800" w:type="dxa"/>
            <w:vAlign w:val="bottom"/>
          </w:tcPr>
          <w:p>
            <w:pPr>
              <w:spacing w:after="0"/>
              <w:rPr>
                <w:sz w:val="17"/>
                <w:szCs w:val="17"/>
                <w:color w:val="auto"/>
              </w:rPr>
            </w:pPr>
          </w:p>
        </w:tc>
        <w:tc>
          <w:tcPr>
            <w:tcW w:w="1260" w:type="dxa"/>
            <w:vAlign w:val="bottom"/>
          </w:tcPr>
          <w:p>
            <w:pPr>
              <w:jc w:val="right"/>
              <w:ind w:right="23"/>
              <w:spacing w:after="0"/>
              <w:rPr>
                <w:sz w:val="20"/>
                <w:szCs w:val="20"/>
                <w:color w:val="auto"/>
              </w:rPr>
            </w:pPr>
            <w:r>
              <w:rPr>
                <w:rFonts w:ascii="Arial" w:cs="Arial" w:eastAsia="Arial" w:hAnsi="Arial"/>
                <w:sz w:val="15"/>
                <w:szCs w:val="15"/>
                <w:color w:val="auto"/>
              </w:rPr>
              <w:t>1,488,364</w:t>
            </w:r>
          </w:p>
        </w:tc>
        <w:tc>
          <w:tcPr>
            <w:tcW w:w="300" w:type="dxa"/>
            <w:vAlign w:val="bottom"/>
          </w:tcPr>
          <w:p>
            <w:pPr>
              <w:spacing w:after="0"/>
              <w:rPr>
                <w:sz w:val="17"/>
                <w:szCs w:val="17"/>
                <w:color w:val="auto"/>
              </w:rPr>
            </w:pPr>
          </w:p>
        </w:tc>
        <w:tc>
          <w:tcPr>
            <w:tcW w:w="1260" w:type="dxa"/>
            <w:vAlign w:val="bottom"/>
          </w:tcPr>
          <w:p>
            <w:pPr>
              <w:jc w:val="right"/>
              <w:ind w:right="43"/>
              <w:spacing w:after="0"/>
              <w:rPr>
                <w:sz w:val="20"/>
                <w:szCs w:val="20"/>
                <w:color w:val="auto"/>
              </w:rPr>
            </w:pPr>
            <w:r>
              <w:rPr>
                <w:rFonts w:ascii="Arial" w:cs="Arial" w:eastAsia="Arial" w:hAnsi="Arial"/>
                <w:sz w:val="15"/>
                <w:szCs w:val="15"/>
                <w:color w:val="auto"/>
              </w:rPr>
              <w:t>1,438,616</w:t>
            </w:r>
          </w:p>
        </w:tc>
        <w:tc>
          <w:tcPr>
            <w:tcW w:w="280" w:type="dxa"/>
            <w:vAlign w:val="bottom"/>
          </w:tcPr>
          <w:p>
            <w:pPr>
              <w:spacing w:after="0"/>
              <w:rPr>
                <w:sz w:val="17"/>
                <w:szCs w:val="17"/>
                <w:color w:val="auto"/>
              </w:rPr>
            </w:pPr>
          </w:p>
        </w:tc>
        <w:tc>
          <w:tcPr>
            <w:tcW w:w="1260" w:type="dxa"/>
            <w:vAlign w:val="bottom"/>
          </w:tcPr>
          <w:p>
            <w:pPr>
              <w:jc w:val="right"/>
              <w:ind w:right="43"/>
              <w:spacing w:after="0"/>
              <w:rPr>
                <w:sz w:val="20"/>
                <w:szCs w:val="20"/>
                <w:color w:val="auto"/>
              </w:rPr>
            </w:pPr>
            <w:r>
              <w:rPr>
                <w:rFonts w:ascii="Arial" w:cs="Arial" w:eastAsia="Arial" w:hAnsi="Arial"/>
                <w:sz w:val="15"/>
                <w:szCs w:val="15"/>
                <w:color w:val="auto"/>
              </w:rPr>
              <w:t>4,386,801</w:t>
            </w:r>
          </w:p>
        </w:tc>
        <w:tc>
          <w:tcPr>
            <w:tcW w:w="3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4,403,583</w:t>
            </w:r>
          </w:p>
        </w:tc>
      </w:tr>
      <w:tr>
        <w:trPr>
          <w:trHeight w:val="207"/>
        </w:trPr>
        <w:tc>
          <w:tcPr>
            <w:tcW w:w="45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Selling, general and administrative</w:t>
            </w:r>
          </w:p>
        </w:tc>
        <w:tc>
          <w:tcPr>
            <w:tcW w:w="8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197,049</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205,095</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600,439</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576,903</w:t>
            </w:r>
          </w:p>
        </w:tc>
      </w:tr>
      <w:tr>
        <w:trPr>
          <w:trHeight w:val="205"/>
        </w:trPr>
        <w:tc>
          <w:tcPr>
            <w:tcW w:w="4580" w:type="dxa"/>
            <w:vAlign w:val="bottom"/>
          </w:tcPr>
          <w:p>
            <w:pPr>
              <w:ind w:left="320"/>
              <w:spacing w:after="0"/>
              <w:rPr>
                <w:sz w:val="20"/>
                <w:szCs w:val="20"/>
                <w:color w:val="auto"/>
              </w:rPr>
            </w:pPr>
            <w:r>
              <w:rPr>
                <w:rFonts w:ascii="Arial" w:cs="Arial" w:eastAsia="Arial" w:hAnsi="Arial"/>
                <w:sz w:val="15"/>
                <w:szCs w:val="15"/>
                <w:color w:val="auto"/>
              </w:rPr>
              <w:t>Depreciation and amortization</w:t>
            </w:r>
          </w:p>
        </w:tc>
        <w:tc>
          <w:tcPr>
            <w:tcW w:w="800" w:type="dxa"/>
            <w:vAlign w:val="bottom"/>
          </w:tcPr>
          <w:p>
            <w:pPr>
              <w:spacing w:after="0"/>
              <w:rPr>
                <w:sz w:val="17"/>
                <w:szCs w:val="17"/>
                <w:color w:val="auto"/>
              </w:rPr>
            </w:pPr>
          </w:p>
        </w:tc>
        <w:tc>
          <w:tcPr>
            <w:tcW w:w="1260" w:type="dxa"/>
            <w:vAlign w:val="bottom"/>
          </w:tcPr>
          <w:p>
            <w:pPr>
              <w:jc w:val="right"/>
              <w:ind w:right="23"/>
              <w:spacing w:after="0"/>
              <w:rPr>
                <w:sz w:val="20"/>
                <w:szCs w:val="20"/>
                <w:color w:val="auto"/>
              </w:rPr>
            </w:pPr>
            <w:r>
              <w:rPr>
                <w:rFonts w:ascii="Arial" w:cs="Arial" w:eastAsia="Arial" w:hAnsi="Arial"/>
                <w:sz w:val="15"/>
                <w:szCs w:val="15"/>
                <w:color w:val="auto"/>
              </w:rPr>
              <w:t>98,495</w:t>
            </w:r>
          </w:p>
        </w:tc>
        <w:tc>
          <w:tcPr>
            <w:tcW w:w="300" w:type="dxa"/>
            <w:vAlign w:val="bottom"/>
          </w:tcPr>
          <w:p>
            <w:pPr>
              <w:spacing w:after="0"/>
              <w:rPr>
                <w:sz w:val="17"/>
                <w:szCs w:val="17"/>
                <w:color w:val="auto"/>
              </w:rPr>
            </w:pPr>
          </w:p>
        </w:tc>
        <w:tc>
          <w:tcPr>
            <w:tcW w:w="1260" w:type="dxa"/>
            <w:vAlign w:val="bottom"/>
          </w:tcPr>
          <w:p>
            <w:pPr>
              <w:jc w:val="right"/>
              <w:ind w:right="43"/>
              <w:spacing w:after="0"/>
              <w:rPr>
                <w:sz w:val="20"/>
                <w:szCs w:val="20"/>
                <w:color w:val="auto"/>
              </w:rPr>
            </w:pPr>
            <w:r>
              <w:rPr>
                <w:rFonts w:ascii="Arial" w:cs="Arial" w:eastAsia="Arial" w:hAnsi="Arial"/>
                <w:sz w:val="15"/>
                <w:szCs w:val="15"/>
                <w:color w:val="auto"/>
              </w:rPr>
              <w:t>93,029</w:t>
            </w:r>
          </w:p>
        </w:tc>
        <w:tc>
          <w:tcPr>
            <w:tcW w:w="280" w:type="dxa"/>
            <w:vAlign w:val="bottom"/>
          </w:tcPr>
          <w:p>
            <w:pPr>
              <w:spacing w:after="0"/>
              <w:rPr>
                <w:sz w:val="17"/>
                <w:szCs w:val="17"/>
                <w:color w:val="auto"/>
              </w:rPr>
            </w:pPr>
          </w:p>
        </w:tc>
        <w:tc>
          <w:tcPr>
            <w:tcW w:w="1260" w:type="dxa"/>
            <w:vAlign w:val="bottom"/>
          </w:tcPr>
          <w:p>
            <w:pPr>
              <w:jc w:val="right"/>
              <w:ind w:right="43"/>
              <w:spacing w:after="0"/>
              <w:rPr>
                <w:sz w:val="20"/>
                <w:szCs w:val="20"/>
                <w:color w:val="auto"/>
              </w:rPr>
            </w:pPr>
            <w:r>
              <w:rPr>
                <w:rFonts w:ascii="Arial" w:cs="Arial" w:eastAsia="Arial" w:hAnsi="Arial"/>
                <w:sz w:val="15"/>
                <w:szCs w:val="15"/>
                <w:color w:val="auto"/>
              </w:rPr>
              <w:t>292,171</w:t>
            </w:r>
          </w:p>
        </w:tc>
        <w:tc>
          <w:tcPr>
            <w:tcW w:w="3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391,845</w:t>
            </w:r>
          </w:p>
        </w:tc>
      </w:tr>
      <w:tr>
        <w:trPr>
          <w:trHeight w:val="207"/>
        </w:trPr>
        <w:tc>
          <w:tcPr>
            <w:tcW w:w="45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Transaction and integration related</w:t>
            </w:r>
          </w:p>
        </w:tc>
        <w:tc>
          <w:tcPr>
            <w:tcW w:w="8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7,020</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7,856</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19,141</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21,667</w:t>
            </w:r>
          </w:p>
        </w:tc>
      </w:tr>
      <w:tr>
        <w:trPr>
          <w:trHeight w:val="205"/>
        </w:trPr>
        <w:tc>
          <w:tcPr>
            <w:tcW w:w="4580" w:type="dxa"/>
            <w:vAlign w:val="bottom"/>
          </w:tcPr>
          <w:p>
            <w:pPr>
              <w:ind w:left="320"/>
              <w:spacing w:after="0"/>
              <w:rPr>
                <w:sz w:val="20"/>
                <w:szCs w:val="20"/>
                <w:color w:val="auto"/>
              </w:rPr>
            </w:pPr>
            <w:r>
              <w:rPr>
                <w:rFonts w:ascii="Arial" w:cs="Arial" w:eastAsia="Arial" w:hAnsi="Arial"/>
                <w:sz w:val="15"/>
                <w:szCs w:val="15"/>
                <w:color w:val="auto"/>
              </w:rPr>
              <w:t>Restructuring</w:t>
            </w:r>
          </w:p>
        </w:tc>
        <w:tc>
          <w:tcPr>
            <w:tcW w:w="800" w:type="dxa"/>
            <w:vAlign w:val="bottom"/>
          </w:tcPr>
          <w:p>
            <w:pPr>
              <w:spacing w:after="0"/>
              <w:rPr>
                <w:sz w:val="17"/>
                <w:szCs w:val="17"/>
                <w:color w:val="auto"/>
              </w:rPr>
            </w:pPr>
          </w:p>
        </w:tc>
        <w:tc>
          <w:tcPr>
            <w:tcW w:w="126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126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1260" w:type="dxa"/>
            <w:vAlign w:val="bottom"/>
          </w:tcPr>
          <w:p>
            <w:pPr>
              <w:jc w:val="right"/>
              <w:ind w:right="43"/>
              <w:spacing w:after="0"/>
              <w:rPr>
                <w:sz w:val="20"/>
                <w:szCs w:val="20"/>
                <w:color w:val="auto"/>
              </w:rPr>
            </w:pPr>
            <w:r>
              <w:rPr>
                <w:rFonts w:ascii="Arial" w:cs="Arial" w:eastAsia="Arial" w:hAnsi="Arial"/>
                <w:sz w:val="15"/>
                <w:szCs w:val="15"/>
                <w:color w:val="auto"/>
              </w:rPr>
              <w:t>82,296</w:t>
            </w:r>
          </w:p>
        </w:tc>
        <w:tc>
          <w:tcPr>
            <w:tcW w:w="3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45,789</w:t>
            </w:r>
          </w:p>
        </w:tc>
      </w:tr>
      <w:tr>
        <w:trPr>
          <w:trHeight w:val="206"/>
        </w:trPr>
        <w:tc>
          <w:tcPr>
            <w:tcW w:w="4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5"/>
                <w:szCs w:val="15"/>
                <w:color w:val="auto"/>
              </w:rPr>
              <w:t>Goodwill impairment</w:t>
            </w:r>
          </w:p>
        </w:tc>
        <w:tc>
          <w:tcPr>
            <w:tcW w:w="8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165,300</w:t>
            </w:r>
          </w:p>
        </w:tc>
        <w:tc>
          <w:tcPr>
            <w:tcW w:w="3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165,300</w:t>
            </w:r>
          </w:p>
        </w:tc>
        <w:tc>
          <w:tcPr>
            <w:tcW w:w="3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9"/>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Total costs and expenses</w:t>
            </w:r>
          </w:p>
        </w:tc>
        <w:tc>
          <w:tcPr>
            <w:tcW w:w="8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1,956,228</w:t>
            </w: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1,744,596</w:t>
            </w: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5,546,148</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5,439,787</w:t>
            </w:r>
          </w:p>
        </w:tc>
      </w:tr>
      <w:tr>
        <w:trPr>
          <w:trHeight w:val="239"/>
        </w:trPr>
        <w:tc>
          <w:tcPr>
            <w:tcW w:w="45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05"/>
        </w:trPr>
        <w:tc>
          <w:tcPr>
            <w:tcW w:w="4580" w:type="dxa"/>
            <w:vAlign w:val="bottom"/>
          </w:tcPr>
          <w:p>
            <w:pPr>
              <w:ind w:left="20"/>
              <w:spacing w:after="0"/>
              <w:rPr>
                <w:sz w:val="20"/>
                <w:szCs w:val="20"/>
                <w:color w:val="auto"/>
              </w:rPr>
            </w:pPr>
            <w:r>
              <w:rPr>
                <w:rFonts w:ascii="Arial" w:cs="Arial" w:eastAsia="Arial" w:hAnsi="Arial"/>
                <w:sz w:val="15"/>
                <w:szCs w:val="15"/>
                <w:color w:val="auto"/>
              </w:rPr>
              <w:t>Income from operations</w:t>
            </w:r>
          </w:p>
        </w:tc>
        <w:tc>
          <w:tcPr>
            <w:tcW w:w="800" w:type="dxa"/>
            <w:vAlign w:val="bottom"/>
          </w:tcPr>
          <w:p>
            <w:pPr>
              <w:spacing w:after="0"/>
              <w:rPr>
                <w:sz w:val="17"/>
                <w:szCs w:val="17"/>
                <w:color w:val="auto"/>
              </w:rPr>
            </w:pPr>
          </w:p>
        </w:tc>
        <w:tc>
          <w:tcPr>
            <w:tcW w:w="1260" w:type="dxa"/>
            <w:vAlign w:val="bottom"/>
          </w:tcPr>
          <w:p>
            <w:pPr>
              <w:jc w:val="right"/>
              <w:ind w:right="23"/>
              <w:spacing w:after="0"/>
              <w:rPr>
                <w:sz w:val="20"/>
                <w:szCs w:val="20"/>
                <w:color w:val="auto"/>
              </w:rPr>
            </w:pPr>
            <w:r>
              <w:rPr>
                <w:rFonts w:ascii="Arial" w:cs="Arial" w:eastAsia="Arial" w:hAnsi="Arial"/>
                <w:sz w:val="15"/>
                <w:szCs w:val="15"/>
                <w:color w:val="auto"/>
              </w:rPr>
              <w:t>86,584</w:t>
            </w:r>
          </w:p>
        </w:tc>
        <w:tc>
          <w:tcPr>
            <w:tcW w:w="300" w:type="dxa"/>
            <w:vAlign w:val="bottom"/>
          </w:tcPr>
          <w:p>
            <w:pPr>
              <w:spacing w:after="0"/>
              <w:rPr>
                <w:sz w:val="17"/>
                <w:szCs w:val="17"/>
                <w:color w:val="auto"/>
              </w:rPr>
            </w:pPr>
          </w:p>
        </w:tc>
        <w:tc>
          <w:tcPr>
            <w:tcW w:w="1260" w:type="dxa"/>
            <w:vAlign w:val="bottom"/>
          </w:tcPr>
          <w:p>
            <w:pPr>
              <w:jc w:val="right"/>
              <w:ind w:right="43"/>
              <w:spacing w:after="0"/>
              <w:rPr>
                <w:sz w:val="20"/>
                <w:szCs w:val="20"/>
                <w:color w:val="auto"/>
              </w:rPr>
            </w:pPr>
            <w:r>
              <w:rPr>
                <w:rFonts w:ascii="Arial" w:cs="Arial" w:eastAsia="Arial" w:hAnsi="Arial"/>
                <w:sz w:val="15"/>
                <w:szCs w:val="15"/>
                <w:color w:val="auto"/>
              </w:rPr>
              <w:t>285,434</w:t>
            </w:r>
          </w:p>
        </w:tc>
        <w:tc>
          <w:tcPr>
            <w:tcW w:w="280" w:type="dxa"/>
            <w:vAlign w:val="bottom"/>
          </w:tcPr>
          <w:p>
            <w:pPr>
              <w:spacing w:after="0"/>
              <w:rPr>
                <w:sz w:val="17"/>
                <w:szCs w:val="17"/>
                <w:color w:val="auto"/>
              </w:rPr>
            </w:pPr>
          </w:p>
        </w:tc>
        <w:tc>
          <w:tcPr>
            <w:tcW w:w="1260" w:type="dxa"/>
            <w:vAlign w:val="bottom"/>
          </w:tcPr>
          <w:p>
            <w:pPr>
              <w:jc w:val="right"/>
              <w:ind w:right="43"/>
              <w:spacing w:after="0"/>
              <w:rPr>
                <w:sz w:val="20"/>
                <w:szCs w:val="20"/>
                <w:color w:val="auto"/>
              </w:rPr>
            </w:pPr>
            <w:r>
              <w:rPr>
                <w:rFonts w:ascii="Arial" w:cs="Arial" w:eastAsia="Arial" w:hAnsi="Arial"/>
                <w:sz w:val="15"/>
                <w:szCs w:val="15"/>
                <w:color w:val="auto"/>
              </w:rPr>
              <w:t>515,353</w:t>
            </w:r>
          </w:p>
        </w:tc>
        <w:tc>
          <w:tcPr>
            <w:tcW w:w="3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800,788</w:t>
            </w:r>
          </w:p>
        </w:tc>
      </w:tr>
      <w:tr>
        <w:trPr>
          <w:trHeight w:val="207"/>
        </w:trPr>
        <w:tc>
          <w:tcPr>
            <w:tcW w:w="45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Interest income</w:t>
            </w:r>
          </w:p>
        </w:tc>
        <w:tc>
          <w:tcPr>
            <w:tcW w:w="8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1,761</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2,434</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5,617</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5,601</w:t>
            </w:r>
          </w:p>
        </w:tc>
      </w:tr>
      <w:tr>
        <w:trPr>
          <w:trHeight w:val="205"/>
        </w:trPr>
        <w:tc>
          <w:tcPr>
            <w:tcW w:w="4580" w:type="dxa"/>
            <w:vAlign w:val="bottom"/>
            <w:tcBorders>
              <w:bottom w:val="single" w:sz="8" w:color="auto"/>
            </w:tcBorders>
          </w:tcPr>
          <w:p>
            <w:pPr>
              <w:ind w:left="320"/>
              <w:spacing w:after="0"/>
              <w:rPr>
                <w:sz w:val="20"/>
                <w:szCs w:val="20"/>
                <w:color w:val="auto"/>
              </w:rPr>
            </w:pPr>
            <w:r>
              <w:rPr>
                <w:rFonts w:ascii="Arial" w:cs="Arial" w:eastAsia="Arial" w:hAnsi="Arial"/>
                <w:sz w:val="15"/>
                <w:szCs w:val="15"/>
                <w:color w:val="auto"/>
              </w:rPr>
              <w:t>Interest expense</w:t>
            </w:r>
          </w:p>
        </w:tc>
        <w:tc>
          <w:tcPr>
            <w:tcW w:w="8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(50,243)</w:t>
            </w: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(53,303)</w:t>
            </w: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(148,003)</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(185,808)</w:t>
            </w:r>
          </w:p>
        </w:tc>
      </w:tr>
      <w:tr>
        <w:trPr>
          <w:trHeight w:val="239"/>
        </w:trPr>
        <w:tc>
          <w:tcPr>
            <w:tcW w:w="45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05"/>
        </w:trPr>
        <w:tc>
          <w:tcPr>
            <w:tcW w:w="4580" w:type="dxa"/>
            <w:vAlign w:val="bottom"/>
          </w:tcPr>
          <w:p>
            <w:pPr>
              <w:ind w:left="20"/>
              <w:spacing w:after="0"/>
              <w:rPr>
                <w:sz w:val="20"/>
                <w:szCs w:val="20"/>
                <w:color w:val="auto"/>
              </w:rPr>
            </w:pPr>
            <w:r>
              <w:rPr>
                <w:rFonts w:ascii="Arial" w:cs="Arial" w:eastAsia="Arial" w:hAnsi="Arial"/>
                <w:sz w:val="15"/>
                <w:szCs w:val="15"/>
                <w:color w:val="auto"/>
              </w:rPr>
              <w:t>Income before income tax expense</w:t>
            </w:r>
          </w:p>
        </w:tc>
        <w:tc>
          <w:tcPr>
            <w:tcW w:w="800" w:type="dxa"/>
            <w:vAlign w:val="bottom"/>
          </w:tcPr>
          <w:p>
            <w:pPr>
              <w:spacing w:after="0"/>
              <w:rPr>
                <w:sz w:val="17"/>
                <w:szCs w:val="17"/>
                <w:color w:val="auto"/>
              </w:rPr>
            </w:pPr>
          </w:p>
        </w:tc>
        <w:tc>
          <w:tcPr>
            <w:tcW w:w="1260" w:type="dxa"/>
            <w:vAlign w:val="bottom"/>
          </w:tcPr>
          <w:p>
            <w:pPr>
              <w:jc w:val="right"/>
              <w:ind w:right="23"/>
              <w:spacing w:after="0"/>
              <w:rPr>
                <w:sz w:val="20"/>
                <w:szCs w:val="20"/>
                <w:color w:val="auto"/>
              </w:rPr>
            </w:pPr>
            <w:r>
              <w:rPr>
                <w:rFonts w:ascii="Arial" w:cs="Arial" w:eastAsia="Arial" w:hAnsi="Arial"/>
                <w:sz w:val="15"/>
                <w:szCs w:val="15"/>
                <w:color w:val="auto"/>
              </w:rPr>
              <w:t>38,102</w:t>
            </w:r>
          </w:p>
        </w:tc>
        <w:tc>
          <w:tcPr>
            <w:tcW w:w="300" w:type="dxa"/>
            <w:vAlign w:val="bottom"/>
          </w:tcPr>
          <w:p>
            <w:pPr>
              <w:spacing w:after="0"/>
              <w:rPr>
                <w:sz w:val="17"/>
                <w:szCs w:val="17"/>
                <w:color w:val="auto"/>
              </w:rPr>
            </w:pPr>
          </w:p>
        </w:tc>
        <w:tc>
          <w:tcPr>
            <w:tcW w:w="1260" w:type="dxa"/>
            <w:vAlign w:val="bottom"/>
          </w:tcPr>
          <w:p>
            <w:pPr>
              <w:jc w:val="right"/>
              <w:ind w:right="43"/>
              <w:spacing w:after="0"/>
              <w:rPr>
                <w:sz w:val="20"/>
                <w:szCs w:val="20"/>
                <w:color w:val="auto"/>
              </w:rPr>
            </w:pPr>
            <w:r>
              <w:rPr>
                <w:rFonts w:ascii="Arial" w:cs="Arial" w:eastAsia="Arial" w:hAnsi="Arial"/>
                <w:sz w:val="15"/>
                <w:szCs w:val="15"/>
                <w:color w:val="auto"/>
              </w:rPr>
              <w:t>234,565</w:t>
            </w:r>
          </w:p>
        </w:tc>
        <w:tc>
          <w:tcPr>
            <w:tcW w:w="280" w:type="dxa"/>
            <w:vAlign w:val="bottom"/>
          </w:tcPr>
          <w:p>
            <w:pPr>
              <w:spacing w:after="0"/>
              <w:rPr>
                <w:sz w:val="17"/>
                <w:szCs w:val="17"/>
                <w:color w:val="auto"/>
              </w:rPr>
            </w:pPr>
          </w:p>
        </w:tc>
        <w:tc>
          <w:tcPr>
            <w:tcW w:w="1260" w:type="dxa"/>
            <w:vAlign w:val="bottom"/>
          </w:tcPr>
          <w:p>
            <w:pPr>
              <w:jc w:val="right"/>
              <w:ind w:right="43"/>
              <w:spacing w:after="0"/>
              <w:rPr>
                <w:sz w:val="20"/>
                <w:szCs w:val="20"/>
                <w:color w:val="auto"/>
              </w:rPr>
            </w:pPr>
            <w:r>
              <w:rPr>
                <w:rFonts w:ascii="Arial" w:cs="Arial" w:eastAsia="Arial" w:hAnsi="Arial"/>
                <w:sz w:val="15"/>
                <w:szCs w:val="15"/>
                <w:color w:val="auto"/>
              </w:rPr>
              <w:t>372,967</w:t>
            </w:r>
          </w:p>
        </w:tc>
        <w:tc>
          <w:tcPr>
            <w:tcW w:w="3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620,581</w:t>
            </w:r>
          </w:p>
        </w:tc>
      </w:tr>
      <w:tr>
        <w:trPr>
          <w:trHeight w:val="206"/>
        </w:trPr>
        <w:tc>
          <w:tcPr>
            <w:tcW w:w="4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5"/>
                <w:szCs w:val="15"/>
                <w:color w:val="auto"/>
              </w:rPr>
              <w:t>Income tax expense</w:t>
            </w:r>
          </w:p>
        </w:tc>
        <w:tc>
          <w:tcPr>
            <w:tcW w:w="8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(35,747)</w:t>
            </w:r>
          </w:p>
        </w:tc>
        <w:tc>
          <w:tcPr>
            <w:tcW w:w="3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(37,437)</w:t>
            </w:r>
          </w:p>
        </w:tc>
        <w:tc>
          <w:tcPr>
            <w:tcW w:w="2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(33,489)</w:t>
            </w:r>
          </w:p>
        </w:tc>
        <w:tc>
          <w:tcPr>
            <w:tcW w:w="3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(89,105)</w:t>
            </w:r>
          </w:p>
        </w:tc>
      </w:tr>
      <w:tr>
        <w:trPr>
          <w:trHeight w:val="199"/>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Net income</w:t>
            </w:r>
          </w:p>
        </w:tc>
        <w:tc>
          <w:tcPr>
            <w:tcW w:w="8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2,355</w:t>
            </w:r>
          </w:p>
        </w:tc>
        <w:tc>
          <w:tcPr>
            <w:tcW w:w="3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197,128</w:t>
            </w:r>
          </w:p>
        </w:tc>
        <w:tc>
          <w:tcPr>
            <w:tcW w:w="2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339,478</w:t>
            </w:r>
          </w:p>
        </w:tc>
        <w:tc>
          <w:tcPr>
            <w:tcW w:w="3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531,476</w:t>
            </w:r>
          </w:p>
        </w:tc>
      </w:tr>
      <w:tr>
        <w:trPr>
          <w:trHeight w:val="20"/>
        </w:trPr>
        <w:tc>
          <w:tcPr>
            <w:tcW w:w="4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4"/>
        </w:trPr>
        <w:tc>
          <w:tcPr>
            <w:tcW w:w="45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05"/>
        </w:trPr>
        <w:tc>
          <w:tcPr>
            <w:tcW w:w="4580" w:type="dxa"/>
            <w:vAlign w:val="bottom"/>
          </w:tcPr>
          <w:p>
            <w:pPr>
              <w:ind w:left="20"/>
              <w:spacing w:after="0"/>
              <w:rPr>
                <w:sz w:val="20"/>
                <w:szCs w:val="20"/>
                <w:color w:val="auto"/>
              </w:rPr>
            </w:pPr>
            <w:r>
              <w:rPr>
                <w:rFonts w:ascii="Arial" w:cs="Arial" w:eastAsia="Arial" w:hAnsi="Arial"/>
                <w:sz w:val="15"/>
                <w:szCs w:val="15"/>
                <w:color w:val="auto"/>
              </w:rPr>
              <w:t>Net income per ordinary share:</w:t>
            </w:r>
          </w:p>
        </w:tc>
        <w:tc>
          <w:tcPr>
            <w:tcW w:w="8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59"/>
        </w:trPr>
        <w:tc>
          <w:tcPr>
            <w:tcW w:w="458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05"/>
        </w:trPr>
        <w:tc>
          <w:tcPr>
            <w:tcW w:w="4580" w:type="dxa"/>
            <w:vAlign w:val="bottom"/>
          </w:tcPr>
          <w:p>
            <w:pPr>
              <w:ind w:left="320"/>
              <w:spacing w:after="0"/>
              <w:rPr>
                <w:sz w:val="20"/>
                <w:szCs w:val="20"/>
                <w:color w:val="auto"/>
              </w:rPr>
            </w:pPr>
            <w:r>
              <w:rPr>
                <w:rFonts w:ascii="Arial" w:cs="Arial" w:eastAsia="Arial" w:hAnsi="Arial"/>
                <w:sz w:val="15"/>
                <w:szCs w:val="15"/>
                <w:color w:val="auto"/>
              </w:rPr>
              <w:t>Basic</w:t>
            </w:r>
          </w:p>
        </w:tc>
        <w:tc>
          <w:tcPr>
            <w:tcW w:w="8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23"/>
              <w:spacing w:after="0"/>
              <w:rPr>
                <w:sz w:val="20"/>
                <w:szCs w:val="20"/>
                <w:color w:val="auto"/>
              </w:rPr>
            </w:pPr>
            <w:r>
              <w:rPr>
                <w:rFonts w:ascii="Arial" w:cs="Arial" w:eastAsia="Arial" w:hAnsi="Arial"/>
                <w:sz w:val="15"/>
                <w:szCs w:val="15"/>
                <w:color w:val="auto"/>
              </w:rPr>
              <w:t>0.03</w:t>
            </w:r>
          </w:p>
        </w:tc>
        <w:tc>
          <w:tcPr>
            <w:tcW w:w="30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43"/>
              <w:spacing w:after="0"/>
              <w:rPr>
                <w:sz w:val="20"/>
                <w:szCs w:val="20"/>
                <w:color w:val="auto"/>
              </w:rPr>
            </w:pPr>
            <w:r>
              <w:rPr>
                <w:rFonts w:ascii="Arial" w:cs="Arial" w:eastAsia="Arial" w:hAnsi="Arial"/>
                <w:sz w:val="15"/>
                <w:szCs w:val="15"/>
                <w:color w:val="auto"/>
              </w:rPr>
              <w:t>2.38</w:t>
            </w:r>
          </w:p>
        </w:tc>
        <w:tc>
          <w:tcPr>
            <w:tcW w:w="28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43"/>
              <w:spacing w:after="0"/>
              <w:rPr>
                <w:sz w:val="20"/>
                <w:szCs w:val="20"/>
                <w:color w:val="auto"/>
              </w:rPr>
            </w:pPr>
            <w:r>
              <w:rPr>
                <w:rFonts w:ascii="Arial" w:cs="Arial" w:eastAsia="Arial" w:hAnsi="Arial"/>
                <w:sz w:val="15"/>
                <w:szCs w:val="15"/>
                <w:color w:val="auto"/>
              </w:rPr>
              <w:t>4.29</w:t>
            </w:r>
          </w:p>
        </w:tc>
        <w:tc>
          <w:tcPr>
            <w:tcW w:w="30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6.43</w:t>
            </w:r>
          </w:p>
        </w:tc>
      </w:tr>
      <w:tr>
        <w:trPr>
          <w:trHeight w:val="231"/>
        </w:trPr>
        <w:tc>
          <w:tcPr>
            <w:tcW w:w="4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5"/>
                <w:szCs w:val="15"/>
                <w:color w:val="auto"/>
              </w:rPr>
              <w:t>Diluted</w:t>
            </w:r>
          </w:p>
        </w:tc>
        <w:tc>
          <w:tcPr>
            <w:tcW w:w="8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0.03</w:t>
            </w:r>
          </w:p>
        </w:tc>
        <w:tc>
          <w:tcPr>
            <w:tcW w:w="3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2.36</w:t>
            </w:r>
          </w:p>
        </w:tc>
        <w:tc>
          <w:tcPr>
            <w:tcW w:w="2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4.27</w:t>
            </w:r>
          </w:p>
        </w:tc>
        <w:tc>
          <w:tcPr>
            <w:tcW w:w="3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6.38</w:t>
            </w:r>
          </w:p>
        </w:tc>
      </w:tr>
      <w:tr>
        <w:trPr>
          <w:trHeight w:val="20"/>
        </w:trPr>
        <w:tc>
          <w:tcPr>
            <w:tcW w:w="45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6"/>
        </w:trPr>
        <w:tc>
          <w:tcPr>
            <w:tcW w:w="4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Weighted average number of ordinary shares outstanding:</w:t>
            </w:r>
          </w:p>
        </w:tc>
        <w:tc>
          <w:tcPr>
            <w:tcW w:w="8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58"/>
        </w:trPr>
        <w:tc>
          <w:tcPr>
            <w:tcW w:w="45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06"/>
        </w:trPr>
        <w:tc>
          <w:tcPr>
            <w:tcW w:w="45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Basic</w:t>
            </w:r>
          </w:p>
        </w:tc>
        <w:tc>
          <w:tcPr>
            <w:tcW w:w="8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77,373,534</w:t>
            </w: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82,831,300</w:t>
            </w: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79,057,239</w:t>
            </w: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82,716,842</w:t>
            </w:r>
          </w:p>
        </w:tc>
      </w:tr>
      <w:tr>
        <w:trPr>
          <w:trHeight w:val="205"/>
        </w:trPr>
        <w:tc>
          <w:tcPr>
            <w:tcW w:w="4580" w:type="dxa"/>
            <w:vAlign w:val="bottom"/>
            <w:tcBorders>
              <w:bottom w:val="single" w:sz="8" w:color="auto"/>
            </w:tcBorders>
          </w:tcPr>
          <w:p>
            <w:pPr>
              <w:ind w:left="320"/>
              <w:spacing w:after="0"/>
              <w:rPr>
                <w:sz w:val="20"/>
                <w:szCs w:val="20"/>
                <w:color w:val="auto"/>
              </w:rPr>
            </w:pPr>
            <w:r>
              <w:rPr>
                <w:rFonts w:ascii="Arial" w:cs="Arial" w:eastAsia="Arial" w:hAnsi="Arial"/>
                <w:sz w:val="15"/>
                <w:szCs w:val="15"/>
                <w:color w:val="auto"/>
              </w:rPr>
              <w:t>Diluted</w:t>
            </w:r>
          </w:p>
        </w:tc>
        <w:tc>
          <w:tcPr>
            <w:tcW w:w="8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78,082,459</w:t>
            </w: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83,445,827</w:t>
            </w: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79,518,086</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83,305,441</w:t>
            </w:r>
          </w:p>
        </w:tc>
      </w:tr>
      <w:tr>
        <w:trPr>
          <w:trHeight w:val="20"/>
        </w:trPr>
        <w:tc>
          <w:tcPr>
            <w:tcW w:w="4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73660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6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5"/>
          <w:szCs w:val="15"/>
          <w:b w:val="1"/>
          <w:bCs w:val="1"/>
          <w:color w:val="auto"/>
        </w:rPr>
        <w:t>ICON plc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STATEMENTS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FOR THE THREE AND NINE MONTHS ENDED SEPTEMBER 30, 2025 AND SEPTEMBER 30, 2024</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(UNAUDITED)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04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spacing w:after="0"/>
              <w:rPr>
                <w:sz w:val="17"/>
                <w:szCs w:val="17"/>
                <w:color w:val="auto"/>
              </w:rPr>
            </w:pPr>
          </w:p>
        </w:tc>
        <w:tc>
          <w:tcPr>
            <w:tcW w:w="2760" w:type="dxa"/>
            <w:vAlign w:val="bottom"/>
            <w:tcBorders>
              <w:bottom w:val="single" w:sz="8" w:color="auto"/>
            </w:tcBorders>
            <w:gridSpan w:val="3"/>
            <w:shd w:val="clear" w:color="auto" w:fill="CCEEFF"/>
          </w:tcPr>
          <w:p>
            <w:pPr>
              <w:jc w:val="right"/>
              <w:ind w:right="663"/>
              <w:spacing w:after="0"/>
              <w:rPr>
                <w:sz w:val="20"/>
                <w:szCs w:val="20"/>
                <w:color w:val="auto"/>
              </w:rPr>
            </w:pPr>
            <w:r>
              <w:rPr>
                <w:rFonts w:ascii="Arial" w:cs="Arial" w:eastAsia="Arial" w:hAnsi="Arial"/>
                <w:sz w:val="15"/>
                <w:szCs w:val="15"/>
                <w:b w:val="1"/>
                <w:bCs w:val="1"/>
                <w:color w:val="auto"/>
              </w:rPr>
              <w:t>Three Months Ended</w:t>
            </w:r>
          </w:p>
        </w:tc>
        <w:tc>
          <w:tcPr>
            <w:tcW w:w="280" w:type="dxa"/>
            <w:vAlign w:val="bottom"/>
            <w:tcBorders>
              <w:bottom w:val="single" w:sz="8" w:color="auto"/>
            </w:tcBorders>
            <w:shd w:val="clear" w:color="auto" w:fill="CCEEFF"/>
          </w:tcPr>
          <w:p>
            <w:pPr>
              <w:spacing w:after="0"/>
              <w:rPr>
                <w:sz w:val="17"/>
                <w:szCs w:val="17"/>
                <w:color w:val="auto"/>
              </w:rPr>
            </w:pPr>
          </w:p>
        </w:tc>
        <w:tc>
          <w:tcPr>
            <w:tcW w:w="2720" w:type="dxa"/>
            <w:vAlign w:val="bottom"/>
            <w:tcBorders>
              <w:bottom w:val="single" w:sz="8" w:color="auto"/>
            </w:tcBorders>
            <w:gridSpan w:val="3"/>
            <w:shd w:val="clear" w:color="auto" w:fill="CCEEFF"/>
          </w:tcPr>
          <w:p>
            <w:pPr>
              <w:jc w:val="right"/>
              <w:ind w:right="663"/>
              <w:spacing w:after="0"/>
              <w:rPr>
                <w:sz w:val="20"/>
                <w:szCs w:val="20"/>
                <w:color w:val="auto"/>
              </w:rPr>
            </w:pPr>
            <w:r>
              <w:rPr>
                <w:rFonts w:ascii="Arial" w:cs="Arial" w:eastAsia="Arial" w:hAnsi="Arial"/>
                <w:sz w:val="15"/>
                <w:szCs w:val="15"/>
                <w:b w:val="1"/>
                <w:bCs w:val="1"/>
                <w:color w:val="auto"/>
              </w:rPr>
              <w:t>Nine Months Ended</w:t>
            </w:r>
          </w:p>
        </w:tc>
      </w:tr>
      <w:tr>
        <w:trPr>
          <w:trHeight w:val="148"/>
        </w:trPr>
        <w:tc>
          <w:tcPr>
            <w:tcW w:w="40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4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September 30,</w:t>
            </w:r>
          </w:p>
        </w:tc>
        <w:tc>
          <w:tcPr>
            <w:tcW w:w="280" w:type="dxa"/>
            <w:vAlign w:val="bottom"/>
          </w:tcPr>
          <w:p>
            <w:pPr>
              <w:spacing w:after="0"/>
              <w:rPr>
                <w:sz w:val="12"/>
                <w:szCs w:val="12"/>
                <w:color w:val="auto"/>
              </w:rPr>
            </w:pPr>
          </w:p>
        </w:tc>
        <w:tc>
          <w:tcPr>
            <w:tcW w:w="124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September 30,</w:t>
            </w:r>
          </w:p>
        </w:tc>
        <w:tc>
          <w:tcPr>
            <w:tcW w:w="280" w:type="dxa"/>
            <w:vAlign w:val="bottom"/>
          </w:tcPr>
          <w:p>
            <w:pPr>
              <w:spacing w:after="0"/>
              <w:rPr>
                <w:sz w:val="12"/>
                <w:szCs w:val="12"/>
                <w:color w:val="auto"/>
              </w:rPr>
            </w:pPr>
          </w:p>
        </w:tc>
        <w:tc>
          <w:tcPr>
            <w:tcW w:w="124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September 30,</w:t>
            </w:r>
          </w:p>
        </w:tc>
        <w:tc>
          <w:tcPr>
            <w:tcW w:w="280" w:type="dxa"/>
            <w:vAlign w:val="bottom"/>
          </w:tcPr>
          <w:p>
            <w:pPr>
              <w:spacing w:after="0"/>
              <w:rPr>
                <w:sz w:val="12"/>
                <w:szCs w:val="12"/>
                <w:color w:val="auto"/>
              </w:rPr>
            </w:pPr>
          </w:p>
        </w:tc>
        <w:tc>
          <w:tcPr>
            <w:tcW w:w="120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September 30,</w:t>
            </w:r>
          </w:p>
        </w:tc>
      </w:tr>
      <w:tr>
        <w:trPr>
          <w:trHeight w:val="206"/>
        </w:trPr>
        <w:tc>
          <w:tcPr>
            <w:tcW w:w="40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r>
      <w:tr>
        <w:trPr>
          <w:trHeight w:val="199"/>
        </w:trPr>
        <w:tc>
          <w:tcPr>
            <w:tcW w:w="40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760" w:type="dxa"/>
            <w:vAlign w:val="bottom"/>
            <w:gridSpan w:val="3"/>
            <w:shd w:val="clear" w:color="auto" w:fill="CCEEFF"/>
          </w:tcPr>
          <w:p>
            <w:pPr>
              <w:jc w:val="right"/>
              <w:ind w:right="903"/>
              <w:spacing w:after="0"/>
              <w:rPr>
                <w:sz w:val="20"/>
                <w:szCs w:val="20"/>
                <w:color w:val="auto"/>
              </w:rPr>
            </w:pPr>
            <w:r>
              <w:rPr>
                <w:rFonts w:ascii="Arial" w:cs="Arial" w:eastAsia="Arial" w:hAnsi="Arial"/>
                <w:sz w:val="15"/>
                <w:szCs w:val="15"/>
                <w:b w:val="1"/>
                <w:bCs w:val="1"/>
                <w:color w:val="auto"/>
              </w:rPr>
              <w:t>(in thousands)</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05"/>
        </w:trPr>
        <w:tc>
          <w:tcPr>
            <w:tcW w:w="404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144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23"/>
              <w:spacing w:after="0"/>
              <w:rPr>
                <w:sz w:val="20"/>
                <w:szCs w:val="20"/>
                <w:color w:val="auto"/>
              </w:rPr>
            </w:pPr>
            <w:r>
              <w:rPr>
                <w:rFonts w:ascii="Arial" w:cs="Arial" w:eastAsia="Arial" w:hAnsi="Arial"/>
                <w:sz w:val="15"/>
                <w:szCs w:val="15"/>
                <w:color w:val="auto"/>
              </w:rPr>
              <w:t>2,355</w:t>
            </w:r>
          </w:p>
        </w:tc>
        <w:tc>
          <w:tcPr>
            <w:tcW w:w="2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23"/>
              <w:spacing w:after="0"/>
              <w:rPr>
                <w:sz w:val="20"/>
                <w:szCs w:val="20"/>
                <w:color w:val="auto"/>
              </w:rPr>
            </w:pPr>
            <w:r>
              <w:rPr>
                <w:rFonts w:ascii="Arial" w:cs="Arial" w:eastAsia="Arial" w:hAnsi="Arial"/>
                <w:sz w:val="15"/>
                <w:szCs w:val="15"/>
                <w:color w:val="auto"/>
              </w:rPr>
              <w:t>197,128</w:t>
            </w:r>
          </w:p>
        </w:tc>
        <w:tc>
          <w:tcPr>
            <w:tcW w:w="2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23"/>
              <w:spacing w:after="0"/>
              <w:rPr>
                <w:sz w:val="20"/>
                <w:szCs w:val="20"/>
                <w:color w:val="auto"/>
              </w:rPr>
            </w:pPr>
            <w:r>
              <w:rPr>
                <w:rFonts w:ascii="Arial" w:cs="Arial" w:eastAsia="Arial" w:hAnsi="Arial"/>
                <w:sz w:val="15"/>
                <w:szCs w:val="15"/>
                <w:color w:val="auto"/>
              </w:rPr>
              <w:t>339,478</w:t>
            </w:r>
          </w:p>
        </w:tc>
        <w:tc>
          <w:tcPr>
            <w:tcW w:w="2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531,476</w:t>
            </w:r>
          </w:p>
        </w:tc>
      </w:tr>
      <w:tr>
        <w:trPr>
          <w:trHeight w:val="207"/>
        </w:trPr>
        <w:tc>
          <w:tcPr>
            <w:tcW w:w="4040" w:type="dxa"/>
            <w:vAlign w:val="bottom"/>
            <w:shd w:val="clear" w:color="auto" w:fill="CCEEFF"/>
          </w:tcPr>
          <w:p>
            <w:pPr>
              <w:ind w:left="20"/>
              <w:spacing w:after="0"/>
              <w:rPr>
                <w:sz w:val="20"/>
                <w:szCs w:val="20"/>
                <w:color w:val="auto"/>
              </w:rPr>
            </w:pPr>
            <w:r>
              <w:rPr>
                <w:rFonts w:ascii="Arial" w:cs="Arial" w:eastAsia="Arial" w:hAnsi="Arial"/>
                <w:sz w:val="15"/>
                <w:szCs w:val="15"/>
                <w:i w:val="1"/>
                <w:iCs w:val="1"/>
                <w:color w:val="auto"/>
              </w:rPr>
              <w:t>Other comprehensive income, net of tax:</w:t>
            </w:r>
          </w:p>
        </w:tc>
        <w:tc>
          <w:tcPr>
            <w:tcW w:w="1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05"/>
        </w:trPr>
        <w:tc>
          <w:tcPr>
            <w:tcW w:w="4040" w:type="dxa"/>
            <w:vAlign w:val="bottom"/>
          </w:tcPr>
          <w:p>
            <w:pPr>
              <w:ind w:left="120"/>
              <w:spacing w:after="0"/>
              <w:rPr>
                <w:sz w:val="20"/>
                <w:szCs w:val="20"/>
                <w:color w:val="auto"/>
              </w:rPr>
            </w:pPr>
            <w:r>
              <w:rPr>
                <w:rFonts w:ascii="Arial" w:cs="Arial" w:eastAsia="Arial" w:hAnsi="Arial"/>
                <w:sz w:val="15"/>
                <w:szCs w:val="15"/>
                <w:color w:val="auto"/>
              </w:rPr>
              <w:t>Currency translation adjustment</w:t>
            </w:r>
          </w:p>
        </w:tc>
        <w:tc>
          <w:tcPr>
            <w:tcW w:w="14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(18,181)</w:t>
            </w:r>
          </w:p>
        </w:tc>
        <w:tc>
          <w:tcPr>
            <w:tcW w:w="2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69,695</w:t>
            </w:r>
          </w:p>
        </w:tc>
        <w:tc>
          <w:tcPr>
            <w:tcW w:w="2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145,405</w:t>
            </w: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28,670</w:t>
            </w:r>
          </w:p>
        </w:tc>
      </w:tr>
      <w:tr>
        <w:trPr>
          <w:trHeight w:val="206"/>
        </w:trPr>
        <w:tc>
          <w:tcPr>
            <w:tcW w:w="40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5"/>
                <w:szCs w:val="15"/>
                <w:color w:val="auto"/>
              </w:rPr>
              <w:t>(Gain) / loss on cash flow hedge</w:t>
            </w:r>
          </w:p>
        </w:tc>
        <w:tc>
          <w:tcPr>
            <w:tcW w:w="14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(198)</w:t>
            </w:r>
          </w:p>
        </w:tc>
        <w:tc>
          <w:tcPr>
            <w:tcW w:w="2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(2,420)</w:t>
            </w:r>
          </w:p>
        </w:tc>
        <w:tc>
          <w:tcPr>
            <w:tcW w:w="2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4,774</w:t>
            </w:r>
          </w:p>
        </w:tc>
      </w:tr>
      <w:tr>
        <w:trPr>
          <w:trHeight w:val="200"/>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Total comprehensive (loss) / income</w:t>
            </w:r>
          </w:p>
        </w:tc>
        <w:tc>
          <w:tcPr>
            <w:tcW w:w="14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(15,826)</w:t>
            </w:r>
          </w:p>
        </w:tc>
        <w:tc>
          <w:tcPr>
            <w:tcW w:w="2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266,625</w:t>
            </w:r>
          </w:p>
        </w:tc>
        <w:tc>
          <w:tcPr>
            <w:tcW w:w="2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482,463</w:t>
            </w:r>
          </w:p>
        </w:tc>
        <w:tc>
          <w:tcPr>
            <w:tcW w:w="2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564,920</w:t>
            </w:r>
          </w:p>
        </w:tc>
      </w:tr>
      <w:tr>
        <w:trPr>
          <w:trHeight w:val="20"/>
        </w:trPr>
        <w:tc>
          <w:tcPr>
            <w:tcW w:w="40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73660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6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5"/>
          <w:szCs w:val="15"/>
          <w:b w:val="1"/>
          <w:bCs w:val="1"/>
          <w:color w:val="auto"/>
        </w:rPr>
        <w:t>ICON plc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STATEMENTS OF SHAREHOLDERS'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334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Number of</w:t>
            </w:r>
          </w:p>
        </w:tc>
        <w:tc>
          <w:tcPr>
            <w:tcW w:w="26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Additional</w:t>
            </w:r>
          </w:p>
        </w:tc>
        <w:tc>
          <w:tcPr>
            <w:tcW w:w="38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Other</w:t>
            </w:r>
          </w:p>
        </w:tc>
        <w:tc>
          <w:tcPr>
            <w:tcW w:w="16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jc w:val="right"/>
              <w:spacing w:after="0" w:line="154" w:lineRule="exact"/>
              <w:rPr>
                <w:sz w:val="20"/>
                <w:szCs w:val="20"/>
                <w:color w:val="auto"/>
              </w:rPr>
            </w:pPr>
            <w:r>
              <w:rPr>
                <w:rFonts w:ascii="Arial" w:cs="Arial" w:eastAsia="Arial" w:hAnsi="Arial"/>
                <w:sz w:val="15"/>
                <w:szCs w:val="15"/>
                <w:b w:val="1"/>
                <w:bCs w:val="1"/>
                <w:color w:val="auto"/>
              </w:rPr>
              <w:t>Accumulated</w:t>
            </w:r>
          </w:p>
        </w:tc>
        <w:tc>
          <w:tcPr>
            <w:tcW w:w="2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340" w:type="dxa"/>
            <w:vAlign w:val="bottom"/>
            <w:shd w:val="clear" w:color="auto" w:fill="CCEEFF"/>
          </w:tcPr>
          <w:p>
            <w:pPr>
              <w:spacing w:after="0"/>
              <w:rPr>
                <w:sz w:val="13"/>
                <w:szCs w:val="13"/>
                <w:color w:val="auto"/>
              </w:rPr>
            </w:pPr>
          </w:p>
        </w:tc>
        <w:tc>
          <w:tcPr>
            <w:tcW w:w="1140" w:type="dxa"/>
            <w:vAlign w:val="bottom"/>
            <w:vMerge w:val="continue"/>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Ordinary</w:t>
            </w:r>
          </w:p>
        </w:tc>
        <w:tc>
          <w:tcPr>
            <w:tcW w:w="220" w:type="dxa"/>
            <w:vAlign w:val="bottom"/>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Other</w:t>
            </w:r>
          </w:p>
        </w:tc>
        <w:tc>
          <w:tcPr>
            <w:tcW w:w="2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Retained</w:t>
            </w: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3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Ordinary</w:t>
            </w:r>
          </w:p>
        </w:tc>
        <w:tc>
          <w:tcPr>
            <w:tcW w:w="26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280" w:type="dxa"/>
            <w:vAlign w:val="bottom"/>
            <w:gridSpan w:val="5"/>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Paid-in Undenominated Comprehensive</w:t>
            </w:r>
          </w:p>
        </w:tc>
        <w:tc>
          <w:tcPr>
            <w:tcW w:w="22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Shares</w:t>
            </w:r>
          </w:p>
        </w:tc>
        <w:tc>
          <w:tcPr>
            <w:tcW w:w="2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Shares</w:t>
            </w: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Capital</w:t>
            </w:r>
          </w:p>
        </w:tc>
        <w:tc>
          <w:tcPr>
            <w:tcW w:w="3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Capital</w:t>
            </w: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Loss</w:t>
            </w:r>
          </w:p>
        </w:tc>
        <w:tc>
          <w:tcPr>
            <w:tcW w:w="2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Earnings</w:t>
            </w: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5"/>
          </w:tcPr>
          <w:p>
            <w:pPr>
              <w:jc w:val="right"/>
              <w:ind w:right="423"/>
              <w:spacing w:after="0"/>
              <w:rPr>
                <w:sz w:val="20"/>
                <w:szCs w:val="20"/>
                <w:color w:val="auto"/>
              </w:rPr>
            </w:pPr>
            <w:r>
              <w:rPr>
                <w:rFonts w:ascii="Arial" w:cs="Arial" w:eastAsia="Arial" w:hAnsi="Arial"/>
                <w:sz w:val="15"/>
                <w:szCs w:val="15"/>
                <w:b w:val="1"/>
                <w:bCs w:val="1"/>
                <w:color w:val="auto"/>
              </w:rPr>
              <w:t>(in thousands, except share data)</w:t>
            </w: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December 31, 2024</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80,756,860</w:t>
            </w: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6,586</w:t>
            </w:r>
          </w:p>
        </w:tc>
        <w:tc>
          <w:tcPr>
            <w:tcW w:w="2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w:t>
            </w: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7,020,231</w:t>
            </w:r>
          </w:p>
        </w:tc>
        <w:tc>
          <w:tcPr>
            <w:tcW w:w="38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b w:val="1"/>
                <w:bCs w:val="1"/>
                <w:color w:val="auto"/>
                <w:w w:val="9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1,304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(229,929)</w:t>
            </w: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w w:val="9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2,724,807</w:t>
            </w:r>
          </w:p>
        </w:tc>
        <w:tc>
          <w:tcPr>
            <w:tcW w:w="2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w:t>
            </w: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9,522,999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40" w:type="dxa"/>
            <w:vAlign w:val="bottom"/>
          </w:tcPr>
          <w:p>
            <w:pPr>
              <w:ind w:left="20"/>
              <w:spacing w:after="0"/>
              <w:rPr>
                <w:sz w:val="20"/>
                <w:szCs w:val="20"/>
                <w:color w:val="auto"/>
              </w:rPr>
            </w:pPr>
            <w:r>
              <w:rPr>
                <w:rFonts w:ascii="Arial" w:cs="Arial" w:eastAsia="Arial" w:hAnsi="Arial"/>
                <w:sz w:val="15"/>
                <w:szCs w:val="15"/>
                <w:color w:val="auto"/>
              </w:rPr>
              <w:t>Comprehensive income (net of tax):</w:t>
            </w: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3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Net income</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154,151</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154,151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40" w:type="dxa"/>
            <w:vAlign w:val="bottom"/>
          </w:tcPr>
          <w:p>
            <w:pPr>
              <w:ind w:left="120"/>
              <w:spacing w:after="0"/>
              <w:rPr>
                <w:sz w:val="20"/>
                <w:szCs w:val="20"/>
                <w:color w:val="auto"/>
              </w:rPr>
            </w:pPr>
            <w:r>
              <w:rPr>
                <w:rFonts w:ascii="Arial" w:cs="Arial" w:eastAsia="Arial" w:hAnsi="Arial"/>
                <w:sz w:val="15"/>
                <w:szCs w:val="15"/>
                <w:color w:val="auto"/>
              </w:rPr>
              <w:t>Currency translation adjustment</w:t>
            </w: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59,158</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59,158</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3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Gain on cash flow hedge</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(2,420)</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(2,420)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40" w:type="dxa"/>
            <w:vAlign w:val="bottom"/>
          </w:tcPr>
          <w:p>
            <w:pPr>
              <w:ind w:left="20"/>
              <w:spacing w:after="0"/>
              <w:rPr>
                <w:sz w:val="20"/>
                <w:szCs w:val="20"/>
                <w:color w:val="auto"/>
              </w:rPr>
            </w:pPr>
            <w:r>
              <w:rPr>
                <w:rFonts w:ascii="Arial" w:cs="Arial" w:eastAsia="Arial" w:hAnsi="Arial"/>
                <w:sz w:val="15"/>
                <w:szCs w:val="15"/>
                <w:b w:val="1"/>
                <w:bCs w:val="1"/>
                <w:color w:val="auto"/>
              </w:rPr>
              <w:t>Total Comprehensive Income</w:t>
            </w: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210,889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Exercise of share options</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40,883</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4,759</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4,762</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340" w:type="dxa"/>
            <w:vAlign w:val="bottom"/>
          </w:tcPr>
          <w:p>
            <w:pPr>
              <w:ind w:left="20"/>
              <w:spacing w:after="0" w:line="156" w:lineRule="exact"/>
              <w:rPr>
                <w:sz w:val="20"/>
                <w:szCs w:val="20"/>
                <w:color w:val="auto"/>
              </w:rPr>
            </w:pPr>
            <w:r>
              <w:rPr>
                <w:rFonts w:ascii="Arial" w:cs="Arial" w:eastAsia="Arial" w:hAnsi="Arial"/>
                <w:sz w:val="15"/>
                <w:szCs w:val="15"/>
                <w:color w:val="auto"/>
              </w:rPr>
              <w:t>Issue of restricted share units / performance</w:t>
            </w: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27,046</w:t>
            </w:r>
          </w:p>
        </w:tc>
        <w:tc>
          <w:tcPr>
            <w:tcW w:w="26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color w:val="auto"/>
              </w:rPr>
              <w:t>1</w:t>
            </w:r>
          </w:p>
        </w:tc>
        <w:tc>
          <w:tcPr>
            <w:tcW w:w="220" w:type="dxa"/>
            <w:vAlign w:val="bottom"/>
          </w:tcPr>
          <w:p>
            <w:pPr>
              <w:spacing w:after="0"/>
              <w:rPr>
                <w:sz w:val="13"/>
                <w:szCs w:val="13"/>
                <w:color w:val="auto"/>
              </w:rPr>
            </w:pPr>
          </w:p>
        </w:tc>
        <w:tc>
          <w:tcPr>
            <w:tcW w:w="88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880" w:type="dxa"/>
            <w:vAlign w:val="bottom"/>
            <w:vMerge w:val="restart"/>
          </w:tcPr>
          <w:p>
            <w:pPr>
              <w:jc w:val="right"/>
              <w:ind w:right="3"/>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340" w:type="dxa"/>
            <w:vAlign w:val="bottom"/>
            <w:vMerge w:val="restart"/>
          </w:tcPr>
          <w:p>
            <w:pPr>
              <w:ind w:left="20"/>
              <w:spacing w:after="0"/>
              <w:rPr>
                <w:sz w:val="20"/>
                <w:szCs w:val="20"/>
                <w:color w:val="auto"/>
              </w:rPr>
            </w:pPr>
            <w:r>
              <w:rPr>
                <w:rFonts w:ascii="Arial" w:cs="Arial" w:eastAsia="Arial" w:hAnsi="Arial"/>
                <w:sz w:val="15"/>
                <w:szCs w:val="15"/>
                <w:color w:val="auto"/>
              </w:rPr>
              <w:t>share units</w:t>
            </w:r>
          </w:p>
        </w:tc>
        <w:tc>
          <w:tcPr>
            <w:tcW w:w="11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3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Share based compensation expense</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12,359</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12,359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40" w:type="dxa"/>
            <w:vAlign w:val="bottom"/>
          </w:tcPr>
          <w:p>
            <w:pPr>
              <w:ind w:left="20"/>
              <w:spacing w:after="0"/>
              <w:rPr>
                <w:sz w:val="20"/>
                <w:szCs w:val="20"/>
                <w:color w:val="auto"/>
              </w:rPr>
            </w:pPr>
            <w:r>
              <w:rPr>
                <w:rFonts w:ascii="Arial" w:cs="Arial" w:eastAsia="Arial" w:hAnsi="Arial"/>
                <w:sz w:val="15"/>
                <w:szCs w:val="15"/>
                <w:color w:val="auto"/>
              </w:rPr>
              <w:t>Share issuance costs</w:t>
            </w: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(5)</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Repurchase of ordinary shares</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(1,360,537)</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(250,000)</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(250,000)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Share repurchase costs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(150)</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March 31, 2025</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79,464,252</w:t>
            </w: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6,505</w:t>
            </w:r>
          </w:p>
        </w:tc>
        <w:tc>
          <w:tcPr>
            <w:tcW w:w="2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w:t>
            </w: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7,037,344</w:t>
            </w:r>
          </w:p>
        </w:tc>
        <w:tc>
          <w:tcPr>
            <w:tcW w:w="38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b w:val="1"/>
                <w:bCs w:val="1"/>
                <w:color w:val="auto"/>
                <w:w w:val="9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1,389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(173,191)</w:t>
            </w: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w w:val="9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2,628,808</w:t>
            </w:r>
          </w:p>
        </w:tc>
        <w:tc>
          <w:tcPr>
            <w:tcW w:w="2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w:t>
            </w: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9,500,855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40" w:type="dxa"/>
            <w:vAlign w:val="bottom"/>
          </w:tcPr>
          <w:p>
            <w:pPr>
              <w:ind w:left="20"/>
              <w:spacing w:after="0"/>
              <w:rPr>
                <w:sz w:val="20"/>
                <w:szCs w:val="20"/>
                <w:color w:val="auto"/>
              </w:rPr>
            </w:pPr>
            <w:r>
              <w:rPr>
                <w:rFonts w:ascii="Arial" w:cs="Arial" w:eastAsia="Arial" w:hAnsi="Arial"/>
                <w:sz w:val="15"/>
                <w:szCs w:val="15"/>
                <w:color w:val="auto"/>
              </w:rPr>
              <w:t>Comprehensive income (net of tax):</w:t>
            </w: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3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Net income</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182,972</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182,972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4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Currency translation adjustment</w:t>
            </w: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104,428</w:t>
            </w:r>
          </w:p>
        </w:tc>
        <w:tc>
          <w:tcPr>
            <w:tcW w:w="22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104,428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3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Total Comprehensive Income</w:t>
            </w: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287,400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40" w:type="dxa"/>
            <w:vAlign w:val="bottom"/>
          </w:tcPr>
          <w:p>
            <w:pPr>
              <w:ind w:left="20"/>
              <w:spacing w:after="0"/>
              <w:rPr>
                <w:sz w:val="20"/>
                <w:szCs w:val="20"/>
                <w:color w:val="auto"/>
              </w:rPr>
            </w:pPr>
            <w:r>
              <w:rPr>
                <w:rFonts w:ascii="Arial" w:cs="Arial" w:eastAsia="Arial" w:hAnsi="Arial"/>
                <w:sz w:val="15"/>
                <w:szCs w:val="15"/>
                <w:color w:val="auto"/>
              </w:rPr>
              <w:t>Exercise of share options</w:t>
            </w:r>
          </w:p>
        </w:tc>
        <w:tc>
          <w:tcPr>
            <w:tcW w:w="1140" w:type="dxa"/>
            <w:vAlign w:val="bottom"/>
          </w:tcPr>
          <w:p>
            <w:pPr>
              <w:jc w:val="right"/>
              <w:spacing w:after="0"/>
              <w:rPr>
                <w:sz w:val="20"/>
                <w:szCs w:val="20"/>
                <w:color w:val="auto"/>
              </w:rPr>
            </w:pPr>
            <w:r>
              <w:rPr>
                <w:rFonts w:ascii="Arial" w:cs="Arial" w:eastAsia="Arial" w:hAnsi="Arial"/>
                <w:sz w:val="15"/>
                <w:szCs w:val="15"/>
                <w:color w:val="auto"/>
              </w:rPr>
              <w:t>17,901</w:t>
            </w: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w:t>
            </w:r>
          </w:p>
        </w:tc>
        <w:tc>
          <w:tcPr>
            <w:tcW w:w="22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1,733</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1,734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40" w:type="dxa"/>
            <w:vAlign w:val="bottom"/>
            <w:shd w:val="clear" w:color="auto" w:fill="CCEEFF"/>
          </w:tcPr>
          <w:p>
            <w:pPr>
              <w:ind w:left="20"/>
              <w:spacing w:after="0" w:line="156" w:lineRule="exact"/>
              <w:rPr>
                <w:sz w:val="20"/>
                <w:szCs w:val="20"/>
                <w:color w:val="auto"/>
              </w:rPr>
            </w:pPr>
            <w:r>
              <w:rPr>
                <w:rFonts w:ascii="Arial" w:cs="Arial" w:eastAsia="Arial" w:hAnsi="Arial"/>
                <w:sz w:val="15"/>
                <w:szCs w:val="15"/>
                <w:color w:val="auto"/>
              </w:rPr>
              <w:t>Issue of restricted share units / performance</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7,158</w:t>
            </w:r>
          </w:p>
        </w:tc>
        <w:tc>
          <w:tcPr>
            <w:tcW w:w="26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22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34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rPr>
              <w:t>share units</w:t>
            </w:r>
          </w:p>
        </w:tc>
        <w:tc>
          <w:tcPr>
            <w:tcW w:w="1140" w:type="dxa"/>
            <w:vAlign w:val="bottom"/>
            <w:vMerge w:val="continue"/>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0" w:type="dxa"/>
            <w:vAlign w:val="bottom"/>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vMerge w:val="continue"/>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20" w:type="dxa"/>
            <w:vAlign w:val="bottom"/>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40" w:type="dxa"/>
            <w:vAlign w:val="bottom"/>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3340" w:type="dxa"/>
            <w:vAlign w:val="bottom"/>
            <w:vMerge w:val="continue"/>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40" w:type="dxa"/>
            <w:vAlign w:val="bottom"/>
          </w:tcPr>
          <w:p>
            <w:pPr>
              <w:ind w:left="20"/>
              <w:spacing w:after="0"/>
              <w:rPr>
                <w:sz w:val="20"/>
                <w:szCs w:val="20"/>
                <w:color w:val="auto"/>
              </w:rPr>
            </w:pPr>
            <w:r>
              <w:rPr>
                <w:rFonts w:ascii="Arial" w:cs="Arial" w:eastAsia="Arial" w:hAnsi="Arial"/>
                <w:sz w:val="15"/>
                <w:szCs w:val="15"/>
                <w:color w:val="auto"/>
              </w:rPr>
              <w:t>Share based compensation expense</w:t>
            </w: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15,251</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15,251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Share issuance costs</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40" w:type="dxa"/>
            <w:vAlign w:val="bottom"/>
          </w:tcPr>
          <w:p>
            <w:pPr>
              <w:ind w:left="20"/>
              <w:spacing w:after="0"/>
              <w:rPr>
                <w:sz w:val="20"/>
                <w:szCs w:val="20"/>
                <w:color w:val="auto"/>
              </w:rPr>
            </w:pPr>
            <w:r>
              <w:rPr>
                <w:rFonts w:ascii="Arial" w:cs="Arial" w:eastAsia="Arial" w:hAnsi="Arial"/>
                <w:sz w:val="15"/>
                <w:szCs w:val="15"/>
                <w:color w:val="auto"/>
              </w:rPr>
              <w:t>Repurchase of ordinary shares</w:t>
            </w:r>
          </w:p>
        </w:tc>
        <w:tc>
          <w:tcPr>
            <w:tcW w:w="1140" w:type="dxa"/>
            <w:vAlign w:val="bottom"/>
          </w:tcPr>
          <w:p>
            <w:pPr>
              <w:jc w:val="right"/>
              <w:spacing w:after="0"/>
              <w:rPr>
                <w:sz w:val="20"/>
                <w:szCs w:val="20"/>
                <w:color w:val="auto"/>
              </w:rPr>
            </w:pPr>
            <w:r>
              <w:rPr>
                <w:rFonts w:ascii="Arial" w:cs="Arial" w:eastAsia="Arial" w:hAnsi="Arial"/>
                <w:sz w:val="15"/>
                <w:szCs w:val="15"/>
                <w:color w:val="auto"/>
              </w:rPr>
              <w:t>(1,717,181)</w:t>
            </w: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(117)</w:t>
            </w:r>
          </w:p>
        </w:tc>
        <w:tc>
          <w:tcPr>
            <w:tcW w:w="22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117</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(250,000)</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(250,000)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Share repurchase costs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(150)</w:t>
            </w: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Balance at June 30, 2025</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77,772,130</w:t>
            </w:r>
          </w:p>
        </w:tc>
        <w:tc>
          <w:tcPr>
            <w:tcW w:w="2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6,390</w:t>
            </w:r>
          </w:p>
        </w:tc>
        <w:tc>
          <w:tcPr>
            <w:tcW w:w="2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w:t>
            </w:r>
          </w:p>
        </w:tc>
        <w:tc>
          <w:tcPr>
            <w:tcW w:w="8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7,054,324</w:t>
            </w:r>
          </w:p>
        </w:tc>
        <w:tc>
          <w:tcPr>
            <w:tcW w:w="38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b w:val="1"/>
                <w:bCs w:val="1"/>
                <w:color w:val="auto"/>
                <w:w w:val="95"/>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1,506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(68,763)</w:t>
            </w: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w w:val="95"/>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2,561,630</w:t>
            </w:r>
          </w:p>
        </w:tc>
        <w:tc>
          <w:tcPr>
            <w:tcW w:w="2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w:t>
            </w:r>
          </w:p>
        </w:tc>
        <w:tc>
          <w:tcPr>
            <w:tcW w:w="8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9,555,087</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Comprehensive income (net of tax):</w:t>
            </w: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40" w:type="dxa"/>
            <w:vAlign w:val="bottom"/>
          </w:tcPr>
          <w:p>
            <w:pPr>
              <w:ind w:left="120"/>
              <w:spacing w:after="0"/>
              <w:rPr>
                <w:sz w:val="20"/>
                <w:szCs w:val="20"/>
                <w:color w:val="auto"/>
              </w:rPr>
            </w:pPr>
            <w:r>
              <w:rPr>
                <w:rFonts w:ascii="Arial" w:cs="Arial" w:eastAsia="Arial" w:hAnsi="Arial"/>
                <w:sz w:val="15"/>
                <w:szCs w:val="15"/>
                <w:color w:val="auto"/>
              </w:rPr>
              <w:t>Net income</w:t>
            </w: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2,355</w:t>
            </w:r>
          </w:p>
        </w:tc>
        <w:tc>
          <w:tcPr>
            <w:tcW w:w="22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2,355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3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Currency translation adjustment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(18,181)</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(18,181)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40" w:type="dxa"/>
            <w:vAlign w:val="bottom"/>
          </w:tcPr>
          <w:p>
            <w:pPr>
              <w:ind w:left="20"/>
              <w:spacing w:after="0"/>
              <w:rPr>
                <w:sz w:val="20"/>
                <w:szCs w:val="20"/>
                <w:color w:val="auto"/>
              </w:rPr>
            </w:pPr>
            <w:r>
              <w:rPr>
                <w:rFonts w:ascii="Arial" w:cs="Arial" w:eastAsia="Arial" w:hAnsi="Arial"/>
                <w:sz w:val="15"/>
                <w:szCs w:val="15"/>
                <w:b w:val="1"/>
                <w:bCs w:val="1"/>
                <w:color w:val="auto"/>
              </w:rPr>
              <w:t>Total Comprehensive Loss</w:t>
            </w: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(15,826)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Exercise of share options</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7,110</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821</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821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340" w:type="dxa"/>
            <w:vAlign w:val="bottom"/>
          </w:tcPr>
          <w:p>
            <w:pPr>
              <w:ind w:left="20"/>
              <w:spacing w:after="0" w:line="156" w:lineRule="exact"/>
              <w:rPr>
                <w:sz w:val="20"/>
                <w:szCs w:val="20"/>
                <w:color w:val="auto"/>
              </w:rPr>
            </w:pPr>
            <w:r>
              <w:rPr>
                <w:rFonts w:ascii="Arial" w:cs="Arial" w:eastAsia="Arial" w:hAnsi="Arial"/>
                <w:sz w:val="15"/>
                <w:szCs w:val="15"/>
                <w:color w:val="auto"/>
              </w:rPr>
              <w:t>Issue of restricted share units / performance</w:t>
            </w: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7,304</w:t>
            </w:r>
          </w:p>
        </w:tc>
        <w:tc>
          <w:tcPr>
            <w:tcW w:w="26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88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88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340" w:type="dxa"/>
            <w:vAlign w:val="bottom"/>
            <w:vMerge w:val="restart"/>
          </w:tcPr>
          <w:p>
            <w:pPr>
              <w:ind w:left="20"/>
              <w:spacing w:after="0"/>
              <w:rPr>
                <w:sz w:val="20"/>
                <w:szCs w:val="20"/>
                <w:color w:val="auto"/>
              </w:rPr>
            </w:pPr>
            <w:r>
              <w:rPr>
                <w:rFonts w:ascii="Arial" w:cs="Arial" w:eastAsia="Arial" w:hAnsi="Arial"/>
                <w:sz w:val="15"/>
                <w:szCs w:val="15"/>
                <w:color w:val="auto"/>
              </w:rPr>
              <w:t>share units</w:t>
            </w:r>
          </w:p>
        </w:tc>
        <w:tc>
          <w:tcPr>
            <w:tcW w:w="11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3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Share based compensation expense</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44,919</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44,919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40" w:type="dxa"/>
            <w:vAlign w:val="bottom"/>
          </w:tcPr>
          <w:p>
            <w:pPr>
              <w:ind w:left="20"/>
              <w:spacing w:after="0"/>
              <w:rPr>
                <w:sz w:val="20"/>
                <w:szCs w:val="20"/>
                <w:color w:val="auto"/>
              </w:rPr>
            </w:pPr>
            <w:r>
              <w:rPr>
                <w:rFonts w:ascii="Arial" w:cs="Arial" w:eastAsia="Arial" w:hAnsi="Arial"/>
                <w:sz w:val="15"/>
                <w:szCs w:val="15"/>
                <w:color w:val="auto"/>
              </w:rPr>
              <w:t>Share issuance costs</w:t>
            </w: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(5)</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Repurchase of ordinary shares</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(1,426,612)</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(250,000)</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(250,000)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Share repurchase costs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(150)</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September 30, 2025</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76,359,932</w:t>
            </w: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6,290</w:t>
            </w:r>
          </w:p>
        </w:tc>
        <w:tc>
          <w:tcPr>
            <w:tcW w:w="2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w:t>
            </w: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7,100,059</w:t>
            </w:r>
          </w:p>
        </w:tc>
        <w:tc>
          <w:tcPr>
            <w:tcW w:w="38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b w:val="1"/>
                <w:bCs w:val="1"/>
                <w:color w:val="auto"/>
                <w:w w:val="9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1,606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(86,944)</w:t>
            </w: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w w:val="9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2,313,835</w:t>
            </w:r>
          </w:p>
        </w:tc>
        <w:tc>
          <w:tcPr>
            <w:tcW w:w="2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w:t>
            </w: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9,334,846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5"/>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7</w:t>
            </w: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Borders>
              <w:bottom w:val="single" w:sz="8" w:color="9A9A9A"/>
            </w:tcBorders>
          </w:tcPr>
          <w:p>
            <w:pPr>
              <w:spacing w:after="0"/>
              <w:rPr>
                <w:sz w:val="9"/>
                <w:szCs w:val="9"/>
                <w:color w:val="auto"/>
              </w:rPr>
            </w:pPr>
          </w:p>
        </w:tc>
        <w:tc>
          <w:tcPr>
            <w:tcW w:w="33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5"/>
          <w:szCs w:val="15"/>
          <w:b w:val="1"/>
          <w:bCs w:val="1"/>
          <w:color w:val="auto"/>
        </w:rPr>
        <w:t>ICON plc</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CONDENSED CONSOLIDATED STATEMENTS OF SHAREHOLDERS' EQUITY (CONTINUED)</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(UNAUDITED)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334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Number of</w:t>
            </w:r>
          </w:p>
        </w:tc>
        <w:tc>
          <w:tcPr>
            <w:tcW w:w="26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Additional</w:t>
            </w:r>
          </w:p>
        </w:tc>
        <w:tc>
          <w:tcPr>
            <w:tcW w:w="38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Other</w:t>
            </w:r>
          </w:p>
        </w:tc>
        <w:tc>
          <w:tcPr>
            <w:tcW w:w="16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jc w:val="right"/>
              <w:spacing w:after="0" w:line="154" w:lineRule="exact"/>
              <w:rPr>
                <w:sz w:val="20"/>
                <w:szCs w:val="20"/>
                <w:color w:val="auto"/>
              </w:rPr>
            </w:pPr>
            <w:r>
              <w:rPr>
                <w:rFonts w:ascii="Arial" w:cs="Arial" w:eastAsia="Arial" w:hAnsi="Arial"/>
                <w:sz w:val="15"/>
                <w:szCs w:val="15"/>
                <w:b w:val="1"/>
                <w:bCs w:val="1"/>
                <w:color w:val="auto"/>
              </w:rPr>
              <w:t>Accumulated</w:t>
            </w:r>
          </w:p>
        </w:tc>
        <w:tc>
          <w:tcPr>
            <w:tcW w:w="2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340" w:type="dxa"/>
            <w:vAlign w:val="bottom"/>
            <w:shd w:val="clear" w:color="auto" w:fill="CCEEFF"/>
          </w:tcPr>
          <w:p>
            <w:pPr>
              <w:spacing w:after="0"/>
              <w:rPr>
                <w:sz w:val="13"/>
                <w:szCs w:val="13"/>
                <w:color w:val="auto"/>
              </w:rPr>
            </w:pPr>
          </w:p>
        </w:tc>
        <w:tc>
          <w:tcPr>
            <w:tcW w:w="1140" w:type="dxa"/>
            <w:vAlign w:val="bottom"/>
            <w:vMerge w:val="continue"/>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Ordinary</w:t>
            </w:r>
          </w:p>
        </w:tc>
        <w:tc>
          <w:tcPr>
            <w:tcW w:w="200" w:type="dxa"/>
            <w:vAlign w:val="bottom"/>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Other</w:t>
            </w:r>
          </w:p>
        </w:tc>
        <w:tc>
          <w:tcPr>
            <w:tcW w:w="2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Retained</w:t>
            </w: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3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Ordinary</w:t>
            </w:r>
          </w:p>
        </w:tc>
        <w:tc>
          <w:tcPr>
            <w:tcW w:w="260" w:type="dxa"/>
            <w:vAlign w:val="bottom"/>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80" w:type="dxa"/>
            <w:vAlign w:val="bottom"/>
            <w:gridSpan w:val="5"/>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Paid-in Undenominated Comprehensive</w:t>
            </w:r>
          </w:p>
        </w:tc>
        <w:tc>
          <w:tcPr>
            <w:tcW w:w="22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6"/>
        </w:trPr>
        <w:tc>
          <w:tcPr>
            <w:tcW w:w="3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Shares</w:t>
            </w:r>
          </w:p>
        </w:tc>
        <w:tc>
          <w:tcPr>
            <w:tcW w:w="2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Shares</w:t>
            </w: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Capital</w:t>
            </w:r>
          </w:p>
        </w:tc>
        <w:tc>
          <w:tcPr>
            <w:tcW w:w="3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Capital</w:t>
            </w: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Loss</w:t>
            </w:r>
          </w:p>
        </w:tc>
        <w:tc>
          <w:tcPr>
            <w:tcW w:w="2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Earnings</w:t>
            </w: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5"/>
          </w:tcPr>
          <w:p>
            <w:pPr>
              <w:jc w:val="right"/>
              <w:ind w:right="423"/>
              <w:spacing w:after="0"/>
              <w:rPr>
                <w:sz w:val="20"/>
                <w:szCs w:val="20"/>
                <w:color w:val="auto"/>
              </w:rPr>
            </w:pPr>
            <w:r>
              <w:rPr>
                <w:rFonts w:ascii="Arial" w:cs="Arial" w:eastAsia="Arial" w:hAnsi="Arial"/>
                <w:sz w:val="15"/>
                <w:szCs w:val="15"/>
                <w:b w:val="1"/>
                <w:bCs w:val="1"/>
                <w:color w:val="auto"/>
              </w:rPr>
              <w:t>(in thousands, except share data)</w:t>
            </w: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December 31, 2023</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82,495,086</w:t>
            </w: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6,699</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6,942,669</w:t>
            </w:r>
          </w:p>
        </w:tc>
        <w:tc>
          <w:tcPr>
            <w:tcW w:w="38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b w:val="1"/>
                <w:bCs w:val="1"/>
                <w:color w:val="auto"/>
                <w:w w:val="9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1,162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(143,506)</w:t>
            </w: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w w:val="9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2,433,719</w:t>
            </w:r>
          </w:p>
        </w:tc>
        <w:tc>
          <w:tcPr>
            <w:tcW w:w="2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w:t>
            </w: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9,240,743</w:t>
            </w:r>
          </w:p>
        </w:tc>
        <w:tc>
          <w:tcPr>
            <w:tcW w:w="0" w:type="dxa"/>
            <w:vAlign w:val="bottom"/>
          </w:tcPr>
          <w:p>
            <w:pPr>
              <w:spacing w:after="0"/>
              <w:rPr>
                <w:sz w:val="1"/>
                <w:szCs w:val="1"/>
                <w:color w:val="auto"/>
              </w:rPr>
            </w:pPr>
          </w:p>
        </w:tc>
      </w:tr>
      <w:tr>
        <w:trPr>
          <w:trHeight w:val="198"/>
        </w:trPr>
        <w:tc>
          <w:tcPr>
            <w:tcW w:w="3340" w:type="dxa"/>
            <w:vAlign w:val="bottom"/>
          </w:tcPr>
          <w:p>
            <w:pPr>
              <w:ind w:left="20"/>
              <w:spacing w:after="0"/>
              <w:rPr>
                <w:sz w:val="20"/>
                <w:szCs w:val="20"/>
                <w:color w:val="auto"/>
              </w:rPr>
            </w:pPr>
            <w:r>
              <w:rPr>
                <w:rFonts w:ascii="Arial" w:cs="Arial" w:eastAsia="Arial" w:hAnsi="Arial"/>
                <w:sz w:val="15"/>
                <w:szCs w:val="15"/>
                <w:color w:val="auto"/>
              </w:rPr>
              <w:t>Comprehensive income, (net of tax):</w:t>
            </w: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3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Net income</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187,438</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187,438</w:t>
            </w:r>
          </w:p>
        </w:tc>
        <w:tc>
          <w:tcPr>
            <w:tcW w:w="0" w:type="dxa"/>
            <w:vAlign w:val="bottom"/>
          </w:tcPr>
          <w:p>
            <w:pPr>
              <w:spacing w:after="0"/>
              <w:rPr>
                <w:sz w:val="1"/>
                <w:szCs w:val="1"/>
                <w:color w:val="auto"/>
              </w:rPr>
            </w:pPr>
          </w:p>
        </w:tc>
      </w:tr>
      <w:tr>
        <w:trPr>
          <w:trHeight w:val="205"/>
        </w:trPr>
        <w:tc>
          <w:tcPr>
            <w:tcW w:w="3340" w:type="dxa"/>
            <w:vAlign w:val="bottom"/>
          </w:tcPr>
          <w:p>
            <w:pPr>
              <w:ind w:left="120"/>
              <w:spacing w:after="0"/>
              <w:rPr>
                <w:sz w:val="20"/>
                <w:szCs w:val="20"/>
                <w:color w:val="auto"/>
              </w:rPr>
            </w:pPr>
            <w:r>
              <w:rPr>
                <w:rFonts w:ascii="Arial" w:cs="Arial" w:eastAsia="Arial" w:hAnsi="Arial"/>
                <w:sz w:val="15"/>
                <w:szCs w:val="15"/>
                <w:color w:val="auto"/>
              </w:rPr>
              <w:t>Currency translation adjustment</w:t>
            </w: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(32,040)</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(32,040)</w:t>
            </w:r>
          </w:p>
        </w:tc>
        <w:tc>
          <w:tcPr>
            <w:tcW w:w="0" w:type="dxa"/>
            <w:vAlign w:val="bottom"/>
          </w:tcPr>
          <w:p>
            <w:pPr>
              <w:spacing w:after="0"/>
              <w:rPr>
                <w:sz w:val="1"/>
                <w:szCs w:val="1"/>
                <w:color w:val="auto"/>
              </w:rPr>
            </w:pPr>
          </w:p>
        </w:tc>
      </w:tr>
      <w:tr>
        <w:trPr>
          <w:trHeight w:val="207"/>
        </w:trPr>
        <w:tc>
          <w:tcPr>
            <w:tcW w:w="33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Loss on cash flow hedge</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9,084</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9,084</w:t>
            </w:r>
          </w:p>
        </w:tc>
        <w:tc>
          <w:tcPr>
            <w:tcW w:w="0" w:type="dxa"/>
            <w:vAlign w:val="bottom"/>
          </w:tcPr>
          <w:p>
            <w:pPr>
              <w:spacing w:after="0"/>
              <w:rPr>
                <w:sz w:val="1"/>
                <w:szCs w:val="1"/>
                <w:color w:val="auto"/>
              </w:rPr>
            </w:pPr>
          </w:p>
        </w:tc>
      </w:tr>
      <w:tr>
        <w:trPr>
          <w:trHeight w:val="198"/>
        </w:trPr>
        <w:tc>
          <w:tcPr>
            <w:tcW w:w="3340" w:type="dxa"/>
            <w:vAlign w:val="bottom"/>
          </w:tcPr>
          <w:p>
            <w:pPr>
              <w:ind w:left="20"/>
              <w:spacing w:after="0"/>
              <w:rPr>
                <w:sz w:val="20"/>
                <w:szCs w:val="20"/>
                <w:color w:val="auto"/>
              </w:rPr>
            </w:pPr>
            <w:r>
              <w:rPr>
                <w:rFonts w:ascii="Arial" w:cs="Arial" w:eastAsia="Arial" w:hAnsi="Arial"/>
                <w:sz w:val="15"/>
                <w:szCs w:val="15"/>
                <w:b w:val="1"/>
                <w:bCs w:val="1"/>
                <w:color w:val="auto"/>
              </w:rPr>
              <w:t>Total Comprehensive Income</w:t>
            </w: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164,482</w:t>
            </w:r>
          </w:p>
        </w:tc>
        <w:tc>
          <w:tcPr>
            <w:tcW w:w="0" w:type="dxa"/>
            <w:vAlign w:val="bottom"/>
          </w:tcPr>
          <w:p>
            <w:pPr>
              <w:spacing w:after="0"/>
              <w:rPr>
                <w:sz w:val="1"/>
                <w:szCs w:val="1"/>
                <w:color w:val="auto"/>
              </w:rPr>
            </w:pPr>
          </w:p>
        </w:tc>
      </w:tr>
      <w:tr>
        <w:trPr>
          <w:trHeight w:val="207"/>
        </w:trPr>
        <w:tc>
          <w:tcPr>
            <w:tcW w:w="3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Exercise of share options</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156,527</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10</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16,293</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16,303</w:t>
            </w:r>
          </w:p>
        </w:tc>
        <w:tc>
          <w:tcPr>
            <w:tcW w:w="0" w:type="dxa"/>
            <w:vAlign w:val="bottom"/>
          </w:tcPr>
          <w:p>
            <w:pPr>
              <w:spacing w:after="0"/>
              <w:rPr>
                <w:sz w:val="1"/>
                <w:szCs w:val="1"/>
                <w:color w:val="auto"/>
              </w:rPr>
            </w:pPr>
          </w:p>
        </w:tc>
      </w:tr>
      <w:tr>
        <w:trPr>
          <w:trHeight w:val="155"/>
        </w:trPr>
        <w:tc>
          <w:tcPr>
            <w:tcW w:w="3340" w:type="dxa"/>
            <w:vAlign w:val="bottom"/>
          </w:tcPr>
          <w:p>
            <w:pPr>
              <w:ind w:left="20"/>
              <w:spacing w:after="0" w:line="156" w:lineRule="exact"/>
              <w:rPr>
                <w:sz w:val="20"/>
                <w:szCs w:val="20"/>
                <w:color w:val="auto"/>
              </w:rPr>
            </w:pPr>
            <w:r>
              <w:rPr>
                <w:rFonts w:ascii="Arial" w:cs="Arial" w:eastAsia="Arial" w:hAnsi="Arial"/>
                <w:sz w:val="15"/>
                <w:szCs w:val="15"/>
                <w:color w:val="auto"/>
              </w:rPr>
              <w:t>Issue of restricted share units / performance</w:t>
            </w: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32,192</w:t>
            </w:r>
          </w:p>
        </w:tc>
        <w:tc>
          <w:tcPr>
            <w:tcW w:w="260" w:type="dxa"/>
            <w:vAlign w:val="bottom"/>
          </w:tcPr>
          <w:p>
            <w:pPr>
              <w:spacing w:after="0"/>
              <w:rPr>
                <w:sz w:val="13"/>
                <w:szCs w:val="13"/>
                <w:color w:val="auto"/>
              </w:rPr>
            </w:pPr>
          </w:p>
        </w:tc>
        <w:tc>
          <w:tcPr>
            <w:tcW w:w="820" w:type="dxa"/>
            <w:vAlign w:val="bottom"/>
            <w:vMerge w:val="restart"/>
          </w:tcPr>
          <w:p>
            <w:pPr>
              <w:jc w:val="right"/>
              <w:ind w:right="3"/>
              <w:spacing w:after="0"/>
              <w:rPr>
                <w:sz w:val="20"/>
                <w:szCs w:val="20"/>
                <w:color w:val="auto"/>
              </w:rPr>
            </w:pPr>
            <w:r>
              <w:rPr>
                <w:rFonts w:ascii="Arial" w:cs="Arial" w:eastAsia="Arial" w:hAnsi="Arial"/>
                <w:sz w:val="15"/>
                <w:szCs w:val="15"/>
                <w:color w:val="auto"/>
              </w:rPr>
              <w:t>2</w:t>
            </w:r>
          </w:p>
        </w:tc>
        <w:tc>
          <w:tcPr>
            <w:tcW w:w="200" w:type="dxa"/>
            <w:vAlign w:val="bottom"/>
          </w:tcPr>
          <w:p>
            <w:pPr>
              <w:spacing w:after="0"/>
              <w:rPr>
                <w:sz w:val="13"/>
                <w:szCs w:val="13"/>
                <w:color w:val="auto"/>
              </w:rPr>
            </w:pPr>
          </w:p>
        </w:tc>
        <w:tc>
          <w:tcPr>
            <w:tcW w:w="88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880" w:type="dxa"/>
            <w:vAlign w:val="bottom"/>
            <w:vMerge w:val="restart"/>
          </w:tcPr>
          <w:p>
            <w:pPr>
              <w:jc w:val="right"/>
              <w:ind w:right="3"/>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27"/>
        </w:trPr>
        <w:tc>
          <w:tcPr>
            <w:tcW w:w="3340" w:type="dxa"/>
            <w:vAlign w:val="bottom"/>
            <w:vMerge w:val="restart"/>
          </w:tcPr>
          <w:p>
            <w:pPr>
              <w:ind w:left="20"/>
              <w:spacing w:after="0"/>
              <w:rPr>
                <w:sz w:val="20"/>
                <w:szCs w:val="20"/>
                <w:color w:val="auto"/>
              </w:rPr>
            </w:pPr>
            <w:r>
              <w:rPr>
                <w:rFonts w:ascii="Arial" w:cs="Arial" w:eastAsia="Arial" w:hAnsi="Arial"/>
                <w:sz w:val="15"/>
                <w:szCs w:val="15"/>
                <w:color w:val="auto"/>
              </w:rPr>
              <w:t>share units</w:t>
            </w:r>
          </w:p>
        </w:tc>
        <w:tc>
          <w:tcPr>
            <w:tcW w:w="11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33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3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Share based compensation expense</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11,121</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11,121</w:t>
            </w:r>
          </w:p>
        </w:tc>
        <w:tc>
          <w:tcPr>
            <w:tcW w:w="0" w:type="dxa"/>
            <w:vAlign w:val="bottom"/>
          </w:tcPr>
          <w:p>
            <w:pPr>
              <w:spacing w:after="0"/>
              <w:rPr>
                <w:sz w:val="1"/>
                <w:szCs w:val="1"/>
                <w:color w:val="auto"/>
              </w:rPr>
            </w:pPr>
          </w:p>
        </w:tc>
      </w:tr>
      <w:tr>
        <w:trPr>
          <w:trHeight w:val="205"/>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Share issuance costs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w:t>
            </w: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00"/>
        </w:trPr>
        <w:tc>
          <w:tcPr>
            <w:tcW w:w="3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March 31, 2024</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82,683,805</w:t>
            </w: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6,711</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6,970,079</w:t>
            </w:r>
          </w:p>
        </w:tc>
        <w:tc>
          <w:tcPr>
            <w:tcW w:w="38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b w:val="1"/>
                <w:bCs w:val="1"/>
                <w:color w:val="auto"/>
                <w:w w:val="9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1,162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(166,462)</w:t>
            </w: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w w:val="9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2,621,157</w:t>
            </w:r>
          </w:p>
        </w:tc>
        <w:tc>
          <w:tcPr>
            <w:tcW w:w="2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w:t>
            </w: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9,432,647</w:t>
            </w:r>
          </w:p>
        </w:tc>
        <w:tc>
          <w:tcPr>
            <w:tcW w:w="0" w:type="dxa"/>
            <w:vAlign w:val="bottom"/>
          </w:tcPr>
          <w:p>
            <w:pPr>
              <w:spacing w:after="0"/>
              <w:rPr>
                <w:sz w:val="1"/>
                <w:szCs w:val="1"/>
                <w:color w:val="auto"/>
              </w:rPr>
            </w:pPr>
          </w:p>
        </w:tc>
      </w:tr>
      <w:tr>
        <w:trPr>
          <w:trHeight w:val="198"/>
        </w:trPr>
        <w:tc>
          <w:tcPr>
            <w:tcW w:w="3340" w:type="dxa"/>
            <w:vAlign w:val="bottom"/>
          </w:tcPr>
          <w:p>
            <w:pPr>
              <w:ind w:left="20"/>
              <w:spacing w:after="0"/>
              <w:rPr>
                <w:sz w:val="20"/>
                <w:szCs w:val="20"/>
                <w:color w:val="auto"/>
              </w:rPr>
            </w:pPr>
            <w:r>
              <w:rPr>
                <w:rFonts w:ascii="Arial" w:cs="Arial" w:eastAsia="Arial" w:hAnsi="Arial"/>
                <w:sz w:val="15"/>
                <w:szCs w:val="15"/>
                <w:color w:val="auto"/>
              </w:rPr>
              <w:t>Comprehensive income, (net of tax):</w:t>
            </w: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3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Net income</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146,910</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146,910</w:t>
            </w:r>
          </w:p>
        </w:tc>
        <w:tc>
          <w:tcPr>
            <w:tcW w:w="0" w:type="dxa"/>
            <w:vAlign w:val="bottom"/>
          </w:tcPr>
          <w:p>
            <w:pPr>
              <w:spacing w:after="0"/>
              <w:rPr>
                <w:sz w:val="1"/>
                <w:szCs w:val="1"/>
                <w:color w:val="auto"/>
              </w:rPr>
            </w:pPr>
          </w:p>
        </w:tc>
      </w:tr>
      <w:tr>
        <w:trPr>
          <w:trHeight w:val="205"/>
        </w:trPr>
        <w:tc>
          <w:tcPr>
            <w:tcW w:w="3340" w:type="dxa"/>
            <w:vAlign w:val="bottom"/>
          </w:tcPr>
          <w:p>
            <w:pPr>
              <w:ind w:left="120"/>
              <w:spacing w:after="0"/>
              <w:rPr>
                <w:sz w:val="20"/>
                <w:szCs w:val="20"/>
                <w:color w:val="auto"/>
              </w:rPr>
            </w:pPr>
            <w:r>
              <w:rPr>
                <w:rFonts w:ascii="Arial" w:cs="Arial" w:eastAsia="Arial" w:hAnsi="Arial"/>
                <w:sz w:val="15"/>
                <w:szCs w:val="15"/>
                <w:color w:val="auto"/>
              </w:rPr>
              <w:t>Currency translation adjustment</w:t>
            </w: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(8,985)</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(8,985)</w:t>
            </w:r>
          </w:p>
        </w:tc>
        <w:tc>
          <w:tcPr>
            <w:tcW w:w="0" w:type="dxa"/>
            <w:vAlign w:val="bottom"/>
          </w:tcPr>
          <w:p>
            <w:pPr>
              <w:spacing w:after="0"/>
              <w:rPr>
                <w:sz w:val="1"/>
                <w:szCs w:val="1"/>
                <w:color w:val="auto"/>
              </w:rPr>
            </w:pPr>
          </w:p>
        </w:tc>
      </w:tr>
      <w:tr>
        <w:trPr>
          <w:trHeight w:val="207"/>
        </w:trPr>
        <w:tc>
          <w:tcPr>
            <w:tcW w:w="33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Gain on cash flow hedge</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(4,112)</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(4,112)</w:t>
            </w:r>
          </w:p>
        </w:tc>
        <w:tc>
          <w:tcPr>
            <w:tcW w:w="0" w:type="dxa"/>
            <w:vAlign w:val="bottom"/>
          </w:tcPr>
          <w:p>
            <w:pPr>
              <w:spacing w:after="0"/>
              <w:rPr>
                <w:sz w:val="1"/>
                <w:szCs w:val="1"/>
                <w:color w:val="auto"/>
              </w:rPr>
            </w:pPr>
          </w:p>
        </w:tc>
      </w:tr>
      <w:tr>
        <w:trPr>
          <w:trHeight w:val="198"/>
        </w:trPr>
        <w:tc>
          <w:tcPr>
            <w:tcW w:w="3340" w:type="dxa"/>
            <w:vAlign w:val="bottom"/>
          </w:tcPr>
          <w:p>
            <w:pPr>
              <w:ind w:left="20"/>
              <w:spacing w:after="0"/>
              <w:rPr>
                <w:sz w:val="20"/>
                <w:szCs w:val="20"/>
                <w:color w:val="auto"/>
              </w:rPr>
            </w:pPr>
            <w:r>
              <w:rPr>
                <w:rFonts w:ascii="Arial" w:cs="Arial" w:eastAsia="Arial" w:hAnsi="Arial"/>
                <w:sz w:val="15"/>
                <w:szCs w:val="15"/>
                <w:b w:val="1"/>
                <w:bCs w:val="1"/>
                <w:color w:val="auto"/>
              </w:rPr>
              <w:t>Total Comprehensive Income</w:t>
            </w: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133,813</w:t>
            </w:r>
          </w:p>
        </w:tc>
        <w:tc>
          <w:tcPr>
            <w:tcW w:w="0" w:type="dxa"/>
            <w:vAlign w:val="bottom"/>
          </w:tcPr>
          <w:p>
            <w:pPr>
              <w:spacing w:after="0"/>
              <w:rPr>
                <w:sz w:val="1"/>
                <w:szCs w:val="1"/>
                <w:color w:val="auto"/>
              </w:rPr>
            </w:pPr>
          </w:p>
        </w:tc>
      </w:tr>
      <w:tr>
        <w:trPr>
          <w:trHeight w:val="207"/>
        </w:trPr>
        <w:tc>
          <w:tcPr>
            <w:tcW w:w="3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Exercise of share options</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45,127</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5,331</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5,334</w:t>
            </w:r>
          </w:p>
        </w:tc>
        <w:tc>
          <w:tcPr>
            <w:tcW w:w="0" w:type="dxa"/>
            <w:vAlign w:val="bottom"/>
          </w:tcPr>
          <w:p>
            <w:pPr>
              <w:spacing w:after="0"/>
              <w:rPr>
                <w:sz w:val="1"/>
                <w:szCs w:val="1"/>
                <w:color w:val="auto"/>
              </w:rPr>
            </w:pPr>
          </w:p>
        </w:tc>
      </w:tr>
      <w:tr>
        <w:trPr>
          <w:trHeight w:val="155"/>
        </w:trPr>
        <w:tc>
          <w:tcPr>
            <w:tcW w:w="3340" w:type="dxa"/>
            <w:vAlign w:val="bottom"/>
          </w:tcPr>
          <w:p>
            <w:pPr>
              <w:ind w:left="20"/>
              <w:spacing w:after="0" w:line="156" w:lineRule="exact"/>
              <w:rPr>
                <w:sz w:val="20"/>
                <w:szCs w:val="20"/>
                <w:color w:val="auto"/>
              </w:rPr>
            </w:pPr>
            <w:r>
              <w:rPr>
                <w:rFonts w:ascii="Arial" w:cs="Arial" w:eastAsia="Arial" w:hAnsi="Arial"/>
                <w:sz w:val="15"/>
                <w:szCs w:val="15"/>
                <w:color w:val="auto"/>
              </w:rPr>
              <w:t>Issue of restricted share units / performance</w:t>
            </w: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87,668</w:t>
            </w:r>
          </w:p>
        </w:tc>
        <w:tc>
          <w:tcPr>
            <w:tcW w:w="260" w:type="dxa"/>
            <w:vAlign w:val="bottom"/>
          </w:tcPr>
          <w:p>
            <w:pPr>
              <w:spacing w:after="0"/>
              <w:rPr>
                <w:sz w:val="13"/>
                <w:szCs w:val="13"/>
                <w:color w:val="auto"/>
              </w:rPr>
            </w:pPr>
          </w:p>
        </w:tc>
        <w:tc>
          <w:tcPr>
            <w:tcW w:w="820" w:type="dxa"/>
            <w:vAlign w:val="bottom"/>
            <w:vMerge w:val="restart"/>
          </w:tcPr>
          <w:p>
            <w:pPr>
              <w:jc w:val="right"/>
              <w:ind w:right="3"/>
              <w:spacing w:after="0"/>
              <w:rPr>
                <w:sz w:val="20"/>
                <w:szCs w:val="20"/>
                <w:color w:val="auto"/>
              </w:rPr>
            </w:pPr>
            <w:r>
              <w:rPr>
                <w:rFonts w:ascii="Arial" w:cs="Arial" w:eastAsia="Arial" w:hAnsi="Arial"/>
                <w:sz w:val="15"/>
                <w:szCs w:val="15"/>
                <w:color w:val="auto"/>
              </w:rPr>
              <w:t>6</w:t>
            </w:r>
          </w:p>
        </w:tc>
        <w:tc>
          <w:tcPr>
            <w:tcW w:w="200" w:type="dxa"/>
            <w:vAlign w:val="bottom"/>
          </w:tcPr>
          <w:p>
            <w:pPr>
              <w:spacing w:after="0"/>
              <w:rPr>
                <w:sz w:val="13"/>
                <w:szCs w:val="13"/>
                <w:color w:val="auto"/>
              </w:rPr>
            </w:pPr>
          </w:p>
        </w:tc>
        <w:tc>
          <w:tcPr>
            <w:tcW w:w="88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880" w:type="dxa"/>
            <w:vAlign w:val="bottom"/>
            <w:vMerge w:val="restart"/>
          </w:tcPr>
          <w:p>
            <w:pPr>
              <w:jc w:val="right"/>
              <w:ind w:right="3"/>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127"/>
        </w:trPr>
        <w:tc>
          <w:tcPr>
            <w:tcW w:w="3340" w:type="dxa"/>
            <w:vAlign w:val="bottom"/>
            <w:vMerge w:val="restart"/>
          </w:tcPr>
          <w:p>
            <w:pPr>
              <w:ind w:left="20"/>
              <w:spacing w:after="0"/>
              <w:rPr>
                <w:sz w:val="20"/>
                <w:szCs w:val="20"/>
                <w:color w:val="auto"/>
              </w:rPr>
            </w:pPr>
            <w:r>
              <w:rPr>
                <w:rFonts w:ascii="Arial" w:cs="Arial" w:eastAsia="Arial" w:hAnsi="Arial"/>
                <w:sz w:val="15"/>
                <w:szCs w:val="15"/>
                <w:color w:val="auto"/>
              </w:rPr>
              <w:t>share units</w:t>
            </w:r>
          </w:p>
        </w:tc>
        <w:tc>
          <w:tcPr>
            <w:tcW w:w="11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33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3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Share based compensation expense</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13,336</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13,336</w:t>
            </w:r>
          </w:p>
        </w:tc>
        <w:tc>
          <w:tcPr>
            <w:tcW w:w="0" w:type="dxa"/>
            <w:vAlign w:val="bottom"/>
          </w:tcPr>
          <w:p>
            <w:pPr>
              <w:spacing w:after="0"/>
              <w:rPr>
                <w:sz w:val="1"/>
                <w:szCs w:val="1"/>
                <w:color w:val="auto"/>
              </w:rPr>
            </w:pPr>
          </w:p>
        </w:tc>
      </w:tr>
      <w:tr>
        <w:trPr>
          <w:trHeight w:val="205"/>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Share issuance costs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w:t>
            </w: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200"/>
        </w:trPr>
        <w:tc>
          <w:tcPr>
            <w:tcW w:w="3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June 30, 2024</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82,816,600</w:t>
            </w: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6,720</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6,988,736</w:t>
            </w:r>
          </w:p>
        </w:tc>
        <w:tc>
          <w:tcPr>
            <w:tcW w:w="38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b w:val="1"/>
                <w:bCs w:val="1"/>
                <w:color w:val="auto"/>
                <w:w w:val="9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1,162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(179,559)</w:t>
            </w: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w w:val="9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2,768,067</w:t>
            </w:r>
          </w:p>
        </w:tc>
        <w:tc>
          <w:tcPr>
            <w:tcW w:w="2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w:t>
            </w: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9,585,126</w:t>
            </w:r>
          </w:p>
        </w:tc>
        <w:tc>
          <w:tcPr>
            <w:tcW w:w="0" w:type="dxa"/>
            <w:vAlign w:val="bottom"/>
          </w:tcPr>
          <w:p>
            <w:pPr>
              <w:spacing w:after="0"/>
              <w:rPr>
                <w:sz w:val="1"/>
                <w:szCs w:val="1"/>
                <w:color w:val="auto"/>
              </w:rPr>
            </w:pPr>
          </w:p>
        </w:tc>
      </w:tr>
      <w:tr>
        <w:trPr>
          <w:trHeight w:val="198"/>
        </w:trPr>
        <w:tc>
          <w:tcPr>
            <w:tcW w:w="3340" w:type="dxa"/>
            <w:vAlign w:val="bottom"/>
          </w:tcPr>
          <w:p>
            <w:pPr>
              <w:ind w:left="20"/>
              <w:spacing w:after="0"/>
              <w:rPr>
                <w:sz w:val="20"/>
                <w:szCs w:val="20"/>
                <w:color w:val="auto"/>
              </w:rPr>
            </w:pPr>
            <w:r>
              <w:rPr>
                <w:rFonts w:ascii="Arial" w:cs="Arial" w:eastAsia="Arial" w:hAnsi="Arial"/>
                <w:sz w:val="15"/>
                <w:szCs w:val="15"/>
                <w:color w:val="auto"/>
              </w:rPr>
              <w:t>Comprehensive income, net of tax:</w:t>
            </w: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3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Net income</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197,128</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197,128</w:t>
            </w:r>
          </w:p>
        </w:tc>
        <w:tc>
          <w:tcPr>
            <w:tcW w:w="0" w:type="dxa"/>
            <w:vAlign w:val="bottom"/>
          </w:tcPr>
          <w:p>
            <w:pPr>
              <w:spacing w:after="0"/>
              <w:rPr>
                <w:sz w:val="1"/>
                <w:szCs w:val="1"/>
                <w:color w:val="auto"/>
              </w:rPr>
            </w:pPr>
          </w:p>
        </w:tc>
      </w:tr>
      <w:tr>
        <w:trPr>
          <w:trHeight w:val="205"/>
        </w:trPr>
        <w:tc>
          <w:tcPr>
            <w:tcW w:w="3340" w:type="dxa"/>
            <w:vAlign w:val="bottom"/>
          </w:tcPr>
          <w:p>
            <w:pPr>
              <w:ind w:left="120"/>
              <w:spacing w:after="0"/>
              <w:rPr>
                <w:sz w:val="20"/>
                <w:szCs w:val="20"/>
                <w:color w:val="auto"/>
              </w:rPr>
            </w:pPr>
            <w:r>
              <w:rPr>
                <w:rFonts w:ascii="Arial" w:cs="Arial" w:eastAsia="Arial" w:hAnsi="Arial"/>
                <w:sz w:val="15"/>
                <w:szCs w:val="15"/>
                <w:color w:val="auto"/>
              </w:rPr>
              <w:t>Currency translation adjustment</w:t>
            </w: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69,695</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69,695</w:t>
            </w:r>
          </w:p>
        </w:tc>
        <w:tc>
          <w:tcPr>
            <w:tcW w:w="0" w:type="dxa"/>
            <w:vAlign w:val="bottom"/>
          </w:tcPr>
          <w:p>
            <w:pPr>
              <w:spacing w:after="0"/>
              <w:rPr>
                <w:sz w:val="1"/>
                <w:szCs w:val="1"/>
                <w:color w:val="auto"/>
              </w:rPr>
            </w:pPr>
          </w:p>
        </w:tc>
      </w:tr>
      <w:tr>
        <w:trPr>
          <w:trHeight w:val="207"/>
        </w:trPr>
        <w:tc>
          <w:tcPr>
            <w:tcW w:w="33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Gain on cash flow hedge</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(198)</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(198)</w:t>
            </w:r>
          </w:p>
        </w:tc>
        <w:tc>
          <w:tcPr>
            <w:tcW w:w="0" w:type="dxa"/>
            <w:vAlign w:val="bottom"/>
          </w:tcPr>
          <w:p>
            <w:pPr>
              <w:spacing w:after="0"/>
              <w:rPr>
                <w:sz w:val="1"/>
                <w:szCs w:val="1"/>
                <w:color w:val="auto"/>
              </w:rPr>
            </w:pPr>
          </w:p>
        </w:tc>
      </w:tr>
      <w:tr>
        <w:trPr>
          <w:trHeight w:val="198"/>
        </w:trPr>
        <w:tc>
          <w:tcPr>
            <w:tcW w:w="3340" w:type="dxa"/>
            <w:vAlign w:val="bottom"/>
          </w:tcPr>
          <w:p>
            <w:pPr>
              <w:ind w:left="20"/>
              <w:spacing w:after="0"/>
              <w:rPr>
                <w:sz w:val="20"/>
                <w:szCs w:val="20"/>
                <w:color w:val="auto"/>
              </w:rPr>
            </w:pPr>
            <w:r>
              <w:rPr>
                <w:rFonts w:ascii="Arial" w:cs="Arial" w:eastAsia="Arial" w:hAnsi="Arial"/>
                <w:sz w:val="15"/>
                <w:szCs w:val="15"/>
                <w:b w:val="1"/>
                <w:bCs w:val="1"/>
                <w:color w:val="auto"/>
              </w:rPr>
              <w:t>Total comprehensive income</w:t>
            </w: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266,625</w:t>
            </w:r>
          </w:p>
        </w:tc>
        <w:tc>
          <w:tcPr>
            <w:tcW w:w="0" w:type="dxa"/>
            <w:vAlign w:val="bottom"/>
          </w:tcPr>
          <w:p>
            <w:pPr>
              <w:spacing w:after="0"/>
              <w:rPr>
                <w:sz w:val="1"/>
                <w:szCs w:val="1"/>
                <w:color w:val="auto"/>
              </w:rPr>
            </w:pPr>
          </w:p>
        </w:tc>
      </w:tr>
      <w:tr>
        <w:trPr>
          <w:trHeight w:val="207"/>
        </w:trPr>
        <w:tc>
          <w:tcPr>
            <w:tcW w:w="3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Exercise of share options</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74,151</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10,729</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10,734</w:t>
            </w:r>
          </w:p>
        </w:tc>
        <w:tc>
          <w:tcPr>
            <w:tcW w:w="0" w:type="dxa"/>
            <w:vAlign w:val="bottom"/>
          </w:tcPr>
          <w:p>
            <w:pPr>
              <w:spacing w:after="0"/>
              <w:rPr>
                <w:sz w:val="1"/>
                <w:szCs w:val="1"/>
                <w:color w:val="auto"/>
              </w:rPr>
            </w:pPr>
          </w:p>
        </w:tc>
      </w:tr>
      <w:tr>
        <w:trPr>
          <w:trHeight w:val="155"/>
        </w:trPr>
        <w:tc>
          <w:tcPr>
            <w:tcW w:w="3340" w:type="dxa"/>
            <w:vAlign w:val="bottom"/>
          </w:tcPr>
          <w:p>
            <w:pPr>
              <w:ind w:left="20"/>
              <w:spacing w:after="0" w:line="156" w:lineRule="exact"/>
              <w:rPr>
                <w:sz w:val="20"/>
                <w:szCs w:val="20"/>
                <w:color w:val="auto"/>
              </w:rPr>
            </w:pPr>
            <w:r>
              <w:rPr>
                <w:rFonts w:ascii="Arial" w:cs="Arial" w:eastAsia="Arial" w:hAnsi="Arial"/>
                <w:sz w:val="15"/>
                <w:szCs w:val="15"/>
                <w:color w:val="auto"/>
              </w:rPr>
              <w:t>Issue of restricted share units / performance</w:t>
            </w: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5,685</w:t>
            </w:r>
          </w:p>
        </w:tc>
        <w:tc>
          <w:tcPr>
            <w:tcW w:w="260" w:type="dxa"/>
            <w:vAlign w:val="bottom"/>
          </w:tcPr>
          <w:p>
            <w:pPr>
              <w:spacing w:after="0"/>
              <w:rPr>
                <w:sz w:val="13"/>
                <w:szCs w:val="13"/>
                <w:color w:val="auto"/>
              </w:rPr>
            </w:pPr>
          </w:p>
        </w:tc>
        <w:tc>
          <w:tcPr>
            <w:tcW w:w="82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3"/>
                <w:szCs w:val="13"/>
                <w:color w:val="auto"/>
              </w:rPr>
            </w:pPr>
          </w:p>
        </w:tc>
        <w:tc>
          <w:tcPr>
            <w:tcW w:w="88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88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27"/>
        </w:trPr>
        <w:tc>
          <w:tcPr>
            <w:tcW w:w="3340" w:type="dxa"/>
            <w:vAlign w:val="bottom"/>
            <w:vMerge w:val="restart"/>
          </w:tcPr>
          <w:p>
            <w:pPr>
              <w:ind w:left="20"/>
              <w:spacing w:after="0"/>
              <w:rPr>
                <w:sz w:val="20"/>
                <w:szCs w:val="20"/>
                <w:color w:val="auto"/>
              </w:rPr>
            </w:pPr>
            <w:r>
              <w:rPr>
                <w:rFonts w:ascii="Arial" w:cs="Arial" w:eastAsia="Arial" w:hAnsi="Arial"/>
                <w:sz w:val="15"/>
                <w:szCs w:val="15"/>
                <w:color w:val="auto"/>
              </w:rPr>
              <w:t>share units</w:t>
            </w:r>
          </w:p>
        </w:tc>
        <w:tc>
          <w:tcPr>
            <w:tcW w:w="11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33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3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Share based compensation expense</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12,085</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12,085</w:t>
            </w:r>
          </w:p>
        </w:tc>
        <w:tc>
          <w:tcPr>
            <w:tcW w:w="0" w:type="dxa"/>
            <w:vAlign w:val="bottom"/>
          </w:tcPr>
          <w:p>
            <w:pPr>
              <w:spacing w:after="0"/>
              <w:rPr>
                <w:sz w:val="1"/>
                <w:szCs w:val="1"/>
                <w:color w:val="auto"/>
              </w:rPr>
            </w:pPr>
          </w:p>
        </w:tc>
      </w:tr>
      <w:tr>
        <w:trPr>
          <w:trHeight w:val="205"/>
        </w:trPr>
        <w:tc>
          <w:tcPr>
            <w:tcW w:w="3340" w:type="dxa"/>
            <w:vAlign w:val="bottom"/>
          </w:tcPr>
          <w:p>
            <w:pPr>
              <w:ind w:left="20"/>
              <w:spacing w:after="0"/>
              <w:rPr>
                <w:sz w:val="20"/>
                <w:szCs w:val="20"/>
                <w:color w:val="auto"/>
              </w:rPr>
            </w:pPr>
            <w:r>
              <w:rPr>
                <w:rFonts w:ascii="Arial" w:cs="Arial" w:eastAsia="Arial" w:hAnsi="Arial"/>
                <w:sz w:val="15"/>
                <w:szCs w:val="15"/>
                <w:color w:val="auto"/>
              </w:rPr>
              <w:t>Share issuance costs</w:t>
            </w: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07"/>
        </w:trPr>
        <w:tc>
          <w:tcPr>
            <w:tcW w:w="3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Repurchase of ordinary shares</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(337,070)</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(100,000)</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(100,000)</w:t>
            </w:r>
          </w:p>
        </w:tc>
        <w:tc>
          <w:tcPr>
            <w:tcW w:w="0" w:type="dxa"/>
            <w:vAlign w:val="bottom"/>
          </w:tcPr>
          <w:p>
            <w:pPr>
              <w:spacing w:after="0"/>
              <w:rPr>
                <w:sz w:val="1"/>
                <w:szCs w:val="1"/>
                <w:color w:val="auto"/>
              </w:rPr>
            </w:pPr>
          </w:p>
        </w:tc>
      </w:tr>
      <w:tr>
        <w:trPr>
          <w:trHeight w:val="205"/>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Share repurchase costs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w:t>
            </w:r>
          </w:p>
        </w:tc>
        <w:tc>
          <w:tcPr>
            <w:tcW w:w="0" w:type="dxa"/>
            <w:vAlign w:val="bottom"/>
          </w:tcPr>
          <w:p>
            <w:pPr>
              <w:spacing w:after="0"/>
              <w:rPr>
                <w:sz w:val="1"/>
                <w:szCs w:val="1"/>
                <w:color w:val="auto"/>
              </w:rPr>
            </w:pPr>
          </w:p>
        </w:tc>
      </w:tr>
      <w:tr>
        <w:trPr>
          <w:trHeight w:val="200"/>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Balance at September 30, 2024</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82,559,366</w:t>
            </w:r>
          </w:p>
        </w:tc>
        <w:tc>
          <w:tcPr>
            <w:tcW w:w="2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6,703</w:t>
            </w: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8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7,011,547</w:t>
            </w:r>
          </w:p>
        </w:tc>
        <w:tc>
          <w:tcPr>
            <w:tcW w:w="38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b w:val="1"/>
                <w:bCs w:val="1"/>
                <w:color w:val="auto"/>
                <w:w w:val="95"/>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1,184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(110,062)</w:t>
            </w: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w w:val="95"/>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2,865,127</w:t>
            </w:r>
          </w:p>
        </w:tc>
        <w:tc>
          <w:tcPr>
            <w:tcW w:w="2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w:t>
            </w:r>
          </w:p>
        </w:tc>
        <w:tc>
          <w:tcPr>
            <w:tcW w:w="8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9,774,499</w:t>
            </w:r>
          </w:p>
        </w:tc>
        <w:tc>
          <w:tcPr>
            <w:tcW w:w="0" w:type="dxa"/>
            <w:vAlign w:val="bottom"/>
          </w:tcPr>
          <w:p>
            <w:pPr>
              <w:spacing w:after="0"/>
              <w:rPr>
                <w:sz w:val="1"/>
                <w:szCs w:val="1"/>
                <w:color w:val="auto"/>
              </w:rPr>
            </w:pPr>
          </w:p>
        </w:tc>
      </w:tr>
      <w:tr>
        <w:trPr>
          <w:trHeight w:val="20"/>
        </w:trPr>
        <w:tc>
          <w:tcPr>
            <w:tcW w:w="3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The accompanying notes are an integral part of these unaudited condensed consolidated financial statements.</w:t>
      </w:r>
    </w:p>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65405</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1092" w:right="33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5"/>
          <w:szCs w:val="15"/>
          <w:b w:val="1"/>
          <w:bCs w:val="1"/>
          <w:color w:val="auto"/>
        </w:rPr>
        <w:t>ICON plc</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CONDENSED CONSOLIDATED STATEMENTS OF CASH FLOWS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FOR THE NINE MONTHS ENDED SEPTEMBER 30, 2025 AND SEPTEMBER 30, 2024</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(UNAUDITED)</w:t>
      </w:r>
    </w:p>
    <w:p>
      <w:pPr>
        <w:spacing w:after="0" w:line="44" w:lineRule="exact"/>
        <w:rPr>
          <w:sz w:val="20"/>
          <w:szCs w:val="20"/>
          <w:color w:val="auto"/>
        </w:rPr>
      </w:pPr>
    </w:p>
    <w:p>
      <w:pPr>
        <w:ind w:left="8740"/>
        <w:spacing w:after="0"/>
        <w:rPr>
          <w:sz w:val="20"/>
          <w:szCs w:val="20"/>
          <w:color w:val="auto"/>
        </w:rPr>
      </w:pPr>
      <w:r>
        <w:rPr>
          <w:rFonts w:ascii="Arial" w:cs="Arial" w:eastAsia="Arial" w:hAnsi="Arial"/>
          <w:sz w:val="15"/>
          <w:szCs w:val="15"/>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6999605" cy="1308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9605" cy="130810"/>
                    </a:xfrm>
                    <a:prstGeom prst="rect">
                      <a:avLst/>
                    </a:prstGeom>
                    <a:noFill/>
                  </pic:spPr>
                </pic:pic>
              </a:graphicData>
            </a:graphic>
          </wp:anchor>
        </w:drawing>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70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5"/>
                <w:szCs w:val="15"/>
                <w:b w:val="1"/>
                <w:bCs w:val="1"/>
                <w:color w:val="auto"/>
              </w:rPr>
              <w:t>September 30,</w:t>
            </w:r>
          </w:p>
        </w:tc>
        <w:tc>
          <w:tcPr>
            <w:tcW w:w="3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5"/>
                <w:szCs w:val="15"/>
                <w:b w:val="1"/>
                <w:bCs w:val="1"/>
                <w:color w:val="auto"/>
              </w:rPr>
              <w:t>September 30,</w:t>
            </w:r>
          </w:p>
        </w:tc>
      </w:tr>
      <w:tr>
        <w:trPr>
          <w:trHeight w:val="206"/>
        </w:trPr>
        <w:tc>
          <w:tcPr>
            <w:tcW w:w="70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r>
      <w:tr>
        <w:trPr>
          <w:trHeight w:val="199"/>
        </w:trPr>
        <w:tc>
          <w:tcPr>
            <w:tcW w:w="70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20" w:type="dxa"/>
            <w:vAlign w:val="bottom"/>
            <w:gridSpan w:val="3"/>
            <w:shd w:val="clear" w:color="auto" w:fill="CCEEFF"/>
          </w:tcPr>
          <w:p>
            <w:pPr>
              <w:jc w:val="right"/>
              <w:ind w:right="943"/>
              <w:spacing w:after="0"/>
              <w:rPr>
                <w:sz w:val="20"/>
                <w:szCs w:val="20"/>
                <w:color w:val="auto"/>
              </w:rPr>
            </w:pPr>
            <w:r>
              <w:rPr>
                <w:rFonts w:ascii="Arial" w:cs="Arial" w:eastAsia="Arial" w:hAnsi="Arial"/>
                <w:sz w:val="15"/>
                <w:szCs w:val="15"/>
                <w:b w:val="1"/>
                <w:bCs w:val="1"/>
                <w:color w:val="auto"/>
              </w:rPr>
              <w:t>(in thousands)</w:t>
            </w:r>
          </w:p>
        </w:tc>
      </w:tr>
      <w:tr>
        <w:trPr>
          <w:trHeight w:val="206"/>
        </w:trPr>
        <w:tc>
          <w:tcPr>
            <w:tcW w:w="7000" w:type="dxa"/>
            <w:vAlign w:val="bottom"/>
          </w:tcPr>
          <w:p>
            <w:pPr>
              <w:ind w:left="120"/>
              <w:spacing w:after="0"/>
              <w:rPr>
                <w:sz w:val="20"/>
                <w:szCs w:val="20"/>
                <w:color w:val="auto"/>
              </w:rPr>
            </w:pPr>
            <w:r>
              <w:rPr>
                <w:rFonts w:ascii="Arial" w:cs="Arial" w:eastAsia="Arial" w:hAnsi="Arial"/>
                <w:sz w:val="15"/>
                <w:szCs w:val="15"/>
                <w:b w:val="1"/>
                <w:bCs w:val="1"/>
                <w:color w:val="auto"/>
              </w:rPr>
              <w:t>Cash flows provided by operating activities:</w:t>
            </w: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6"/>
        </w:trPr>
        <w:tc>
          <w:tcPr>
            <w:tcW w:w="70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Net income</w:t>
            </w:r>
          </w:p>
        </w:tc>
        <w:tc>
          <w:tcPr>
            <w:tcW w:w="120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339,478</w:t>
            </w:r>
          </w:p>
        </w:tc>
        <w:tc>
          <w:tcPr>
            <w:tcW w:w="30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w:t>
            </w: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531,476</w:t>
            </w:r>
          </w:p>
        </w:tc>
      </w:tr>
      <w:tr>
        <w:trPr>
          <w:trHeight w:val="245"/>
        </w:trPr>
        <w:tc>
          <w:tcPr>
            <w:tcW w:w="70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06"/>
        </w:trPr>
        <w:tc>
          <w:tcPr>
            <w:tcW w:w="70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1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05"/>
        </w:trPr>
        <w:tc>
          <w:tcPr>
            <w:tcW w:w="7000" w:type="dxa"/>
            <w:vAlign w:val="bottom"/>
          </w:tcPr>
          <w:p>
            <w:pPr>
              <w:ind w:left="200"/>
              <w:spacing w:after="0"/>
              <w:rPr>
                <w:sz w:val="20"/>
                <w:szCs w:val="20"/>
                <w:color w:val="auto"/>
              </w:rPr>
            </w:pPr>
            <w:r>
              <w:rPr>
                <w:rFonts w:ascii="Arial" w:cs="Arial" w:eastAsia="Arial" w:hAnsi="Arial"/>
                <w:sz w:val="15"/>
                <w:szCs w:val="15"/>
                <w:color w:val="auto"/>
              </w:rPr>
              <w:t>Depreciation and amortization expense</w:t>
            </w:r>
          </w:p>
        </w:tc>
        <w:tc>
          <w:tcPr>
            <w:tcW w:w="1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292,171</w:t>
            </w:r>
          </w:p>
        </w:tc>
        <w:tc>
          <w:tcPr>
            <w:tcW w:w="300" w:type="dxa"/>
            <w:vAlign w:val="bottom"/>
          </w:tcPr>
          <w:p>
            <w:pPr>
              <w:spacing w:after="0"/>
              <w:rPr>
                <w:sz w:val="17"/>
                <w:szCs w:val="17"/>
                <w:color w:val="auto"/>
              </w:rPr>
            </w:pPr>
          </w:p>
        </w:tc>
        <w:tc>
          <w:tcPr>
            <w:tcW w:w="1260" w:type="dxa"/>
            <w:vAlign w:val="bottom"/>
          </w:tcPr>
          <w:p>
            <w:pPr>
              <w:jc w:val="right"/>
              <w:ind w:right="3"/>
              <w:spacing w:after="0"/>
              <w:rPr>
                <w:sz w:val="20"/>
                <w:szCs w:val="20"/>
                <w:color w:val="auto"/>
              </w:rPr>
            </w:pPr>
            <w:r>
              <w:rPr>
                <w:rFonts w:ascii="Arial" w:cs="Arial" w:eastAsia="Arial" w:hAnsi="Arial"/>
                <w:sz w:val="15"/>
                <w:szCs w:val="15"/>
                <w:color w:val="auto"/>
              </w:rPr>
              <w:t>391,845</w:t>
            </w:r>
          </w:p>
        </w:tc>
      </w:tr>
      <w:tr>
        <w:trPr>
          <w:trHeight w:val="207"/>
        </w:trPr>
        <w:tc>
          <w:tcPr>
            <w:tcW w:w="70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Goodwill impairment</w:t>
            </w:r>
          </w:p>
        </w:tc>
        <w:tc>
          <w:tcPr>
            <w:tcW w:w="1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165,300</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r>
      <w:tr>
        <w:trPr>
          <w:trHeight w:val="205"/>
        </w:trPr>
        <w:tc>
          <w:tcPr>
            <w:tcW w:w="7000" w:type="dxa"/>
            <w:vAlign w:val="bottom"/>
          </w:tcPr>
          <w:p>
            <w:pPr>
              <w:ind w:left="200"/>
              <w:spacing w:after="0"/>
              <w:rPr>
                <w:sz w:val="20"/>
                <w:szCs w:val="20"/>
                <w:color w:val="auto"/>
              </w:rPr>
            </w:pPr>
            <w:r>
              <w:rPr>
                <w:rFonts w:ascii="Arial" w:cs="Arial" w:eastAsia="Arial" w:hAnsi="Arial"/>
                <w:sz w:val="15"/>
                <w:szCs w:val="15"/>
                <w:color w:val="auto"/>
              </w:rPr>
              <w:t>Impairment of operating right-of-use assets and related property, plant and equipment</w:t>
            </w:r>
          </w:p>
        </w:tc>
        <w:tc>
          <w:tcPr>
            <w:tcW w:w="1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5,573</w:t>
            </w:r>
          </w:p>
        </w:tc>
        <w:tc>
          <w:tcPr>
            <w:tcW w:w="300" w:type="dxa"/>
            <w:vAlign w:val="bottom"/>
          </w:tcPr>
          <w:p>
            <w:pPr>
              <w:spacing w:after="0"/>
              <w:rPr>
                <w:sz w:val="17"/>
                <w:szCs w:val="17"/>
                <w:color w:val="auto"/>
              </w:rPr>
            </w:pPr>
          </w:p>
        </w:tc>
        <w:tc>
          <w:tcPr>
            <w:tcW w:w="1260" w:type="dxa"/>
            <w:vAlign w:val="bottom"/>
          </w:tcPr>
          <w:p>
            <w:pPr>
              <w:jc w:val="right"/>
              <w:ind w:right="3"/>
              <w:spacing w:after="0"/>
              <w:rPr>
                <w:sz w:val="20"/>
                <w:szCs w:val="20"/>
                <w:color w:val="auto"/>
              </w:rPr>
            </w:pPr>
            <w:r>
              <w:rPr>
                <w:rFonts w:ascii="Arial" w:cs="Arial" w:eastAsia="Arial" w:hAnsi="Arial"/>
                <w:sz w:val="15"/>
                <w:szCs w:val="15"/>
                <w:color w:val="auto"/>
              </w:rPr>
              <w:t>12,559</w:t>
            </w:r>
          </w:p>
        </w:tc>
      </w:tr>
      <w:tr>
        <w:trPr>
          <w:trHeight w:val="207"/>
        </w:trPr>
        <w:tc>
          <w:tcPr>
            <w:tcW w:w="70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Reduction in carrying value of operating right-of-use assets</w:t>
            </w:r>
          </w:p>
        </w:tc>
        <w:tc>
          <w:tcPr>
            <w:tcW w:w="1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29,473</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29,820</w:t>
            </w:r>
          </w:p>
        </w:tc>
      </w:tr>
      <w:tr>
        <w:trPr>
          <w:trHeight w:val="205"/>
        </w:trPr>
        <w:tc>
          <w:tcPr>
            <w:tcW w:w="7000" w:type="dxa"/>
            <w:vAlign w:val="bottom"/>
          </w:tcPr>
          <w:p>
            <w:pPr>
              <w:ind w:left="200"/>
              <w:spacing w:after="0"/>
              <w:rPr>
                <w:sz w:val="20"/>
                <w:szCs w:val="20"/>
                <w:color w:val="auto"/>
              </w:rPr>
            </w:pPr>
            <w:r>
              <w:rPr>
                <w:rFonts w:ascii="Arial" w:cs="Arial" w:eastAsia="Arial" w:hAnsi="Arial"/>
                <w:sz w:val="15"/>
                <w:szCs w:val="15"/>
                <w:color w:val="auto"/>
              </w:rPr>
              <w:t>Amortization of financing costs and debt discount</w:t>
            </w:r>
          </w:p>
        </w:tc>
        <w:tc>
          <w:tcPr>
            <w:tcW w:w="1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4,470</w:t>
            </w:r>
          </w:p>
        </w:tc>
        <w:tc>
          <w:tcPr>
            <w:tcW w:w="300" w:type="dxa"/>
            <w:vAlign w:val="bottom"/>
          </w:tcPr>
          <w:p>
            <w:pPr>
              <w:spacing w:after="0"/>
              <w:rPr>
                <w:sz w:val="17"/>
                <w:szCs w:val="17"/>
                <w:color w:val="auto"/>
              </w:rPr>
            </w:pPr>
          </w:p>
        </w:tc>
        <w:tc>
          <w:tcPr>
            <w:tcW w:w="1260" w:type="dxa"/>
            <w:vAlign w:val="bottom"/>
          </w:tcPr>
          <w:p>
            <w:pPr>
              <w:jc w:val="right"/>
              <w:ind w:right="3"/>
              <w:spacing w:after="0"/>
              <w:rPr>
                <w:sz w:val="20"/>
                <w:szCs w:val="20"/>
                <w:color w:val="auto"/>
              </w:rPr>
            </w:pPr>
            <w:r>
              <w:rPr>
                <w:rFonts w:ascii="Arial" w:cs="Arial" w:eastAsia="Arial" w:hAnsi="Arial"/>
                <w:sz w:val="15"/>
                <w:szCs w:val="15"/>
                <w:color w:val="auto"/>
              </w:rPr>
              <w:t>22,066</w:t>
            </w:r>
          </w:p>
        </w:tc>
      </w:tr>
      <w:tr>
        <w:trPr>
          <w:trHeight w:val="207"/>
        </w:trPr>
        <w:tc>
          <w:tcPr>
            <w:tcW w:w="70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Stock compensation expense</w:t>
            </w:r>
          </w:p>
        </w:tc>
        <w:tc>
          <w:tcPr>
            <w:tcW w:w="1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72,529</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41,183</w:t>
            </w:r>
          </w:p>
        </w:tc>
      </w:tr>
      <w:tr>
        <w:trPr>
          <w:trHeight w:val="205"/>
        </w:trPr>
        <w:tc>
          <w:tcPr>
            <w:tcW w:w="7000" w:type="dxa"/>
            <w:vAlign w:val="bottom"/>
          </w:tcPr>
          <w:p>
            <w:pPr>
              <w:ind w:left="200"/>
              <w:spacing w:after="0"/>
              <w:rPr>
                <w:sz w:val="20"/>
                <w:szCs w:val="20"/>
                <w:color w:val="auto"/>
              </w:rPr>
            </w:pPr>
            <w:r>
              <w:rPr>
                <w:rFonts w:ascii="Arial" w:cs="Arial" w:eastAsia="Arial" w:hAnsi="Arial"/>
                <w:sz w:val="15"/>
                <w:szCs w:val="15"/>
                <w:color w:val="auto"/>
              </w:rPr>
              <w:t>Deferred tax benefit</w:t>
            </w:r>
          </w:p>
        </w:tc>
        <w:tc>
          <w:tcPr>
            <w:tcW w:w="1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(91,788)</w:t>
            </w: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(86,579)</w:t>
            </w:r>
          </w:p>
        </w:tc>
      </w:tr>
      <w:tr>
        <w:trPr>
          <w:trHeight w:val="207"/>
        </w:trPr>
        <w:tc>
          <w:tcPr>
            <w:tcW w:w="70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Unrealized foreign exchange movements</w:t>
            </w:r>
          </w:p>
        </w:tc>
        <w:tc>
          <w:tcPr>
            <w:tcW w:w="1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24,661</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34,018</w:t>
            </w:r>
          </w:p>
        </w:tc>
      </w:tr>
      <w:tr>
        <w:trPr>
          <w:trHeight w:val="205"/>
        </w:trPr>
        <w:tc>
          <w:tcPr>
            <w:tcW w:w="7000" w:type="dxa"/>
            <w:vAlign w:val="bottom"/>
          </w:tcPr>
          <w:p>
            <w:pPr>
              <w:ind w:left="200"/>
              <w:spacing w:after="0"/>
              <w:rPr>
                <w:sz w:val="20"/>
                <w:szCs w:val="20"/>
                <w:color w:val="auto"/>
              </w:rPr>
            </w:pPr>
            <w:r>
              <w:rPr>
                <w:rFonts w:ascii="Arial" w:cs="Arial" w:eastAsia="Arial" w:hAnsi="Arial"/>
                <w:sz w:val="15"/>
                <w:szCs w:val="15"/>
                <w:color w:val="auto"/>
              </w:rPr>
              <w:t>Other non-cash items</w:t>
            </w:r>
          </w:p>
        </w:tc>
        <w:tc>
          <w:tcPr>
            <w:tcW w:w="1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20,561</w:t>
            </w:r>
          </w:p>
        </w:tc>
        <w:tc>
          <w:tcPr>
            <w:tcW w:w="300" w:type="dxa"/>
            <w:vAlign w:val="bottom"/>
          </w:tcPr>
          <w:p>
            <w:pPr>
              <w:spacing w:after="0"/>
              <w:rPr>
                <w:sz w:val="17"/>
                <w:szCs w:val="17"/>
                <w:color w:val="auto"/>
              </w:rPr>
            </w:pPr>
          </w:p>
        </w:tc>
        <w:tc>
          <w:tcPr>
            <w:tcW w:w="1260" w:type="dxa"/>
            <w:vAlign w:val="bottom"/>
          </w:tcPr>
          <w:p>
            <w:pPr>
              <w:jc w:val="right"/>
              <w:ind w:right="3"/>
              <w:spacing w:after="0"/>
              <w:rPr>
                <w:sz w:val="20"/>
                <w:szCs w:val="20"/>
                <w:color w:val="auto"/>
              </w:rPr>
            </w:pPr>
            <w:r>
              <w:rPr>
                <w:rFonts w:ascii="Arial" w:cs="Arial" w:eastAsia="Arial" w:hAnsi="Arial"/>
                <w:sz w:val="15"/>
                <w:szCs w:val="15"/>
                <w:color w:val="auto"/>
              </w:rPr>
              <w:t>26,828</w:t>
            </w:r>
          </w:p>
        </w:tc>
      </w:tr>
      <w:tr>
        <w:trPr>
          <w:trHeight w:val="207"/>
        </w:trPr>
        <w:tc>
          <w:tcPr>
            <w:tcW w:w="70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Changes in operating assets and liabilities:</w:t>
            </w:r>
          </w:p>
        </w:tc>
        <w:tc>
          <w:tcPr>
            <w:tcW w:w="1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05"/>
        </w:trPr>
        <w:tc>
          <w:tcPr>
            <w:tcW w:w="7000" w:type="dxa"/>
            <w:vAlign w:val="bottom"/>
          </w:tcPr>
          <w:p>
            <w:pPr>
              <w:ind w:left="200"/>
              <w:spacing w:after="0"/>
              <w:rPr>
                <w:sz w:val="20"/>
                <w:szCs w:val="20"/>
                <w:color w:val="auto"/>
              </w:rPr>
            </w:pPr>
            <w:r>
              <w:rPr>
                <w:rFonts w:ascii="Arial" w:cs="Arial" w:eastAsia="Arial" w:hAnsi="Arial"/>
                <w:sz w:val="15"/>
                <w:szCs w:val="15"/>
                <w:color w:val="auto"/>
              </w:rPr>
              <w:t>Accounts receivable</w:t>
            </w:r>
          </w:p>
        </w:tc>
        <w:tc>
          <w:tcPr>
            <w:tcW w:w="1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1,013</w:t>
            </w:r>
          </w:p>
        </w:tc>
        <w:tc>
          <w:tcPr>
            <w:tcW w:w="300" w:type="dxa"/>
            <w:vAlign w:val="bottom"/>
          </w:tcPr>
          <w:p>
            <w:pPr>
              <w:spacing w:after="0"/>
              <w:rPr>
                <w:sz w:val="17"/>
                <w:szCs w:val="17"/>
                <w:color w:val="auto"/>
              </w:rPr>
            </w:pPr>
          </w:p>
        </w:tc>
        <w:tc>
          <w:tcPr>
            <w:tcW w:w="1260" w:type="dxa"/>
            <w:vAlign w:val="bottom"/>
          </w:tcPr>
          <w:p>
            <w:pPr>
              <w:jc w:val="right"/>
              <w:ind w:right="3"/>
              <w:spacing w:after="0"/>
              <w:rPr>
                <w:sz w:val="20"/>
                <w:szCs w:val="20"/>
                <w:color w:val="auto"/>
              </w:rPr>
            </w:pPr>
            <w:r>
              <w:rPr>
                <w:rFonts w:ascii="Arial" w:cs="Arial" w:eastAsia="Arial" w:hAnsi="Arial"/>
                <w:sz w:val="15"/>
                <w:szCs w:val="15"/>
                <w:color w:val="auto"/>
              </w:rPr>
              <w:t>352,795</w:t>
            </w:r>
          </w:p>
        </w:tc>
      </w:tr>
      <w:tr>
        <w:trPr>
          <w:trHeight w:val="207"/>
        </w:trPr>
        <w:tc>
          <w:tcPr>
            <w:tcW w:w="70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Unbilled revenue</w:t>
            </w:r>
          </w:p>
        </w:tc>
        <w:tc>
          <w:tcPr>
            <w:tcW w:w="1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25,979</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(423,533)</w:t>
            </w:r>
          </w:p>
        </w:tc>
      </w:tr>
      <w:tr>
        <w:trPr>
          <w:trHeight w:val="205"/>
        </w:trPr>
        <w:tc>
          <w:tcPr>
            <w:tcW w:w="7000" w:type="dxa"/>
            <w:vAlign w:val="bottom"/>
          </w:tcPr>
          <w:p>
            <w:pPr>
              <w:ind w:left="200"/>
              <w:spacing w:after="0"/>
              <w:rPr>
                <w:sz w:val="20"/>
                <w:szCs w:val="20"/>
                <w:color w:val="auto"/>
              </w:rPr>
            </w:pPr>
            <w:r>
              <w:rPr>
                <w:rFonts w:ascii="Arial" w:cs="Arial" w:eastAsia="Arial" w:hAnsi="Arial"/>
                <w:sz w:val="15"/>
                <w:szCs w:val="15"/>
                <w:color w:val="auto"/>
              </w:rPr>
              <w:t>Unearned revenue</w:t>
            </w:r>
          </w:p>
        </w:tc>
        <w:tc>
          <w:tcPr>
            <w:tcW w:w="1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(101,089)</w:t>
            </w: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(72,930)</w:t>
            </w:r>
          </w:p>
        </w:tc>
      </w:tr>
      <w:tr>
        <w:trPr>
          <w:trHeight w:val="206"/>
        </w:trPr>
        <w:tc>
          <w:tcPr>
            <w:tcW w:w="70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5"/>
                <w:szCs w:val="15"/>
                <w:color w:val="auto"/>
              </w:rPr>
              <w:t>Other net assets and liabilities</w:t>
            </w:r>
          </w:p>
        </w:tc>
        <w:tc>
          <w:tcPr>
            <w:tcW w:w="12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13,712</w:t>
            </w:r>
          </w:p>
        </w:tc>
        <w:tc>
          <w:tcPr>
            <w:tcW w:w="3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88,790</w:t>
            </w:r>
          </w:p>
        </w:tc>
      </w:tr>
      <w:tr>
        <w:trPr>
          <w:trHeight w:val="199"/>
        </w:trPr>
        <w:tc>
          <w:tcPr>
            <w:tcW w:w="7000" w:type="dxa"/>
            <w:vAlign w:val="bottom"/>
          </w:tcPr>
          <w:p>
            <w:pPr>
              <w:ind w:left="120"/>
              <w:spacing w:after="0"/>
              <w:rPr>
                <w:sz w:val="20"/>
                <w:szCs w:val="20"/>
                <w:color w:val="auto"/>
              </w:rPr>
            </w:pPr>
            <w:r>
              <w:rPr>
                <w:rFonts w:ascii="Arial" w:cs="Arial" w:eastAsia="Arial" w:hAnsi="Arial"/>
                <w:sz w:val="15"/>
                <w:szCs w:val="15"/>
                <w:color w:val="auto"/>
              </w:rPr>
              <w:t>Net cash provided by operating activities</w:t>
            </w:r>
          </w:p>
        </w:tc>
        <w:tc>
          <w:tcPr>
            <w:tcW w:w="1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802,043</w:t>
            </w:r>
          </w:p>
        </w:tc>
        <w:tc>
          <w:tcPr>
            <w:tcW w:w="300" w:type="dxa"/>
            <w:vAlign w:val="bottom"/>
          </w:tcPr>
          <w:p>
            <w:pPr>
              <w:spacing w:after="0"/>
              <w:rPr>
                <w:sz w:val="17"/>
                <w:szCs w:val="17"/>
                <w:color w:val="auto"/>
              </w:rPr>
            </w:pPr>
          </w:p>
        </w:tc>
        <w:tc>
          <w:tcPr>
            <w:tcW w:w="1260" w:type="dxa"/>
            <w:vAlign w:val="bottom"/>
          </w:tcPr>
          <w:p>
            <w:pPr>
              <w:jc w:val="right"/>
              <w:ind w:right="3"/>
              <w:spacing w:after="0"/>
              <w:rPr>
                <w:sz w:val="20"/>
                <w:szCs w:val="20"/>
                <w:color w:val="auto"/>
              </w:rPr>
            </w:pPr>
            <w:r>
              <w:rPr>
                <w:rFonts w:ascii="Arial" w:cs="Arial" w:eastAsia="Arial" w:hAnsi="Arial"/>
                <w:sz w:val="15"/>
                <w:szCs w:val="15"/>
                <w:color w:val="auto"/>
              </w:rPr>
              <w:t>948,338</w:t>
            </w:r>
          </w:p>
        </w:tc>
      </w:tr>
      <w:tr>
        <w:trPr>
          <w:trHeight w:val="246"/>
        </w:trPr>
        <w:tc>
          <w:tcPr>
            <w:tcW w:w="70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06"/>
        </w:trPr>
        <w:tc>
          <w:tcPr>
            <w:tcW w:w="7000" w:type="dxa"/>
            <w:vAlign w:val="bottom"/>
          </w:tcPr>
          <w:p>
            <w:pPr>
              <w:ind w:left="120"/>
              <w:spacing w:after="0"/>
              <w:rPr>
                <w:sz w:val="20"/>
                <w:szCs w:val="20"/>
                <w:color w:val="auto"/>
              </w:rPr>
            </w:pPr>
            <w:r>
              <w:rPr>
                <w:rFonts w:ascii="Arial" w:cs="Arial" w:eastAsia="Arial" w:hAnsi="Arial"/>
                <w:sz w:val="15"/>
                <w:szCs w:val="15"/>
                <w:b w:val="1"/>
                <w:bCs w:val="1"/>
                <w:color w:val="auto"/>
              </w:rPr>
              <w:t>Cash flows used in investing activities:</w:t>
            </w: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6"/>
        </w:trPr>
        <w:tc>
          <w:tcPr>
            <w:tcW w:w="70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Purchase of property, plant and equipment</w:t>
            </w:r>
          </w:p>
        </w:tc>
        <w:tc>
          <w:tcPr>
            <w:tcW w:w="12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(114,885)</w:t>
            </w: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(106,772)</w:t>
            </w:r>
          </w:p>
        </w:tc>
      </w:tr>
      <w:tr>
        <w:trPr>
          <w:trHeight w:val="205"/>
        </w:trPr>
        <w:tc>
          <w:tcPr>
            <w:tcW w:w="7000" w:type="dxa"/>
            <w:vAlign w:val="bottom"/>
          </w:tcPr>
          <w:p>
            <w:pPr>
              <w:ind w:left="200"/>
              <w:spacing w:after="0"/>
              <w:rPr>
                <w:sz w:val="20"/>
                <w:szCs w:val="20"/>
                <w:color w:val="auto"/>
              </w:rPr>
            </w:pPr>
            <w:r>
              <w:rPr>
                <w:rFonts w:ascii="Arial" w:cs="Arial" w:eastAsia="Arial" w:hAnsi="Arial"/>
                <w:sz w:val="15"/>
                <w:szCs w:val="15"/>
                <w:color w:val="auto"/>
              </w:rPr>
              <w:t>Purchase of subsidiary undertakings (net of cash acquired)</w:t>
            </w:r>
          </w:p>
        </w:tc>
        <w:tc>
          <w:tcPr>
            <w:tcW w:w="1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(2,537)</w:t>
            </w: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(85,629)</w:t>
            </w:r>
          </w:p>
        </w:tc>
      </w:tr>
      <w:tr>
        <w:trPr>
          <w:trHeight w:val="207"/>
        </w:trPr>
        <w:tc>
          <w:tcPr>
            <w:tcW w:w="70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Movement of available for sale investments</w:t>
            </w:r>
          </w:p>
        </w:tc>
        <w:tc>
          <w:tcPr>
            <w:tcW w:w="1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1,954</w:t>
            </w:r>
          </w:p>
        </w:tc>
      </w:tr>
      <w:tr>
        <w:trPr>
          <w:trHeight w:val="205"/>
        </w:trPr>
        <w:tc>
          <w:tcPr>
            <w:tcW w:w="7000" w:type="dxa"/>
            <w:vAlign w:val="bottom"/>
          </w:tcPr>
          <w:p>
            <w:pPr>
              <w:ind w:left="200"/>
              <w:spacing w:after="0"/>
              <w:rPr>
                <w:sz w:val="20"/>
                <w:szCs w:val="20"/>
                <w:color w:val="auto"/>
              </w:rPr>
            </w:pPr>
            <w:r>
              <w:rPr>
                <w:rFonts w:ascii="Arial" w:cs="Arial" w:eastAsia="Arial" w:hAnsi="Arial"/>
                <w:sz w:val="15"/>
                <w:szCs w:val="15"/>
                <w:color w:val="auto"/>
              </w:rPr>
              <w:t>Proceeds from investments in equity</w:t>
            </w:r>
          </w:p>
        </w:tc>
        <w:tc>
          <w:tcPr>
            <w:tcW w:w="1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2,114</w:t>
            </w:r>
          </w:p>
        </w:tc>
        <w:tc>
          <w:tcPr>
            <w:tcW w:w="300" w:type="dxa"/>
            <w:vAlign w:val="bottom"/>
          </w:tcPr>
          <w:p>
            <w:pPr>
              <w:spacing w:after="0"/>
              <w:rPr>
                <w:sz w:val="17"/>
                <w:szCs w:val="17"/>
                <w:color w:val="auto"/>
              </w:rPr>
            </w:pPr>
          </w:p>
        </w:tc>
        <w:tc>
          <w:tcPr>
            <w:tcW w:w="1260" w:type="dxa"/>
            <w:vAlign w:val="bottom"/>
          </w:tcPr>
          <w:p>
            <w:pPr>
              <w:jc w:val="right"/>
              <w:ind w:right="3"/>
              <w:spacing w:after="0"/>
              <w:rPr>
                <w:sz w:val="20"/>
                <w:szCs w:val="20"/>
                <w:color w:val="auto"/>
              </w:rPr>
            </w:pPr>
            <w:r>
              <w:rPr>
                <w:rFonts w:ascii="Arial" w:cs="Arial" w:eastAsia="Arial" w:hAnsi="Arial"/>
                <w:sz w:val="15"/>
                <w:szCs w:val="15"/>
                <w:color w:val="auto"/>
              </w:rPr>
              <w:t>2,671</w:t>
            </w:r>
          </w:p>
        </w:tc>
      </w:tr>
      <w:tr>
        <w:trPr>
          <w:trHeight w:val="206"/>
        </w:trPr>
        <w:tc>
          <w:tcPr>
            <w:tcW w:w="70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5"/>
                <w:szCs w:val="15"/>
                <w:color w:val="auto"/>
              </w:rPr>
              <w:t>Purchase of investments in equity</w:t>
            </w:r>
          </w:p>
        </w:tc>
        <w:tc>
          <w:tcPr>
            <w:tcW w:w="12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(16,286)</w:t>
            </w:r>
          </w:p>
        </w:tc>
        <w:tc>
          <w:tcPr>
            <w:tcW w:w="3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(10,131)</w:t>
            </w:r>
          </w:p>
        </w:tc>
      </w:tr>
      <w:tr>
        <w:trPr>
          <w:trHeight w:val="199"/>
        </w:trPr>
        <w:tc>
          <w:tcPr>
            <w:tcW w:w="7000" w:type="dxa"/>
            <w:vAlign w:val="bottom"/>
          </w:tcPr>
          <w:p>
            <w:pPr>
              <w:ind w:left="120"/>
              <w:spacing w:after="0"/>
              <w:rPr>
                <w:sz w:val="20"/>
                <w:szCs w:val="20"/>
                <w:color w:val="auto"/>
              </w:rPr>
            </w:pPr>
            <w:r>
              <w:rPr>
                <w:rFonts w:ascii="Arial" w:cs="Arial" w:eastAsia="Arial" w:hAnsi="Arial"/>
                <w:sz w:val="15"/>
                <w:szCs w:val="15"/>
                <w:color w:val="auto"/>
              </w:rPr>
              <w:t>Net cash used in investing activities</w:t>
            </w:r>
          </w:p>
        </w:tc>
        <w:tc>
          <w:tcPr>
            <w:tcW w:w="1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(131,594)</w:t>
            </w: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(197,907)</w:t>
            </w:r>
          </w:p>
        </w:tc>
      </w:tr>
      <w:tr>
        <w:trPr>
          <w:trHeight w:val="246"/>
        </w:trPr>
        <w:tc>
          <w:tcPr>
            <w:tcW w:w="70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06"/>
        </w:trPr>
        <w:tc>
          <w:tcPr>
            <w:tcW w:w="7000" w:type="dxa"/>
            <w:vAlign w:val="bottom"/>
          </w:tcPr>
          <w:p>
            <w:pPr>
              <w:ind w:left="120"/>
              <w:spacing w:after="0"/>
              <w:rPr>
                <w:sz w:val="20"/>
                <w:szCs w:val="20"/>
                <w:color w:val="auto"/>
              </w:rPr>
            </w:pPr>
            <w:r>
              <w:rPr>
                <w:rFonts w:ascii="Arial" w:cs="Arial" w:eastAsia="Arial" w:hAnsi="Arial"/>
                <w:sz w:val="15"/>
                <w:szCs w:val="15"/>
                <w:b w:val="1"/>
                <w:bCs w:val="1"/>
                <w:color w:val="auto"/>
              </w:rPr>
              <w:t>Cash flows used in financing activities:</w:t>
            </w: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6"/>
        </w:trPr>
        <w:tc>
          <w:tcPr>
            <w:tcW w:w="70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New Notes issue costs</w:t>
            </w:r>
          </w:p>
        </w:tc>
        <w:tc>
          <w:tcPr>
            <w:tcW w:w="12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(12,678)</w:t>
            </w:r>
          </w:p>
        </w:tc>
      </w:tr>
      <w:tr>
        <w:trPr>
          <w:trHeight w:val="205"/>
        </w:trPr>
        <w:tc>
          <w:tcPr>
            <w:tcW w:w="7000" w:type="dxa"/>
            <w:vAlign w:val="bottom"/>
          </w:tcPr>
          <w:p>
            <w:pPr>
              <w:ind w:left="200"/>
              <w:spacing w:after="0"/>
              <w:rPr>
                <w:sz w:val="20"/>
                <w:szCs w:val="20"/>
                <w:color w:val="auto"/>
              </w:rPr>
            </w:pPr>
            <w:r>
              <w:rPr>
                <w:rFonts w:ascii="Arial" w:cs="Arial" w:eastAsia="Arial" w:hAnsi="Arial"/>
                <w:sz w:val="15"/>
                <w:szCs w:val="15"/>
                <w:color w:val="auto"/>
              </w:rPr>
              <w:t>Drawdown of credit lines and loan facilities</w:t>
            </w:r>
          </w:p>
        </w:tc>
        <w:tc>
          <w:tcPr>
            <w:tcW w:w="1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50,000</w:t>
            </w:r>
          </w:p>
        </w:tc>
        <w:tc>
          <w:tcPr>
            <w:tcW w:w="300" w:type="dxa"/>
            <w:vAlign w:val="bottom"/>
          </w:tcPr>
          <w:p>
            <w:pPr>
              <w:spacing w:after="0"/>
              <w:rPr>
                <w:sz w:val="17"/>
                <w:szCs w:val="17"/>
                <w:color w:val="auto"/>
              </w:rPr>
            </w:pPr>
          </w:p>
        </w:tc>
        <w:tc>
          <w:tcPr>
            <w:tcW w:w="1260" w:type="dxa"/>
            <w:vAlign w:val="bottom"/>
          </w:tcPr>
          <w:p>
            <w:pPr>
              <w:jc w:val="right"/>
              <w:ind w:right="3"/>
              <w:spacing w:after="0"/>
              <w:rPr>
                <w:sz w:val="20"/>
                <w:szCs w:val="20"/>
                <w:color w:val="auto"/>
              </w:rPr>
            </w:pPr>
            <w:r>
              <w:rPr>
                <w:rFonts w:ascii="Arial" w:cs="Arial" w:eastAsia="Arial" w:hAnsi="Arial"/>
                <w:sz w:val="15"/>
                <w:szCs w:val="15"/>
                <w:color w:val="auto"/>
              </w:rPr>
              <w:t>2,242,480</w:t>
            </w:r>
          </w:p>
        </w:tc>
      </w:tr>
      <w:tr>
        <w:trPr>
          <w:trHeight w:val="207"/>
        </w:trPr>
        <w:tc>
          <w:tcPr>
            <w:tcW w:w="70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Repayment of credit lines and loan facilities</w:t>
            </w:r>
          </w:p>
        </w:tc>
        <w:tc>
          <w:tcPr>
            <w:tcW w:w="1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(72,321)</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(2,595,323)</w:t>
            </w:r>
          </w:p>
        </w:tc>
      </w:tr>
      <w:tr>
        <w:trPr>
          <w:trHeight w:val="205"/>
        </w:trPr>
        <w:tc>
          <w:tcPr>
            <w:tcW w:w="7000" w:type="dxa"/>
            <w:vAlign w:val="bottom"/>
          </w:tcPr>
          <w:p>
            <w:pPr>
              <w:ind w:left="200"/>
              <w:spacing w:after="0"/>
              <w:rPr>
                <w:sz w:val="20"/>
                <w:szCs w:val="20"/>
                <w:color w:val="auto"/>
              </w:rPr>
            </w:pPr>
            <w:r>
              <w:rPr>
                <w:rFonts w:ascii="Arial" w:cs="Arial" w:eastAsia="Arial" w:hAnsi="Arial"/>
                <w:sz w:val="15"/>
                <w:szCs w:val="15"/>
                <w:color w:val="auto"/>
              </w:rPr>
              <w:t>Proceeds from exercise of equity compensation</w:t>
            </w:r>
          </w:p>
        </w:tc>
        <w:tc>
          <w:tcPr>
            <w:tcW w:w="1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7,319</w:t>
            </w:r>
          </w:p>
        </w:tc>
        <w:tc>
          <w:tcPr>
            <w:tcW w:w="300" w:type="dxa"/>
            <w:vAlign w:val="bottom"/>
          </w:tcPr>
          <w:p>
            <w:pPr>
              <w:spacing w:after="0"/>
              <w:rPr>
                <w:sz w:val="17"/>
                <w:szCs w:val="17"/>
                <w:color w:val="auto"/>
              </w:rPr>
            </w:pPr>
          </w:p>
        </w:tc>
        <w:tc>
          <w:tcPr>
            <w:tcW w:w="1260" w:type="dxa"/>
            <w:vAlign w:val="bottom"/>
          </w:tcPr>
          <w:p>
            <w:pPr>
              <w:jc w:val="right"/>
              <w:ind w:right="3"/>
              <w:spacing w:after="0"/>
              <w:rPr>
                <w:sz w:val="20"/>
                <w:szCs w:val="20"/>
                <w:color w:val="auto"/>
              </w:rPr>
            </w:pPr>
            <w:r>
              <w:rPr>
                <w:rFonts w:ascii="Arial" w:cs="Arial" w:eastAsia="Arial" w:hAnsi="Arial"/>
                <w:sz w:val="15"/>
                <w:szCs w:val="15"/>
                <w:color w:val="auto"/>
              </w:rPr>
              <w:t>32,379</w:t>
            </w:r>
          </w:p>
        </w:tc>
      </w:tr>
      <w:tr>
        <w:trPr>
          <w:trHeight w:val="207"/>
        </w:trPr>
        <w:tc>
          <w:tcPr>
            <w:tcW w:w="70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Share issue costs</w:t>
            </w:r>
          </w:p>
        </w:tc>
        <w:tc>
          <w:tcPr>
            <w:tcW w:w="1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w:t>
            </w:r>
          </w:p>
        </w:tc>
      </w:tr>
      <w:tr>
        <w:trPr>
          <w:trHeight w:val="205"/>
        </w:trPr>
        <w:tc>
          <w:tcPr>
            <w:tcW w:w="7000" w:type="dxa"/>
            <w:vAlign w:val="bottom"/>
          </w:tcPr>
          <w:p>
            <w:pPr>
              <w:ind w:left="200"/>
              <w:spacing w:after="0"/>
              <w:rPr>
                <w:sz w:val="20"/>
                <w:szCs w:val="20"/>
                <w:color w:val="auto"/>
              </w:rPr>
            </w:pPr>
            <w:r>
              <w:rPr>
                <w:rFonts w:ascii="Arial" w:cs="Arial" w:eastAsia="Arial" w:hAnsi="Arial"/>
                <w:sz w:val="15"/>
                <w:szCs w:val="15"/>
                <w:color w:val="auto"/>
              </w:rPr>
              <w:t>Repurchase of ordinary shares</w:t>
            </w:r>
          </w:p>
        </w:tc>
        <w:tc>
          <w:tcPr>
            <w:tcW w:w="1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(750,000)</w:t>
            </w: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(100,000)</w:t>
            </w:r>
          </w:p>
        </w:tc>
      </w:tr>
      <w:tr>
        <w:trPr>
          <w:trHeight w:val="206"/>
        </w:trPr>
        <w:tc>
          <w:tcPr>
            <w:tcW w:w="70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5"/>
                <w:szCs w:val="15"/>
                <w:color w:val="auto"/>
              </w:rPr>
              <w:t>Share repurchase costs</w:t>
            </w:r>
          </w:p>
        </w:tc>
        <w:tc>
          <w:tcPr>
            <w:tcW w:w="12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(450)</w:t>
            </w:r>
          </w:p>
        </w:tc>
        <w:tc>
          <w:tcPr>
            <w:tcW w:w="3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w:t>
            </w:r>
          </w:p>
        </w:tc>
      </w:tr>
      <w:tr>
        <w:trPr>
          <w:trHeight w:val="199"/>
        </w:trPr>
        <w:tc>
          <w:tcPr>
            <w:tcW w:w="7000" w:type="dxa"/>
            <w:vAlign w:val="bottom"/>
          </w:tcPr>
          <w:p>
            <w:pPr>
              <w:ind w:left="120"/>
              <w:spacing w:after="0"/>
              <w:rPr>
                <w:sz w:val="20"/>
                <w:szCs w:val="20"/>
                <w:color w:val="auto"/>
              </w:rPr>
            </w:pPr>
            <w:r>
              <w:rPr>
                <w:rFonts w:ascii="Arial" w:cs="Arial" w:eastAsia="Arial" w:hAnsi="Arial"/>
                <w:sz w:val="15"/>
                <w:szCs w:val="15"/>
                <w:color w:val="auto"/>
              </w:rPr>
              <w:t>Net cash used in financing activities</w:t>
            </w:r>
          </w:p>
        </w:tc>
        <w:tc>
          <w:tcPr>
            <w:tcW w:w="1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(765,466)</w:t>
            </w: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(433,227)</w:t>
            </w:r>
          </w:p>
        </w:tc>
      </w:tr>
      <w:tr>
        <w:trPr>
          <w:trHeight w:val="246"/>
        </w:trPr>
        <w:tc>
          <w:tcPr>
            <w:tcW w:w="70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05"/>
        </w:trPr>
        <w:tc>
          <w:tcPr>
            <w:tcW w:w="70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Effect of exchange rate movements on cash</w:t>
            </w:r>
          </w:p>
        </w:tc>
        <w:tc>
          <w:tcPr>
            <w:tcW w:w="1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25,120</w:t>
            </w: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201</w:t>
            </w:r>
          </w:p>
        </w:tc>
      </w:tr>
      <w:tr>
        <w:trPr>
          <w:trHeight w:val="200"/>
        </w:trPr>
        <w:tc>
          <w:tcPr>
            <w:tcW w:w="70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Net (decrease) / increase in cash and cash equivalents</w:t>
            </w:r>
          </w:p>
        </w:tc>
        <w:tc>
          <w:tcPr>
            <w:tcW w:w="12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(69,897)</w:t>
            </w: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317,405</w:t>
            </w:r>
          </w:p>
        </w:tc>
      </w:tr>
      <w:tr>
        <w:trPr>
          <w:trHeight w:val="205"/>
        </w:trPr>
        <w:tc>
          <w:tcPr>
            <w:tcW w:w="70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Cash and cash equivalents at beginning of period</w:t>
            </w:r>
          </w:p>
        </w:tc>
        <w:tc>
          <w:tcPr>
            <w:tcW w:w="1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538,785</w:t>
            </w: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378,102</w:t>
            </w:r>
          </w:p>
        </w:tc>
      </w:tr>
      <w:tr>
        <w:trPr>
          <w:trHeight w:val="225"/>
        </w:trPr>
        <w:tc>
          <w:tcPr>
            <w:tcW w:w="7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rPr>
              <w:t>Cash and cash equivalents at end of period</w:t>
            </w:r>
          </w:p>
        </w:tc>
        <w:tc>
          <w:tcPr>
            <w:tcW w:w="120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468,888</w:t>
            </w:r>
          </w:p>
        </w:tc>
        <w:tc>
          <w:tcPr>
            <w:tcW w:w="30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695,507</w:t>
            </w:r>
          </w:p>
        </w:tc>
      </w:tr>
      <w:tr>
        <w:trPr>
          <w:trHeight w:val="20"/>
        </w:trPr>
        <w:tc>
          <w:tcPr>
            <w:tcW w:w="70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73660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20"/>
          </w:cols>
          <w:pgMar w:left="440" w:top="667" w:right="439" w:bottom="1440" w:gutter="0" w:footer="0" w:header="0"/>
        </w:sectPr>
      </w:pPr>
    </w:p>
    <w:bookmarkStart w:id="10" w:name="page11"/>
    <w:bookmarkEnd w:id="10"/>
    <w:p>
      <w:pPr>
        <w:jc w:val="center"/>
        <w:spacing w:after="0"/>
        <w:rPr>
          <w:sz w:val="20"/>
          <w:szCs w:val="20"/>
          <w:color w:val="auto"/>
        </w:rPr>
      </w:pPr>
      <w:r>
        <w:rPr>
          <w:rFonts w:ascii="Arial" w:cs="Arial" w:eastAsia="Arial" w:hAnsi="Arial"/>
          <w:sz w:val="15"/>
          <w:szCs w:val="15"/>
          <w:b w:val="1"/>
          <w:bCs w:val="1"/>
          <w:color w:val="auto"/>
        </w:rPr>
        <w:t>ICON plc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THE CONDENSED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September 30, 2025</w:t>
      </w:r>
    </w:p>
    <w:p>
      <w:pPr>
        <w:spacing w:after="0" w:line="26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 Basis of presentation</w:t>
      </w:r>
    </w:p>
    <w:p>
      <w:pPr>
        <w:spacing w:after="0" w:line="242"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These condensed consolidated financial statements which have been prepared in accordance with United States Generally Accepted Accounting Principles (“US GAAP”) have not been audited. The condensed consolidated financial statements reflect all adjustments, which are, in the opinion of management, necessary to present a fair statement of the operating results and financial position for the periods presented. The preparation of the condensed consolidated financial statements in conformity with US GAAP requires management to make estimates and assumptions that affect reported amounts and disclosures in the condensed consolidated financial statements. Actual results could differ from those estimates.</w:t>
      </w:r>
    </w:p>
    <w:p>
      <w:pPr>
        <w:spacing w:after="0" w:line="186"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The condensed consolidated financial statements should be read in conjunction with the accounting policies and notes to the consolidated financial statements included in ICON’s Form 20-F for the year ended December 31, 2024 (see note 2 - Summary of significant accounting policies). Operating results for the nine months ended September 30, 2025 are not necessarily indicative of the results that may be expected for the fiscal period ending December 31, 2025.</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 Summary of significant accounting policies</w:t>
      </w:r>
    </w:p>
    <w:p>
      <w:pPr>
        <w:spacing w:after="0" w:line="26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Revenue recognition</w:t>
      </w:r>
    </w:p>
    <w:p>
      <w:pPr>
        <w:spacing w:after="0" w:line="253"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 Company earns revenues by providing a number of different services to its customers. These services, which are integral elements of the clinical development process, include clinical trials management, consulting, contract staffing, data services and laboratory services. These services, which are described below, can be purchased collectively or individually as part of a clinical trial contract. There is no significant variability in how economic factors affect these services. Contracts range in duration from a number of months to several years.</w:t>
      </w:r>
    </w:p>
    <w:p>
      <w:pPr>
        <w:spacing w:after="0" w:line="188"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ASC 606 requires application of five steps: (1) identify the contract(s) with a customer; (2) identify the performance obligation in the contract; (3) determine the transaction price; (4) allocate the transaction price to the performance obligations in the contract; and (5) recognize revenue when (or as) the entity satisfies the performance obligation(s), which have been applied to revenue recognized from each service described below.</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5"/>
          <w:szCs w:val="15"/>
          <w:i w:val="1"/>
          <w:iCs w:val="1"/>
          <w:color w:val="auto"/>
        </w:rPr>
        <w:t>Clinical trial service revenue</w:t>
      </w:r>
    </w:p>
    <w:p>
      <w:pPr>
        <w:spacing w:after="0" w:line="240"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color w:val="auto"/>
        </w:rPr>
        <w:t>A clinical trial service is a single performance obligation satisfied over time, i.e. the full-service obligation in respect of a clinical trial (including those services performed by investigators and other parties) is considered a single performance obligation. Promises offered to the customer are not distinct within the context of the contract. ICON is the contract principal in respect of both direct services and in the use of third parties (principally investigator services) that support the clinical research projects. The transaction price is determined by reference to the contract or change order value (total service revenue and pass-through/ reimbursable expenses) adjusted to reflect a realizable contract value. Revenue is recognized over time as the single performance obligation is satisfied. The progress towards completion for clinical service contracts is measured based on an input measure being total project costs incurred (inclusive of pass-through / reimbursable expenses) at each reporting period as a percentage of forecasted total project costs.</w:t>
      </w:r>
    </w:p>
    <w:p>
      <w:pPr>
        <w:spacing w:after="0" w:line="206" w:lineRule="exact"/>
        <w:rPr>
          <w:sz w:val="20"/>
          <w:szCs w:val="20"/>
          <w:color w:val="auto"/>
        </w:rPr>
      </w:pPr>
    </w:p>
    <w:p>
      <w:pPr>
        <w:ind w:left="620"/>
        <w:spacing w:after="0"/>
        <w:rPr>
          <w:sz w:val="20"/>
          <w:szCs w:val="20"/>
          <w:color w:val="auto"/>
        </w:rPr>
      </w:pPr>
      <w:r>
        <w:rPr>
          <w:rFonts w:ascii="Arial" w:cs="Arial" w:eastAsia="Arial" w:hAnsi="Arial"/>
          <w:sz w:val="15"/>
          <w:szCs w:val="15"/>
          <w:i w:val="1"/>
          <w:iCs w:val="1"/>
          <w:color w:val="auto"/>
        </w:rPr>
        <w:t>Laboratory services revenue</w:t>
      </w:r>
    </w:p>
    <w:p>
      <w:pPr>
        <w:spacing w:after="0" w:line="240" w:lineRule="exact"/>
        <w:rPr>
          <w:sz w:val="20"/>
          <w:szCs w:val="20"/>
          <w:color w:val="auto"/>
        </w:rPr>
      </w:pPr>
    </w:p>
    <w:p>
      <w:pPr>
        <w:jc w:val="both"/>
        <w:ind w:firstLine="619"/>
        <w:spacing w:after="0" w:line="263" w:lineRule="auto"/>
        <w:rPr>
          <w:sz w:val="20"/>
          <w:szCs w:val="20"/>
          <w:color w:val="auto"/>
        </w:rPr>
      </w:pPr>
      <w:r>
        <w:rPr>
          <w:rFonts w:ascii="Arial" w:cs="Arial" w:eastAsia="Arial" w:hAnsi="Arial"/>
          <w:sz w:val="15"/>
          <w:szCs w:val="15"/>
          <w:color w:val="auto"/>
        </w:rPr>
        <w:t>Revenue is recognized when, or as, obligations under the terms of a contract are satisfied, which occurs when control of the products or services are transferred to the customer. Revenue for laboratory services is measured as the amount of consideration we expect to receive in exchange for transferring products or services. Where contracts with customers contain multiple performance obligations, the transaction price is allocated to each performance obligation based on the estimated relative selling price of the promised good or service. Service revenue is recognized over time as the services are delivered to the customer based on the extent of progress towards completion of the performance obligation. The determination of the methodology to measure progress requires judgment and is based on the nature of services provided. This requires an assessment of the transfer of value to the customer. The right to invoice measure of progress is generally related to rate per unit contracts, as the extent of progress towards completion is measured based on discrete service or time-based increments, such as samples tested or labor hours incurred. Revenue is recorded as the amount invoiced since that amount corresponds to the value of the Company's performance and the transfer of value to the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73660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11" w:name="page12"/>
    <w:bookmarkEnd w:id="11"/>
    <w:p>
      <w:pPr>
        <w:ind w:left="620"/>
        <w:spacing w:after="0"/>
        <w:rPr>
          <w:sz w:val="20"/>
          <w:szCs w:val="20"/>
          <w:color w:val="auto"/>
        </w:rPr>
      </w:pPr>
      <w:r>
        <w:rPr>
          <w:rFonts w:ascii="Arial" w:cs="Arial" w:eastAsia="Arial" w:hAnsi="Arial"/>
          <w:sz w:val="15"/>
          <w:szCs w:val="15"/>
          <w:i w:val="1"/>
          <w:iCs w:val="1"/>
          <w:color w:val="auto"/>
        </w:rPr>
        <w:t>Contracting services revenue</w:t>
      </w:r>
    </w:p>
    <w:p>
      <w:pPr>
        <w:spacing w:after="0" w:line="240"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The Company has availed of the practical expedient which results in recognition of revenue on a right to invoice basis. Application of the practical expedient reflects the right to consideration from the customer in an amount that corresponds directly with the value to the customer of the performance completion to date. This reflects hours performed by contract staff.</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5"/>
          <w:szCs w:val="15"/>
          <w:i w:val="1"/>
          <w:iCs w:val="1"/>
          <w:color w:val="auto"/>
        </w:rPr>
        <w:t>Consulting services revenue</w:t>
      </w:r>
    </w:p>
    <w:p>
      <w:pPr>
        <w:spacing w:after="0" w:line="240"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Our consulting services contracts represent a single performance obligation satisfied over time. The transaction price is determined by reference to contract or change order value. Revenue is recognized over time as the performance obligation is satisfied. The progress towards completion for consulting contracts is measured based on total project inputs (time) at each reporting period as a percentage of forecasted total project inputs.</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5"/>
          <w:szCs w:val="15"/>
          <w:i w:val="1"/>
          <w:iCs w:val="1"/>
          <w:color w:val="auto"/>
        </w:rPr>
        <w:t>Data services revenue</w:t>
      </w:r>
    </w:p>
    <w:p>
      <w:pPr>
        <w:spacing w:after="0" w:line="25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The Company provides data reports and analytics to customers based on agreed-upon specifications, including the timing of delivery, which is typically either weekly, monthly, or quarterly. If a customer requests more than one type of data report or series of data reports within a contract, each distinct type of data report is a separate performance obligation. The contracts provide for the Company to be compensated for the value of each deliverable. The transaction price is determined using list prices, discount agreements, if any, and negotiations with the customers, and generally includes any out-of-pocket expenses. Typically, the Company bills in advance of services being provided with the amount being recorded as unearned revenue.</w:t>
      </w:r>
    </w:p>
    <w:p>
      <w:pPr>
        <w:spacing w:after="0" w:line="192"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5"/>
          <w:szCs w:val="15"/>
          <w:color w:val="auto"/>
        </w:rPr>
        <w:t>When multiple performance obligations exist, the transaction price is allocated to performance obligations on a relative standalone selling price basis. In cases where the Company contracts to provide a series of data reports, or in some cases data, the Company recognizes revenue over time using the “units delivered” output method as the data or reports are delivered. Expense reimbursements are recorded to revenue as the expenses are incurred as they relate directly to the services performed.</w:t>
      </w:r>
    </w:p>
    <w:p>
      <w:pPr>
        <w:spacing w:after="0" w:line="183"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Certain arrangements include upfront customization or consultative services for customers. These arrangements often include payments based on the achievement of certain contractual milestones. Under these arrangements, the Company contracts with a customer to carry out a specific study, ultimately resulting in delivery of a custom report or data product. These arrangements are a single performance obligation given the integrated nature of the service being provided. The Company typically recognizes revenue under these contracts over time, using an output-based measure, generally time elapsed, to measure progress and transfer of control of the performance obligation to the customer. Expense reimbursements are recorded to revenue as the expenses are incurred as they relate directly to the service performed.</w:t>
      </w:r>
    </w:p>
    <w:p>
      <w:pPr>
        <w:spacing w:after="0" w:line="18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 Company enters into contracts with some of its larger data suppliers that involve non-monetary terms. The Company issues purchase credits to be used toward the data supplier's purchase of the Company's services based on the fair value of the data obtained. In exchange, the Company receives monetary discounts on the data received from the data suppliers. The fair value of the revenue earned from the customer purchases is recognized as services are delivered as described above. At the end of the contract year, any unused customer purchase credits may be forfeited or carried over to the next contract year based on the terms of the data supplier contract.</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Intangible Assets</w:t>
      </w:r>
    </w:p>
    <w:p>
      <w:pPr>
        <w:spacing w:after="0" w:line="253" w:lineRule="exact"/>
        <w:rPr>
          <w:sz w:val="20"/>
          <w:szCs w:val="20"/>
          <w:color w:val="auto"/>
        </w:rPr>
      </w:pPr>
    </w:p>
    <w:p>
      <w:pPr>
        <w:ind w:left="620"/>
        <w:spacing w:after="0"/>
        <w:rPr>
          <w:sz w:val="20"/>
          <w:szCs w:val="20"/>
          <w:color w:val="auto"/>
        </w:rPr>
      </w:pPr>
      <w:r>
        <w:rPr>
          <w:rFonts w:ascii="Arial" w:cs="Arial" w:eastAsia="Arial" w:hAnsi="Arial"/>
          <w:sz w:val="15"/>
          <w:szCs w:val="15"/>
          <w:color w:val="auto"/>
        </w:rPr>
        <w:t>Intangible assets are measured at fair value at the date of acquisition and amortized on a straight-line basis over their respective estimated useful lives.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The Company has no indefinite-lived intangible assets. The Company evaluates its intangible assets for impairment when indicators of impairment exist.</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Intangible assets are amortized on a straight-line basis over their estimated useful lives, as set forth in the table below:</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400" w:type="dxa"/>
            <w:vAlign w:val="bottom"/>
            <w:shd w:val="clear" w:color="auto" w:fill="CCEEFF"/>
          </w:tcPr>
          <w:p>
            <w:pPr>
              <w:spacing w:after="0"/>
              <w:rPr>
                <w:sz w:val="17"/>
                <w:szCs w:val="17"/>
                <w:color w:val="auto"/>
              </w:rPr>
            </w:pPr>
          </w:p>
        </w:tc>
        <w:tc>
          <w:tcPr>
            <w:tcW w:w="2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Estimated Useful Life</w:t>
            </w:r>
          </w:p>
        </w:tc>
      </w:tr>
      <w:tr>
        <w:trPr>
          <w:trHeight w:val="198"/>
        </w:trPr>
        <w:tc>
          <w:tcPr>
            <w:tcW w:w="8400" w:type="dxa"/>
            <w:vAlign w:val="bottom"/>
          </w:tcPr>
          <w:p>
            <w:pPr>
              <w:ind w:left="20"/>
              <w:spacing w:after="0"/>
              <w:rPr>
                <w:sz w:val="20"/>
                <w:szCs w:val="20"/>
                <w:color w:val="auto"/>
              </w:rPr>
            </w:pPr>
            <w:r>
              <w:rPr>
                <w:rFonts w:ascii="Arial" w:cs="Arial" w:eastAsia="Arial" w:hAnsi="Arial"/>
                <w:sz w:val="15"/>
                <w:szCs w:val="15"/>
                <w:color w:val="auto"/>
              </w:rPr>
              <w:t>Customer relationships</w:t>
            </w:r>
          </w:p>
        </w:tc>
        <w:tc>
          <w:tcPr>
            <w:tcW w:w="2820" w:type="dxa"/>
            <w:vAlign w:val="bottom"/>
          </w:tcPr>
          <w:p>
            <w:pPr>
              <w:jc w:val="right"/>
              <w:spacing w:after="0"/>
              <w:rPr>
                <w:sz w:val="20"/>
                <w:szCs w:val="20"/>
                <w:color w:val="auto"/>
              </w:rPr>
            </w:pPr>
            <w:r>
              <w:rPr>
                <w:rFonts w:ascii="Arial" w:cs="Arial" w:eastAsia="Arial" w:hAnsi="Arial"/>
                <w:sz w:val="15"/>
                <w:szCs w:val="15"/>
                <w:color w:val="auto"/>
              </w:rPr>
              <w:t>8 - 23 years</w:t>
            </w:r>
          </w:p>
        </w:tc>
      </w:tr>
      <w:tr>
        <w:trPr>
          <w:trHeight w:val="207"/>
        </w:trPr>
        <w:tc>
          <w:tcPr>
            <w:tcW w:w="8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Order backlog</w:t>
            </w:r>
          </w:p>
        </w:tc>
        <w:tc>
          <w:tcPr>
            <w:tcW w:w="2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3 - 5 years</w:t>
            </w:r>
          </w:p>
        </w:tc>
      </w:tr>
      <w:tr>
        <w:trPr>
          <w:trHeight w:val="205"/>
        </w:trPr>
        <w:tc>
          <w:tcPr>
            <w:tcW w:w="8400" w:type="dxa"/>
            <w:vAlign w:val="bottom"/>
          </w:tcPr>
          <w:p>
            <w:pPr>
              <w:ind w:left="20"/>
              <w:spacing w:after="0"/>
              <w:rPr>
                <w:sz w:val="20"/>
                <w:szCs w:val="20"/>
                <w:color w:val="auto"/>
              </w:rPr>
            </w:pPr>
            <w:r>
              <w:rPr>
                <w:rFonts w:ascii="Arial" w:cs="Arial" w:eastAsia="Arial" w:hAnsi="Arial"/>
                <w:sz w:val="15"/>
                <w:szCs w:val="15"/>
                <w:color w:val="auto"/>
              </w:rPr>
              <w:t>Patient database</w:t>
            </w:r>
          </w:p>
        </w:tc>
        <w:tc>
          <w:tcPr>
            <w:tcW w:w="2820" w:type="dxa"/>
            <w:vAlign w:val="bottom"/>
          </w:tcPr>
          <w:p>
            <w:pPr>
              <w:jc w:val="right"/>
              <w:spacing w:after="0"/>
              <w:rPr>
                <w:sz w:val="20"/>
                <w:szCs w:val="20"/>
                <w:color w:val="auto"/>
              </w:rPr>
            </w:pPr>
            <w:r>
              <w:rPr>
                <w:rFonts w:ascii="Arial" w:cs="Arial" w:eastAsia="Arial" w:hAnsi="Arial"/>
                <w:sz w:val="15"/>
                <w:szCs w:val="15"/>
                <w:color w:val="auto"/>
              </w:rPr>
              <w:t>7 years</w:t>
            </w:r>
          </w:p>
        </w:tc>
      </w:tr>
      <w:tr>
        <w:trPr>
          <w:trHeight w:val="206"/>
        </w:trPr>
        <w:tc>
          <w:tcPr>
            <w:tcW w:w="8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Technology assets</w:t>
            </w:r>
          </w:p>
        </w:tc>
        <w:tc>
          <w:tcPr>
            <w:tcW w:w="2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 years</w:t>
            </w:r>
          </w:p>
        </w:tc>
      </w:tr>
    </w:tbl>
    <w:p>
      <w:pPr>
        <w:spacing w:after="0" w:line="310"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The Company periodically assesses the estimated useful lives of intangible assets to evaluate whether the useful lives established at acquisition continue to be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73660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12" w:name="page13"/>
    <w:bookmarkEnd w:id="12"/>
    <w:p>
      <w:pPr>
        <w:spacing w:after="0"/>
        <w:rPr>
          <w:sz w:val="20"/>
          <w:szCs w:val="20"/>
          <w:color w:val="auto"/>
        </w:rPr>
      </w:pPr>
      <w:r>
        <w:rPr>
          <w:rFonts w:ascii="Arial" w:cs="Arial" w:eastAsia="Arial" w:hAnsi="Arial"/>
          <w:sz w:val="15"/>
          <w:szCs w:val="15"/>
          <w:b w:val="1"/>
          <w:bCs w:val="1"/>
          <w:i w:val="1"/>
          <w:iCs w:val="1"/>
          <w:color w:val="auto"/>
        </w:rPr>
        <w:t>Impairment of goodwill</w:t>
      </w:r>
    </w:p>
    <w:p>
      <w:pPr>
        <w:spacing w:after="0" w:line="240"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Goodwill is tested for impairment annually, or more frequently, if an event or circumstance indicates that an impairment loss may have been incurred. The annual impairment test for goodwill includes an option to perform a qualitative assessment of whether it is more likely than not that a reporting unit's fair value is less than its carrying value. Reporting units are businesses with discrete financial information that is available and reviewed by management. If the Company determines that it is more likely than not that the fair value of a reporting unit is less than its carrying value, then the Company performs the quantitative goodwill impairment test. The Company may also chose to bypass the qualitative assessment for any reporting unit in its goodwill assessment and proceed directly to performing the quantitative assessment. The Company recognizes an impairment charge for the amount by which the reporting unit's carrying amount exceeds its fair value.</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Income taxes</w:t>
      </w:r>
    </w:p>
    <w:p>
      <w:pPr>
        <w:spacing w:after="0" w:line="240" w:lineRule="exact"/>
        <w:rPr>
          <w:sz w:val="20"/>
          <w:szCs w:val="20"/>
          <w:color w:val="auto"/>
        </w:rPr>
      </w:pPr>
    </w:p>
    <w:p>
      <w:pPr>
        <w:jc w:val="both"/>
        <w:ind w:firstLine="619"/>
        <w:spacing w:after="0" w:line="263" w:lineRule="auto"/>
        <w:rPr>
          <w:sz w:val="20"/>
          <w:szCs w:val="20"/>
          <w:color w:val="auto"/>
        </w:rPr>
      </w:pPr>
      <w:r>
        <w:rPr>
          <w:rFonts w:ascii="Arial" w:cs="Arial" w:eastAsia="Arial" w:hAnsi="Arial"/>
          <w:sz w:val="15"/>
          <w:szCs w:val="15"/>
          <w:color w:val="auto"/>
        </w:rPr>
        <w:t>The Company applies the asset and liability method of accounting for income taxes. Under the asset and liability method, deferred tax assets and liabilities are recognized for the future tax consequences attributable to differences between the financial statement carrying amount of existing assets and liabilities and their respective tax bases and for operating loss and tax credit carryforwards. Deferred tax assets and liabilities are measured using enacted tax rates expected to apply to taxable income in the years in which these temporary differences are expected to be recovered or settled. The effect on deferred tax assets and liabilities of a change in tax rates is recognized in the provision of income taxes in the period that includes the enactment date. Deferred tax assets are reduced by a valuation allowance to the amount that is more likely than not to be realized. The Company recognizes the effect of income tax positions only if those positions will more likely than not be sustained. Recognized income tax positions are measured at the largest amount of tax benefit that is greater than 50 percent likely of being realized upon settlement. Interest and penalties related to income taxes are included in income tax expense and classified with the related liability on the Consolidated Balance Sheet. The Company accounts for the impact of Global Intangible Low-Taxed Income ("GILTI") in the period it arises and has therefore not provided for deferred taxes in respect of this item.</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3. Revenue</w:t>
      </w:r>
    </w:p>
    <w:p>
      <w:pPr>
        <w:spacing w:after="0" w:line="24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Revenue disaggregated by customer concentration is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40" w:type="dxa"/>
            <w:vAlign w:val="bottom"/>
            <w:gridSpan w:val="4"/>
            <w:shd w:val="clear" w:color="auto" w:fill="CCEEFF"/>
          </w:tcPr>
          <w:p>
            <w:pPr>
              <w:ind w:left="480"/>
              <w:spacing w:after="0"/>
              <w:rPr>
                <w:sz w:val="20"/>
                <w:szCs w:val="20"/>
                <w:color w:val="auto"/>
              </w:rPr>
            </w:pPr>
            <w:r>
              <w:rPr>
                <w:rFonts w:ascii="Arial" w:cs="Arial" w:eastAsia="Arial" w:hAnsi="Arial"/>
                <w:sz w:val="15"/>
                <w:szCs w:val="15"/>
                <w:b w:val="1"/>
                <w:bCs w:val="1"/>
                <w:color w:val="auto"/>
              </w:rPr>
              <w:t>Three Months Ended</w:t>
            </w:r>
          </w:p>
        </w:tc>
        <w:tc>
          <w:tcPr>
            <w:tcW w:w="280" w:type="dxa"/>
            <w:vAlign w:val="bottom"/>
            <w:shd w:val="clear" w:color="auto" w:fill="CCEEFF"/>
          </w:tcPr>
          <w:p>
            <w:pPr>
              <w:spacing w:after="0"/>
              <w:rPr>
                <w:sz w:val="17"/>
                <w:szCs w:val="17"/>
                <w:color w:val="auto"/>
              </w:rPr>
            </w:pPr>
          </w:p>
        </w:tc>
        <w:tc>
          <w:tcPr>
            <w:tcW w:w="2740" w:type="dxa"/>
            <w:vAlign w:val="bottom"/>
            <w:gridSpan w:val="3"/>
            <w:shd w:val="clear" w:color="auto" w:fill="CCEEFF"/>
          </w:tcPr>
          <w:p>
            <w:pPr>
              <w:jc w:val="right"/>
              <w:ind w:right="703"/>
              <w:spacing w:after="0"/>
              <w:rPr>
                <w:sz w:val="20"/>
                <w:szCs w:val="20"/>
                <w:color w:val="auto"/>
              </w:rPr>
            </w:pPr>
            <w:r>
              <w:rPr>
                <w:rFonts w:ascii="Arial" w:cs="Arial" w:eastAsia="Arial" w:hAnsi="Arial"/>
                <w:sz w:val="15"/>
                <w:szCs w:val="15"/>
                <w:b w:val="1"/>
                <w:bCs w:val="1"/>
                <w:color w:val="auto"/>
              </w:rPr>
              <w:t>Nine Months Ended</w:t>
            </w:r>
          </w:p>
        </w:tc>
      </w:tr>
      <w:tr>
        <w:trPr>
          <w:trHeight w:val="148"/>
        </w:trPr>
        <w:tc>
          <w:tcPr>
            <w:tcW w:w="51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5"/>
                <w:szCs w:val="15"/>
                <w:b w:val="1"/>
                <w:bCs w:val="1"/>
                <w:color w:val="auto"/>
              </w:rPr>
              <w:t>September 30,</w:t>
            </w:r>
          </w:p>
        </w:tc>
        <w:tc>
          <w:tcPr>
            <w:tcW w:w="2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5"/>
                <w:szCs w:val="15"/>
                <w:b w:val="1"/>
                <w:bCs w:val="1"/>
                <w:color w:val="auto"/>
              </w:rPr>
              <w:t>September 30,</w:t>
            </w:r>
          </w:p>
        </w:tc>
        <w:tc>
          <w:tcPr>
            <w:tcW w:w="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5"/>
                <w:szCs w:val="15"/>
                <w:b w:val="1"/>
                <w:bCs w:val="1"/>
                <w:color w:val="auto"/>
              </w:rPr>
              <w:t>September 30,</w:t>
            </w:r>
          </w:p>
        </w:tc>
        <w:tc>
          <w:tcPr>
            <w:tcW w:w="26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5"/>
                <w:szCs w:val="15"/>
                <w:b w:val="1"/>
                <w:bCs w:val="1"/>
                <w:color w:val="auto"/>
              </w:rPr>
              <w:t>September 30,</w:t>
            </w:r>
          </w:p>
        </w:tc>
      </w:tr>
      <w:tr>
        <w:trPr>
          <w:trHeight w:val="206"/>
        </w:trPr>
        <w:tc>
          <w:tcPr>
            <w:tcW w:w="5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r>
      <w:tr>
        <w:trPr>
          <w:trHeight w:val="199"/>
        </w:trPr>
        <w:tc>
          <w:tcPr>
            <w:tcW w:w="5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40" w:type="dxa"/>
            <w:vAlign w:val="bottom"/>
            <w:gridSpan w:val="4"/>
            <w:shd w:val="clear" w:color="auto" w:fill="CCEEFF"/>
          </w:tcPr>
          <w:p>
            <w:pPr>
              <w:jc w:val="right"/>
              <w:ind w:right="943"/>
              <w:spacing w:after="0"/>
              <w:rPr>
                <w:sz w:val="20"/>
                <w:szCs w:val="20"/>
                <w:color w:val="auto"/>
              </w:rPr>
            </w:pPr>
            <w:r>
              <w:rPr>
                <w:rFonts w:ascii="Arial" w:cs="Arial" w:eastAsia="Arial" w:hAnsi="Arial"/>
                <w:sz w:val="15"/>
                <w:szCs w:val="15"/>
                <w:b w:val="1"/>
                <w:bCs w:val="1"/>
                <w:color w:val="auto"/>
              </w:rPr>
              <w:t>(in thousands)</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5"/>
        </w:trPr>
        <w:tc>
          <w:tcPr>
            <w:tcW w:w="5120" w:type="dxa"/>
            <w:vAlign w:val="bottom"/>
          </w:tcPr>
          <w:p>
            <w:pPr>
              <w:ind w:left="20"/>
              <w:spacing w:after="0"/>
              <w:rPr>
                <w:sz w:val="20"/>
                <w:szCs w:val="20"/>
                <w:color w:val="auto"/>
              </w:rPr>
            </w:pPr>
            <w:r>
              <w:rPr>
                <w:rFonts w:ascii="Arial" w:cs="Arial" w:eastAsia="Arial" w:hAnsi="Arial"/>
                <w:sz w:val="15"/>
                <w:szCs w:val="15"/>
                <w:color w:val="auto"/>
              </w:rPr>
              <w:t>Clients 1-5</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503,342</w:t>
            </w:r>
          </w:p>
        </w:tc>
        <w:tc>
          <w:tcPr>
            <w:tcW w:w="2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3"/>
              <w:spacing w:after="0"/>
              <w:rPr>
                <w:sz w:val="20"/>
                <w:szCs w:val="20"/>
                <w:color w:val="auto"/>
              </w:rPr>
            </w:pPr>
            <w:r>
              <w:rPr>
                <w:rFonts w:ascii="Arial" w:cs="Arial" w:eastAsia="Arial" w:hAnsi="Arial"/>
                <w:sz w:val="15"/>
                <w:szCs w:val="15"/>
                <w:color w:val="auto"/>
              </w:rPr>
              <w:t>502,589</w:t>
            </w:r>
          </w:p>
        </w:tc>
        <w:tc>
          <w:tcPr>
            <w:tcW w:w="80" w:type="dxa"/>
            <w:vAlign w:val="bottom"/>
          </w:tcPr>
          <w:p>
            <w:pPr>
              <w:spacing w:after="0"/>
              <w:rPr>
                <w:sz w:val="17"/>
                <w:szCs w:val="17"/>
                <w:color w:val="auto"/>
              </w:rPr>
            </w:pPr>
          </w:p>
        </w:tc>
        <w:tc>
          <w:tcPr>
            <w:tcW w:w="2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3"/>
              <w:spacing w:after="0"/>
              <w:rPr>
                <w:sz w:val="20"/>
                <w:szCs w:val="20"/>
                <w:color w:val="auto"/>
              </w:rPr>
            </w:pPr>
            <w:r>
              <w:rPr>
                <w:rFonts w:ascii="Arial" w:cs="Arial" w:eastAsia="Arial" w:hAnsi="Arial"/>
                <w:sz w:val="15"/>
                <w:szCs w:val="15"/>
                <w:color w:val="auto"/>
              </w:rPr>
              <w:t>1,505,383</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1,557,636</w:t>
            </w:r>
          </w:p>
        </w:tc>
      </w:tr>
      <w:tr>
        <w:trPr>
          <w:trHeight w:val="207"/>
        </w:trPr>
        <w:tc>
          <w:tcPr>
            <w:tcW w:w="5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Clients 6-10</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308,805</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321,939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883,897</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961,059</w:t>
            </w:r>
          </w:p>
        </w:tc>
      </w:tr>
      <w:tr>
        <w:trPr>
          <w:trHeight w:val="205"/>
        </w:trPr>
        <w:tc>
          <w:tcPr>
            <w:tcW w:w="5120" w:type="dxa"/>
            <w:vAlign w:val="bottom"/>
          </w:tcPr>
          <w:p>
            <w:pPr>
              <w:ind w:left="20"/>
              <w:spacing w:after="0"/>
              <w:rPr>
                <w:sz w:val="20"/>
                <w:szCs w:val="20"/>
                <w:color w:val="auto"/>
              </w:rPr>
            </w:pPr>
            <w:r>
              <w:rPr>
                <w:rFonts w:ascii="Arial" w:cs="Arial" w:eastAsia="Arial" w:hAnsi="Arial"/>
                <w:sz w:val="15"/>
                <w:szCs w:val="15"/>
                <w:color w:val="auto"/>
              </w:rPr>
              <w:t>Clients 11-25</w:t>
            </w: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549,378</w:t>
            </w:r>
          </w:p>
        </w:tc>
        <w:tc>
          <w:tcPr>
            <w:tcW w:w="28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5"/>
                <w:szCs w:val="15"/>
                <w:color w:val="auto"/>
              </w:rPr>
              <w:t>453,206</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5"/>
                <w:szCs w:val="15"/>
                <w:color w:val="auto"/>
              </w:rPr>
              <w:t>1,555,894</w:t>
            </w: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1,335,324</w:t>
            </w:r>
          </w:p>
        </w:tc>
      </w:tr>
      <w:tr>
        <w:trPr>
          <w:trHeight w:val="206"/>
        </w:trPr>
        <w:tc>
          <w:tcPr>
            <w:tcW w:w="5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Other</w:t>
            </w:r>
          </w:p>
        </w:tc>
        <w:tc>
          <w:tcPr>
            <w:tcW w:w="2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681,287</w:t>
            </w:r>
          </w:p>
        </w:tc>
        <w:tc>
          <w:tcPr>
            <w:tcW w:w="2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752,296</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2,116,327</w:t>
            </w:r>
          </w:p>
        </w:tc>
        <w:tc>
          <w:tcPr>
            <w:tcW w:w="2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2,386,556</w:t>
            </w:r>
          </w:p>
        </w:tc>
      </w:tr>
      <w:tr>
        <w:trPr>
          <w:trHeight w:val="199"/>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Total</w:t>
            </w:r>
          </w:p>
        </w:tc>
        <w:tc>
          <w:tcPr>
            <w:tcW w:w="2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2,042,812</w:t>
            </w:r>
          </w:p>
        </w:tc>
        <w:tc>
          <w:tcPr>
            <w:tcW w:w="2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2,030,030</w:t>
            </w: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6,061,501</w:t>
            </w:r>
          </w:p>
        </w:tc>
        <w:tc>
          <w:tcPr>
            <w:tcW w:w="2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6,240,575</w:t>
            </w:r>
          </w:p>
        </w:tc>
      </w:tr>
      <w:tr>
        <w:trPr>
          <w:trHeight w:val="20"/>
        </w:trPr>
        <w:tc>
          <w:tcPr>
            <w:tcW w:w="5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There was no revenue from individual customers greater than 10% of consolidated revenue in the respective periods. Clients presented in each period are specific to the period referenced.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sectPr>
      </w:pPr>
    </w:p>
    <w:bookmarkStart w:id="13" w:name="page14"/>
    <w:bookmarkEnd w:id="13"/>
    <w:p>
      <w:pPr>
        <w:spacing w:after="0"/>
        <w:rPr>
          <w:sz w:val="20"/>
          <w:szCs w:val="20"/>
          <w:color w:val="auto"/>
        </w:rPr>
      </w:pPr>
      <w:r>
        <w:rPr>
          <w:rFonts w:ascii="Arial" w:cs="Arial" w:eastAsia="Arial" w:hAnsi="Arial"/>
          <w:sz w:val="15"/>
          <w:szCs w:val="15"/>
          <w:b w:val="1"/>
          <w:bCs w:val="1"/>
          <w:color w:val="auto"/>
        </w:rPr>
        <w:t>4. Accounts receivable, unbilled revenue (contract assets) and unearned revenue or payments on account (contract liabilities)</w:t>
      </w:r>
    </w:p>
    <w:p>
      <w:pPr>
        <w:spacing w:after="0" w:line="24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Accounts receivables and unbilled revenue are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September 30,</w:t>
            </w:r>
          </w:p>
        </w:tc>
        <w:tc>
          <w:tcPr>
            <w:tcW w:w="3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206"/>
        </w:trPr>
        <w:tc>
          <w:tcPr>
            <w:tcW w:w="41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2025</w:t>
            </w:r>
          </w:p>
        </w:tc>
        <w:tc>
          <w:tcPr>
            <w:tcW w:w="3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5"/>
                <w:szCs w:val="15"/>
                <w:b w:val="1"/>
                <w:bCs w:val="1"/>
                <w:color w:val="auto"/>
              </w:rPr>
              <w:t>2024</w:t>
            </w:r>
          </w:p>
        </w:tc>
        <w:tc>
          <w:tcPr>
            <w:tcW w:w="0" w:type="dxa"/>
            <w:vAlign w:val="bottom"/>
          </w:tcPr>
          <w:p>
            <w:pPr>
              <w:spacing w:after="0"/>
              <w:rPr>
                <w:sz w:val="1"/>
                <w:szCs w:val="1"/>
                <w:color w:val="auto"/>
              </w:rPr>
            </w:pPr>
          </w:p>
        </w:tc>
      </w:tr>
      <w:tr>
        <w:trPr>
          <w:trHeight w:val="199"/>
        </w:trPr>
        <w:tc>
          <w:tcPr>
            <w:tcW w:w="4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740" w:type="dxa"/>
            <w:vAlign w:val="bottom"/>
            <w:gridSpan w:val="4"/>
          </w:tcPr>
          <w:p>
            <w:pPr>
              <w:ind w:left="700"/>
              <w:spacing w:after="0"/>
              <w:rPr>
                <w:sz w:val="20"/>
                <w:szCs w:val="20"/>
                <w:color w:val="auto"/>
              </w:rPr>
            </w:pPr>
            <w:r>
              <w:rPr>
                <w:rFonts w:ascii="Arial" w:cs="Arial" w:eastAsia="Arial" w:hAnsi="Arial"/>
                <w:sz w:val="15"/>
                <w:szCs w:val="15"/>
                <w:b w:val="1"/>
                <w:bCs w:val="1"/>
                <w:color w:val="auto"/>
              </w:rPr>
              <w:t>(in thousands)</w:t>
            </w:r>
          </w:p>
        </w:tc>
        <w:tc>
          <w:tcPr>
            <w:tcW w:w="0" w:type="dxa"/>
            <w:vAlign w:val="bottom"/>
          </w:tcPr>
          <w:p>
            <w:pPr>
              <w:spacing w:after="0"/>
              <w:rPr>
                <w:sz w:val="1"/>
                <w:szCs w:val="1"/>
                <w:color w:val="auto"/>
              </w:rPr>
            </w:pPr>
          </w:p>
        </w:tc>
      </w:tr>
      <w:tr>
        <w:trPr>
          <w:trHeight w:val="206"/>
        </w:trPr>
        <w:tc>
          <w:tcPr>
            <w:tcW w:w="4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Billed services (accounts receivable)</w:t>
            </w:r>
          </w:p>
        </w:tc>
        <w:tc>
          <w:tcPr>
            <w:tcW w:w="1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240" w:type="dxa"/>
            <w:vAlign w:val="bottom"/>
            <w:shd w:val="clear" w:color="auto" w:fill="CCEEFF"/>
          </w:tcPr>
          <w:p>
            <w:pPr>
              <w:ind w:left="480"/>
              <w:spacing w:after="0"/>
              <w:rPr>
                <w:sz w:val="20"/>
                <w:szCs w:val="20"/>
                <w:color w:val="auto"/>
              </w:rPr>
            </w:pPr>
            <w:r>
              <w:rPr>
                <w:rFonts w:ascii="Arial" w:cs="Arial" w:eastAsia="Arial" w:hAnsi="Arial"/>
                <w:sz w:val="15"/>
                <w:szCs w:val="15"/>
                <w:color w:val="auto"/>
              </w:rPr>
              <w:t>1,427,376</w:t>
            </w:r>
          </w:p>
        </w:tc>
        <w:tc>
          <w:tcPr>
            <w:tcW w:w="3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1,437,653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Allowance for credit losses</w:t>
            </w:r>
          </w:p>
        </w:tc>
        <w:tc>
          <w:tcPr>
            <w:tcW w:w="1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(39,686)</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rPr>
              <w:t>(35,664)</w:t>
            </w:r>
          </w:p>
        </w:tc>
        <w:tc>
          <w:tcPr>
            <w:tcW w:w="0" w:type="dxa"/>
            <w:vAlign w:val="bottom"/>
          </w:tcPr>
          <w:p>
            <w:pPr>
              <w:spacing w:after="0"/>
              <w:rPr>
                <w:sz w:val="1"/>
                <w:szCs w:val="1"/>
                <w:color w:val="auto"/>
              </w:rPr>
            </w:pPr>
          </w:p>
        </w:tc>
      </w:tr>
      <w:tr>
        <w:trPr>
          <w:trHeight w:val="200"/>
        </w:trPr>
        <w:tc>
          <w:tcPr>
            <w:tcW w:w="4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Accounts receivable net</w:t>
            </w:r>
          </w:p>
        </w:tc>
        <w:tc>
          <w:tcPr>
            <w:tcW w:w="1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5"/>
                <w:szCs w:val="15"/>
                <w:color w:val="auto"/>
              </w:rPr>
              <w:t>1,387,690</w:t>
            </w: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1,401,989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Unbilled services (unbilled revenue)</w:t>
            </w:r>
          </w:p>
        </w:tc>
        <w:tc>
          <w:tcPr>
            <w:tcW w:w="1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ind w:left="480"/>
              <w:spacing w:after="0"/>
              <w:rPr>
                <w:sz w:val="20"/>
                <w:szCs w:val="20"/>
                <w:color w:val="auto"/>
              </w:rPr>
            </w:pPr>
            <w:r>
              <w:rPr>
                <w:rFonts w:ascii="Arial" w:cs="Arial" w:eastAsia="Arial" w:hAnsi="Arial"/>
                <w:sz w:val="15"/>
                <w:szCs w:val="15"/>
                <w:color w:val="auto"/>
              </w:rPr>
              <w:t>1,258,706</w:t>
            </w: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1,286,274</w:t>
            </w: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Accounts receivable and unbilled revenue, net</w:t>
            </w:r>
          </w:p>
        </w:tc>
        <w:tc>
          <w:tcPr>
            <w:tcW w:w="1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5"/>
                <w:szCs w:val="15"/>
                <w:color w:val="auto"/>
              </w:rPr>
              <w:t>2,646,396</w:t>
            </w:r>
          </w:p>
        </w:tc>
        <w:tc>
          <w:tcPr>
            <w:tcW w:w="3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2,688,263</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00" w:type="dxa"/>
            <w:vAlign w:val="bottom"/>
            <w:tcBorders>
              <w:top w:val="single" w:sz="8" w:color="CCEEFF"/>
              <w:bottom w:val="single" w:sz="8" w:color="auto"/>
            </w:tcBorders>
            <w:gridSpan w:val="6"/>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4"/>
        </w:trPr>
        <w:tc>
          <w:tcPr>
            <w:tcW w:w="8500" w:type="dxa"/>
            <w:vAlign w:val="bottom"/>
            <w:gridSpan w:val="6"/>
          </w:tcPr>
          <w:p>
            <w:pPr>
              <w:ind w:left="620"/>
              <w:spacing w:after="0"/>
              <w:rPr>
                <w:sz w:val="20"/>
                <w:szCs w:val="20"/>
                <w:color w:val="auto"/>
              </w:rPr>
            </w:pPr>
            <w:r>
              <w:rPr>
                <w:rFonts w:ascii="Arial" w:cs="Arial" w:eastAsia="Arial" w:hAnsi="Arial"/>
                <w:sz w:val="15"/>
                <w:szCs w:val="15"/>
                <w:color w:val="auto"/>
              </w:rPr>
              <w:t>Unbilled services and unearned revenue or payments on account (contract assets and liabilities) were as follows:</w:t>
            </w: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41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September 30,</w:t>
            </w:r>
          </w:p>
        </w:tc>
        <w:tc>
          <w:tcPr>
            <w:tcW w:w="18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December 31,</w:t>
            </w:r>
          </w:p>
        </w:tc>
        <w:tc>
          <w:tcPr>
            <w:tcW w:w="38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ind w:left="380"/>
              <w:spacing w:after="0"/>
              <w:rPr>
                <w:sz w:val="20"/>
                <w:szCs w:val="20"/>
                <w:color w:val="auto"/>
              </w:rPr>
            </w:pPr>
            <w:r>
              <w:rPr>
                <w:rFonts w:ascii="Arial" w:cs="Arial" w:eastAsia="Arial" w:hAnsi="Arial"/>
                <w:sz w:val="15"/>
                <w:szCs w:val="15"/>
                <w:b w:val="1"/>
                <w:bCs w:val="1"/>
                <w:color w:val="auto"/>
              </w:rPr>
              <w:t>$ Change</w:t>
            </w:r>
          </w:p>
        </w:tc>
        <w:tc>
          <w:tcPr>
            <w:tcW w:w="30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 Change</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41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2025</w:t>
            </w:r>
          </w:p>
        </w:tc>
        <w:tc>
          <w:tcPr>
            <w:tcW w:w="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2024</w:t>
            </w: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vMerge w:val="continue"/>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vMerge w:val="continue"/>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40" w:type="dxa"/>
            <w:vAlign w:val="bottom"/>
            <w:gridSpan w:val="3"/>
          </w:tcPr>
          <w:p>
            <w:pPr>
              <w:jc w:val="center"/>
              <w:ind w:right="123"/>
              <w:spacing w:after="0"/>
              <w:rPr>
                <w:sz w:val="20"/>
                <w:szCs w:val="20"/>
                <w:color w:val="auto"/>
              </w:rPr>
            </w:pPr>
            <w:r>
              <w:rPr>
                <w:rFonts w:ascii="Arial" w:cs="Arial" w:eastAsia="Arial" w:hAnsi="Arial"/>
                <w:sz w:val="15"/>
                <w:szCs w:val="15"/>
                <w:b w:val="1"/>
                <w:bCs w:val="1"/>
                <w:color w:val="auto"/>
              </w:rPr>
              <w:t>(in thousands, except percentages)</w:t>
            </w: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Unbilled services (unbilled revenue)</w:t>
            </w:r>
          </w:p>
        </w:tc>
        <w:tc>
          <w:tcPr>
            <w:tcW w:w="1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1,258,706</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1,286,274</w:t>
            </w:r>
          </w:p>
        </w:tc>
        <w:tc>
          <w:tcPr>
            <w:tcW w:w="380" w:type="dxa"/>
            <w:vAlign w:val="bottom"/>
            <w:shd w:val="clear" w:color="auto" w:fill="CCEEFF"/>
          </w:tcPr>
          <w:p>
            <w:pPr>
              <w:jc w:val="center"/>
              <w:ind w:right="203"/>
              <w:spacing w:after="0"/>
              <w:rPr>
                <w:sz w:val="20"/>
                <w:szCs w:val="20"/>
                <w:color w:val="auto"/>
              </w:rPr>
            </w:pPr>
            <w:r>
              <w:rPr>
                <w:rFonts w:ascii="Arial" w:cs="Arial" w:eastAsia="Arial" w:hAnsi="Arial"/>
                <w:sz w:val="15"/>
                <w:szCs w:val="15"/>
                <w:color w:val="auto"/>
              </w:rPr>
              <w:t>$</w:t>
            </w:r>
          </w:p>
        </w:tc>
        <w:tc>
          <w:tcPr>
            <w:tcW w:w="1240" w:type="dxa"/>
            <w:vAlign w:val="bottom"/>
            <w:shd w:val="clear" w:color="auto" w:fill="CCEEFF"/>
          </w:tcPr>
          <w:p>
            <w:pPr>
              <w:ind w:left="500"/>
              <w:spacing w:after="0"/>
              <w:rPr>
                <w:sz w:val="20"/>
                <w:szCs w:val="20"/>
                <w:color w:val="auto"/>
              </w:rPr>
            </w:pPr>
            <w:r>
              <w:rPr>
                <w:rFonts w:ascii="Arial" w:cs="Arial" w:eastAsia="Arial" w:hAnsi="Arial"/>
                <w:sz w:val="15"/>
                <w:szCs w:val="15"/>
                <w:color w:val="auto"/>
              </w:rPr>
              <w:t>(27,568)</w:t>
            </w: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Unearned revenue (payments on account)</w:t>
            </w:r>
          </w:p>
        </w:tc>
        <w:tc>
          <w:tcPr>
            <w:tcW w:w="1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(1,528,343)</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(1,614,758)</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ind w:left="560"/>
              <w:spacing w:after="0"/>
              <w:rPr>
                <w:sz w:val="20"/>
                <w:szCs w:val="20"/>
                <w:color w:val="auto"/>
              </w:rPr>
            </w:pPr>
            <w:r>
              <w:rPr>
                <w:rFonts w:ascii="Arial" w:cs="Arial" w:eastAsia="Arial" w:hAnsi="Arial"/>
                <w:sz w:val="15"/>
                <w:szCs w:val="15"/>
                <w:color w:val="auto"/>
              </w:rPr>
              <w:t>86,415</w:t>
            </w: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Net balance</w:t>
            </w:r>
          </w:p>
        </w:tc>
        <w:tc>
          <w:tcPr>
            <w:tcW w:w="12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(269,637)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(328,484)</w:t>
            </w:r>
          </w:p>
        </w:tc>
        <w:tc>
          <w:tcPr>
            <w:tcW w:w="380" w:type="dxa"/>
            <w:vAlign w:val="bottom"/>
            <w:tcBorders>
              <w:bottom w:val="single" w:sz="8" w:color="auto"/>
            </w:tcBorders>
            <w:shd w:val="clear" w:color="auto" w:fill="CCEEFF"/>
          </w:tcPr>
          <w:p>
            <w:pPr>
              <w:jc w:val="center"/>
              <w:ind w:right="203"/>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5"/>
                <w:szCs w:val="15"/>
                <w:color w:val="auto"/>
              </w:rPr>
              <w:t>58,847</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Timing may differ between the satisfaction of performance obligations and the invoicing and collection of amounts related to our contracts with customers. We record assets for amounts related to performance obligations that are satisfied but not yet billed and/or collected. These assets are recorded as unbilled revenue and therefore contract assets rather than accounts receivable when receipt of the consideration is conditional on something other than the passage of time. Liabilities are recorded for amounts that are collected in advance of the satisfaction of performance obligations or billed in advance of the revenue being earned.</w:t>
      </w:r>
    </w:p>
    <w:p>
      <w:pPr>
        <w:spacing w:after="0" w:line="201"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Unbilled services/revenue balances arise where invoicing or billing is based on the timing of agreed milestones related to service contracts for clinical research. Contractual billing arrangements in respect of certain reimbursable expenses (principally investigators) require billing by the investigator to the Company prior to billing by the Company to the customer. As there is no contractual right of set-off between unbilled services (contract assets) and unearned revenue (contract liabilities), each are separately presented gross on the Condensed Consolidated Balance Sheet.</w:t>
      </w:r>
    </w:p>
    <w:p>
      <w:pPr>
        <w:spacing w:after="0" w:line="188"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Unbilled services as at September 30, 2025 decreased by $27.6 million compared to December 31, 2024. Unearned revenue decreased by $86.4 million over the same period resulting in a decrease of $58.8 million in the net balance of unbilled services and unearned revenue or payments on account between December 31, 2024 and September 30, 2025. These fluctuations are primarily due to the timing of payments and invoicing related to the Company's clinical trial management contracts. Billings and payments are established by contractual provisions on the delivery of units/milestones including predetermined payment schedules which may or may not correspond to the timing of the transfer of control of the Company's services under the contract. Unbilled services arise from long-term contracts when a cost-based input method of revenue recognition is applied and revenue recognized exceeds the amount billed to the customer.</w:t>
      </w:r>
    </w:p>
    <w:p>
      <w:pPr>
        <w:spacing w:after="0" w:line="202"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As of September 30, 2025, approximately $14.0 billion (December 31, 2024: $15.9 billion) of revenue is expected to be recognized in the future in respect of unsatisfied performance obligations. The Company expects to recognize revenue on approximately 51% of the unsatisfied performance obligations over the next 12 months (December 31, 2024: 47%), with the remainder recognized thereafter over the duration of the customer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73660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14" w:name="page15"/>
    <w:bookmarkEnd w:id="14"/>
    <w:p>
      <w:pPr>
        <w:spacing w:after="0"/>
        <w:rPr>
          <w:sz w:val="20"/>
          <w:szCs w:val="20"/>
          <w:color w:val="auto"/>
        </w:rPr>
      </w:pPr>
      <w:r>
        <w:rPr>
          <w:rFonts w:ascii="Arial" w:cs="Arial" w:eastAsia="Arial" w:hAnsi="Arial"/>
          <w:sz w:val="15"/>
          <w:szCs w:val="15"/>
          <w:b w:val="1"/>
          <w:bCs w:val="1"/>
          <w:color w:val="auto"/>
        </w:rPr>
        <w:t>5. Goodwill</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change in the carrying amount of goodwill between December 31, 2024 and September 30, 2025 is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140" w:type="dxa"/>
            <w:vAlign w:val="bottom"/>
            <w:shd w:val="clear" w:color="auto" w:fill="CCEEFF"/>
          </w:tcPr>
          <w:p>
            <w:pPr>
              <w:spacing w:after="0"/>
              <w:rPr>
                <w:sz w:val="14"/>
                <w:szCs w:val="14"/>
                <w:color w:val="auto"/>
              </w:rPr>
            </w:pPr>
          </w:p>
        </w:tc>
        <w:tc>
          <w:tcPr>
            <w:tcW w:w="460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Nine Months Ended</w:t>
            </w:r>
          </w:p>
        </w:tc>
        <w:tc>
          <w:tcPr>
            <w:tcW w:w="3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Year</w:t>
            </w:r>
          </w:p>
        </w:tc>
        <w:tc>
          <w:tcPr>
            <w:tcW w:w="0" w:type="dxa"/>
            <w:vAlign w:val="bottom"/>
          </w:tcPr>
          <w:p>
            <w:pPr>
              <w:spacing w:after="0"/>
              <w:rPr>
                <w:sz w:val="1"/>
                <w:szCs w:val="1"/>
                <w:color w:val="auto"/>
              </w:rPr>
            </w:pPr>
          </w:p>
        </w:tc>
      </w:tr>
      <w:tr>
        <w:trPr>
          <w:trHeight w:val="206"/>
        </w:trPr>
        <w:tc>
          <w:tcPr>
            <w:tcW w:w="5140" w:type="dxa"/>
            <w:vAlign w:val="bottom"/>
            <w:shd w:val="clear" w:color="auto" w:fill="CCEEFF"/>
          </w:tcPr>
          <w:p>
            <w:pPr>
              <w:spacing w:after="0"/>
              <w:rPr>
                <w:sz w:val="17"/>
                <w:szCs w:val="17"/>
                <w:color w:val="auto"/>
              </w:rPr>
            </w:pPr>
          </w:p>
        </w:tc>
        <w:tc>
          <w:tcPr>
            <w:tcW w:w="4600" w:type="dxa"/>
            <w:vAlign w:val="bottom"/>
            <w:gridSpan w:val="2"/>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Ended</w:t>
            </w:r>
          </w:p>
        </w:tc>
        <w:tc>
          <w:tcPr>
            <w:tcW w:w="0" w:type="dxa"/>
            <w:vAlign w:val="bottom"/>
          </w:tcPr>
          <w:p>
            <w:pPr>
              <w:spacing w:after="0"/>
              <w:rPr>
                <w:sz w:val="1"/>
                <w:szCs w:val="1"/>
                <w:color w:val="auto"/>
              </w:rPr>
            </w:pPr>
          </w:p>
        </w:tc>
      </w:tr>
      <w:tr>
        <w:trPr>
          <w:trHeight w:val="155"/>
        </w:trPr>
        <w:tc>
          <w:tcPr>
            <w:tcW w:w="514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240" w:type="dxa"/>
            <w:vAlign w:val="bottom"/>
          </w:tcPr>
          <w:p>
            <w:pPr>
              <w:jc w:val="right"/>
              <w:spacing w:after="0" w:line="155" w:lineRule="exact"/>
              <w:rPr>
                <w:sz w:val="20"/>
                <w:szCs w:val="20"/>
                <w:color w:val="auto"/>
              </w:rPr>
            </w:pPr>
            <w:r>
              <w:rPr>
                <w:rFonts w:ascii="Arial" w:cs="Arial" w:eastAsia="Arial" w:hAnsi="Arial"/>
                <w:sz w:val="15"/>
                <w:szCs w:val="15"/>
                <w:b w:val="1"/>
                <w:bCs w:val="1"/>
                <w:color w:val="auto"/>
              </w:rPr>
              <w:t>September 30,</w:t>
            </w:r>
          </w:p>
        </w:tc>
        <w:tc>
          <w:tcPr>
            <w:tcW w:w="30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206"/>
        </w:trPr>
        <w:tc>
          <w:tcPr>
            <w:tcW w:w="514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0" w:type="dxa"/>
            <w:vAlign w:val="bottom"/>
          </w:tcPr>
          <w:p>
            <w:pPr>
              <w:spacing w:after="0"/>
              <w:rPr>
                <w:sz w:val="1"/>
                <w:szCs w:val="1"/>
                <w:color w:val="auto"/>
              </w:rPr>
            </w:pPr>
          </w:p>
        </w:tc>
      </w:tr>
      <w:tr>
        <w:trPr>
          <w:trHeight w:val="199"/>
        </w:trPr>
        <w:tc>
          <w:tcPr>
            <w:tcW w:w="5140" w:type="dxa"/>
            <w:vAlign w:val="bottom"/>
            <w:shd w:val="clear" w:color="auto" w:fill="CCEEFF"/>
          </w:tcPr>
          <w:p>
            <w:pPr>
              <w:spacing w:after="0"/>
              <w:rPr>
                <w:sz w:val="17"/>
                <w:szCs w:val="17"/>
                <w:color w:val="auto"/>
              </w:rPr>
            </w:pPr>
          </w:p>
        </w:tc>
        <w:tc>
          <w:tcPr>
            <w:tcW w:w="3360" w:type="dxa"/>
            <w:vAlign w:val="bottom"/>
            <w:shd w:val="clear" w:color="auto" w:fill="CCEEFF"/>
          </w:tcPr>
          <w:p>
            <w:pPr>
              <w:spacing w:after="0"/>
              <w:rPr>
                <w:sz w:val="17"/>
                <w:szCs w:val="17"/>
                <w:color w:val="auto"/>
              </w:rPr>
            </w:pPr>
          </w:p>
        </w:tc>
        <w:tc>
          <w:tcPr>
            <w:tcW w:w="2740" w:type="dxa"/>
            <w:vAlign w:val="bottom"/>
            <w:gridSpan w:val="3"/>
            <w:shd w:val="clear" w:color="auto" w:fill="CCEEFF"/>
          </w:tcPr>
          <w:p>
            <w:pPr>
              <w:jc w:val="right"/>
              <w:ind w:right="903"/>
              <w:spacing w:after="0"/>
              <w:rPr>
                <w:sz w:val="20"/>
                <w:szCs w:val="20"/>
                <w:color w:val="auto"/>
              </w:rPr>
            </w:pPr>
            <w:r>
              <w:rPr>
                <w:rFonts w:ascii="Arial" w:cs="Arial" w:eastAsia="Arial" w:hAnsi="Arial"/>
                <w:sz w:val="15"/>
                <w:szCs w:val="15"/>
                <w:b w:val="1"/>
                <w:bCs w:val="1"/>
                <w:color w:val="auto"/>
              </w:rPr>
              <w:t>(in thousands)</w:t>
            </w:r>
          </w:p>
        </w:tc>
        <w:tc>
          <w:tcPr>
            <w:tcW w:w="0" w:type="dxa"/>
            <w:vAlign w:val="bottom"/>
          </w:tcPr>
          <w:p>
            <w:pPr>
              <w:spacing w:after="0"/>
              <w:rPr>
                <w:sz w:val="1"/>
                <w:szCs w:val="1"/>
                <w:color w:val="auto"/>
              </w:rPr>
            </w:pPr>
          </w:p>
        </w:tc>
      </w:tr>
      <w:tr>
        <w:trPr>
          <w:trHeight w:val="205"/>
        </w:trPr>
        <w:tc>
          <w:tcPr>
            <w:tcW w:w="5140" w:type="dxa"/>
            <w:vAlign w:val="bottom"/>
          </w:tcPr>
          <w:p>
            <w:pPr>
              <w:ind w:left="20"/>
              <w:spacing w:after="0"/>
              <w:rPr>
                <w:sz w:val="20"/>
                <w:szCs w:val="20"/>
                <w:color w:val="auto"/>
              </w:rPr>
            </w:pPr>
            <w:r>
              <w:rPr>
                <w:rFonts w:ascii="Arial" w:cs="Arial" w:eastAsia="Arial" w:hAnsi="Arial"/>
                <w:sz w:val="15"/>
                <w:szCs w:val="15"/>
                <w:color w:val="auto"/>
              </w:rPr>
              <w:t>Opening balance</w:t>
            </w:r>
          </w:p>
        </w:tc>
        <w:tc>
          <w:tcPr>
            <w:tcW w:w="336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3"/>
              <w:spacing w:after="0"/>
              <w:rPr>
                <w:sz w:val="20"/>
                <w:szCs w:val="20"/>
                <w:color w:val="auto"/>
              </w:rPr>
            </w:pPr>
            <w:r>
              <w:rPr>
                <w:rFonts w:ascii="Arial" w:cs="Arial" w:eastAsia="Arial" w:hAnsi="Arial"/>
                <w:sz w:val="15"/>
                <w:szCs w:val="15"/>
                <w:color w:val="auto"/>
              </w:rPr>
              <w:t>9,051,410</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9,022,075</w:t>
            </w:r>
          </w:p>
        </w:tc>
        <w:tc>
          <w:tcPr>
            <w:tcW w:w="0" w:type="dxa"/>
            <w:vAlign w:val="bottom"/>
          </w:tcPr>
          <w:p>
            <w:pPr>
              <w:spacing w:after="0"/>
              <w:rPr>
                <w:sz w:val="1"/>
                <w:szCs w:val="1"/>
                <w:color w:val="auto"/>
              </w:rPr>
            </w:pPr>
          </w:p>
        </w:tc>
      </w:tr>
      <w:tr>
        <w:trPr>
          <w:trHeight w:val="207"/>
        </w:trPr>
        <w:tc>
          <w:tcPr>
            <w:tcW w:w="5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Current period acquisitions</w:t>
            </w:r>
          </w:p>
        </w:tc>
        <w:tc>
          <w:tcPr>
            <w:tcW w:w="3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46,126</w:t>
            </w:r>
          </w:p>
        </w:tc>
        <w:tc>
          <w:tcPr>
            <w:tcW w:w="0" w:type="dxa"/>
            <w:vAlign w:val="bottom"/>
          </w:tcPr>
          <w:p>
            <w:pPr>
              <w:spacing w:after="0"/>
              <w:rPr>
                <w:sz w:val="1"/>
                <w:szCs w:val="1"/>
                <w:color w:val="auto"/>
              </w:rPr>
            </w:pPr>
          </w:p>
        </w:tc>
      </w:tr>
      <w:tr>
        <w:trPr>
          <w:trHeight w:val="205"/>
        </w:trPr>
        <w:tc>
          <w:tcPr>
            <w:tcW w:w="5140" w:type="dxa"/>
            <w:vAlign w:val="bottom"/>
          </w:tcPr>
          <w:p>
            <w:pPr>
              <w:ind w:left="20"/>
              <w:spacing w:after="0"/>
              <w:rPr>
                <w:sz w:val="20"/>
                <w:szCs w:val="20"/>
                <w:color w:val="auto"/>
              </w:rPr>
            </w:pPr>
            <w:r>
              <w:rPr>
                <w:rFonts w:ascii="Arial" w:cs="Arial" w:eastAsia="Arial" w:hAnsi="Arial"/>
                <w:sz w:val="15"/>
                <w:szCs w:val="15"/>
                <w:color w:val="auto"/>
              </w:rPr>
              <w:t>Prior period acquisitions</w:t>
            </w:r>
          </w:p>
        </w:tc>
        <w:tc>
          <w:tcPr>
            <w:tcW w:w="336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5"/>
                <w:szCs w:val="15"/>
                <w:color w:val="auto"/>
              </w:rPr>
              <w:t>5,108</w:t>
            </w:r>
          </w:p>
        </w:tc>
        <w:tc>
          <w:tcPr>
            <w:tcW w:w="3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5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Impairment</w:t>
            </w:r>
          </w:p>
        </w:tc>
        <w:tc>
          <w:tcPr>
            <w:tcW w:w="3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(165,300)</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5"/>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Foreign exchange movement</w:t>
            </w:r>
          </w:p>
        </w:tc>
        <w:tc>
          <w:tcPr>
            <w:tcW w:w="3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36,105</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(16,791)</w:t>
            </w:r>
          </w:p>
        </w:tc>
        <w:tc>
          <w:tcPr>
            <w:tcW w:w="0" w:type="dxa"/>
            <w:vAlign w:val="bottom"/>
          </w:tcPr>
          <w:p>
            <w:pPr>
              <w:spacing w:after="0"/>
              <w:rPr>
                <w:sz w:val="1"/>
                <w:szCs w:val="1"/>
                <w:color w:val="auto"/>
              </w:rPr>
            </w:pPr>
          </w:p>
        </w:tc>
      </w:tr>
      <w:tr>
        <w:trPr>
          <w:trHeight w:val="224"/>
        </w:trPr>
        <w:tc>
          <w:tcPr>
            <w:tcW w:w="5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Closing balance</w:t>
            </w:r>
          </w:p>
        </w:tc>
        <w:tc>
          <w:tcPr>
            <w:tcW w:w="33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8,927,323</w:t>
            </w:r>
          </w:p>
        </w:tc>
        <w:tc>
          <w:tcPr>
            <w:tcW w:w="3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9,051,410</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auto"/>
            </w:tcBorders>
          </w:tcPr>
          <w:p>
            <w:pPr>
              <w:spacing w:after="0" w:line="20" w:lineRule="exact"/>
              <w:rPr>
                <w:sz w:val="1"/>
                <w:szCs w:val="1"/>
                <w:color w:val="auto"/>
              </w:rPr>
            </w:pPr>
          </w:p>
        </w:tc>
        <w:tc>
          <w:tcPr>
            <w:tcW w:w="3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The Company completed its annual assessment for impairment as at September 30, 2025, performing a quantitative assessment using a discounted cash flow method under the income approach to estimate the fair values of each reporting unit.</w:t>
      </w:r>
    </w:p>
    <w:p>
      <w:pPr>
        <w:spacing w:after="0" w:line="183"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As a result of this annual impairment test of goodwill, a non-cash goodwill impairment charge of $165.3 million (September 30, 2024: $nil) was recorded in respect of the Data Solutions Reporting Unit. This impairment was primarily driven by macroeconomic factors and revised expectations of the future performance of this business. The significant assumptions used in the discounted cash flow calculation for the Data Solutions Reporting Unit were the discount rate, annual cash flow projections, and expected terminal growth rate.</w:t>
      </w:r>
    </w:p>
    <w:p>
      <w:pPr>
        <w:spacing w:after="0" w:line="188" w:lineRule="exact"/>
        <w:rPr>
          <w:sz w:val="20"/>
          <w:szCs w:val="20"/>
          <w:color w:val="auto"/>
        </w:rPr>
      </w:pPr>
    </w:p>
    <w:p>
      <w:pPr>
        <w:ind w:left="620"/>
        <w:spacing w:after="0"/>
        <w:rPr>
          <w:sz w:val="20"/>
          <w:szCs w:val="20"/>
          <w:color w:val="auto"/>
        </w:rPr>
      </w:pPr>
      <w:r>
        <w:rPr>
          <w:rFonts w:ascii="Arial" w:cs="Arial" w:eastAsia="Arial" w:hAnsi="Arial"/>
          <w:sz w:val="15"/>
          <w:szCs w:val="15"/>
          <w:i w:val="1"/>
          <w:iCs w:val="1"/>
          <w:color w:val="auto"/>
        </w:rPr>
        <w:t>KCR S.A. Group Acquisition</w:t>
      </w:r>
    </w:p>
    <w:p>
      <w:pPr>
        <w:spacing w:after="0" w:line="253"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On August 19, 2024, the Company acquired the KCR S.A. Group ("KCR"), a CRO offering full service and functional services partnership ("FSP") clinical trial services, in exchange for consideration of $92.5 million. The acquisition of KCR has been accounted for as a business combination in accordance with ASC 805 'Business Combinations' ('ASC 805').</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5"/>
          <w:szCs w:val="15"/>
          <w:color w:val="auto"/>
        </w:rPr>
        <w:t>Deferred consideration of $1.3 million was paid during the nine months ended September 30, 2025.</w:t>
      </w:r>
    </w:p>
    <w:p>
      <w:pPr>
        <w:spacing w:after="0" w:line="240"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The purchase price allocation resulted in the recognition of goodwill of $43.4 million and intangible assets of $45.1 million, comprising customer relationships of $41.4 million and order backlog of $3.7 million. Goodwill arising in connection with the acquisition is primarily attributable to the assembled workforce of KCR and the expected synergies of the acquisition. The goodwill recognized is not deductible for income tax purposes.</w:t>
      </w:r>
    </w:p>
    <w:p>
      <w:pPr>
        <w:spacing w:after="0" w:line="191"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In finalizing the goodwill on acquisition in the twelve month period from acquisition, fair value adjustments were made which resulted in an increase to Goodwill of $5.1 million.</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5"/>
          <w:szCs w:val="15"/>
          <w:i w:val="1"/>
          <w:iCs w:val="1"/>
          <w:color w:val="auto"/>
        </w:rPr>
        <w:t>HumanFirst Inc.</w:t>
      </w:r>
    </w:p>
    <w:p>
      <w:pPr>
        <w:spacing w:after="0" w:line="253"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On January 9, 2024, the Company acquired HumanFirst Inc. ("HumanFirst"), a life sciences technology company in exchange for consideration of $13.3 million. The acquisition of HumanFirst has been accounted for as a business combination in accordance with ASC 805.</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15"/>
          <w:szCs w:val="15"/>
          <w:color w:val="auto"/>
        </w:rPr>
        <w:t>Deferred consideration of $1.2 million was paid during the nine months ended September 30, 2025.</w:t>
      </w:r>
    </w:p>
    <w:p>
      <w:pPr>
        <w:spacing w:after="0" w:line="240"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The final purchase price allocation resulted in the recognition of goodwill of $2.7 million and a developed technology intangible asset of $9.9 million. Goodwill arising in connection with the acquisition is primarily attributable to the assembled workforce of HumanFirst. The goodwill recognized is not deductible for income tax purposes.</w:t>
      </w:r>
    </w:p>
    <w:p>
      <w:pPr>
        <w:spacing w:after="0" w:line="178" w:lineRule="exact"/>
        <w:rPr>
          <w:sz w:val="20"/>
          <w:szCs w:val="20"/>
          <w:color w:val="auto"/>
        </w:rPr>
      </w:pPr>
    </w:p>
    <w:p>
      <w:pPr>
        <w:jc w:val="both"/>
        <w:ind w:firstLine="619"/>
        <w:spacing w:after="0" w:line="296" w:lineRule="auto"/>
        <w:rPr>
          <w:sz w:val="20"/>
          <w:szCs w:val="20"/>
          <w:color w:val="auto"/>
        </w:rPr>
      </w:pPr>
      <w:r>
        <w:rPr>
          <w:rFonts w:ascii="Arial" w:cs="Arial" w:eastAsia="Arial" w:hAnsi="Arial"/>
          <w:sz w:val="15"/>
          <w:szCs w:val="15"/>
          <w:color w:val="auto"/>
        </w:rPr>
        <w:t>Please refer to the section entitled "Risk Factors" of our Form 20-F filed on February 21, 2025 for a discussion of some of the principal risks that could adversely affect our business, operations and financial results including 'impairment of goodwill and intangible assets may adversely impact future results of operations'.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15" w:name="page16"/>
    <w:bookmarkEnd w:id="15"/>
    <w:p>
      <w:pPr>
        <w:spacing w:after="0"/>
        <w:rPr>
          <w:sz w:val="20"/>
          <w:szCs w:val="20"/>
          <w:color w:val="auto"/>
        </w:rPr>
      </w:pPr>
      <w:r>
        <w:rPr>
          <w:rFonts w:ascii="Arial" w:cs="Arial" w:eastAsia="Arial" w:hAnsi="Arial"/>
          <w:sz w:val="15"/>
          <w:szCs w:val="15"/>
          <w:b w:val="1"/>
          <w:bCs w:val="1"/>
          <w:color w:val="auto"/>
        </w:rPr>
        <w:t>6. Intangible assets</w:t>
      </w:r>
    </w:p>
    <w:p>
      <w:pPr>
        <w:spacing w:after="0" w:line="24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carrying amount of Intangible Assets as of September 30, 2025 and December 31, 2024 is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20" w:type="dxa"/>
            <w:vAlign w:val="bottom"/>
            <w:shd w:val="clear" w:color="auto" w:fill="CCEEFF"/>
          </w:tcPr>
          <w:p>
            <w:pPr>
              <w:spacing w:after="0"/>
              <w:rPr>
                <w:sz w:val="14"/>
                <w:szCs w:val="14"/>
                <w:color w:val="auto"/>
              </w:rPr>
            </w:pPr>
          </w:p>
        </w:tc>
        <w:tc>
          <w:tcPr>
            <w:tcW w:w="34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September 30,</w:t>
            </w:r>
          </w:p>
        </w:tc>
        <w:tc>
          <w:tcPr>
            <w:tcW w:w="3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December 31,</w:t>
            </w:r>
          </w:p>
        </w:tc>
      </w:tr>
      <w:tr>
        <w:trPr>
          <w:trHeight w:val="206"/>
        </w:trPr>
        <w:tc>
          <w:tcPr>
            <w:tcW w:w="5020" w:type="dxa"/>
            <w:vAlign w:val="bottom"/>
            <w:tcBorders>
              <w:bottom w:val="single" w:sz="8" w:color="auto"/>
            </w:tcBorders>
            <w:shd w:val="clear" w:color="auto" w:fill="CCEEFF"/>
          </w:tcPr>
          <w:p>
            <w:pPr>
              <w:spacing w:after="0"/>
              <w:rPr>
                <w:sz w:val="17"/>
                <w:szCs w:val="17"/>
                <w:color w:val="auto"/>
              </w:rPr>
            </w:pPr>
          </w:p>
        </w:tc>
        <w:tc>
          <w:tcPr>
            <w:tcW w:w="34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2025</w:t>
            </w:r>
          </w:p>
        </w:tc>
        <w:tc>
          <w:tcPr>
            <w:tcW w:w="3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2024</w:t>
            </w:r>
          </w:p>
        </w:tc>
      </w:tr>
      <w:tr>
        <w:trPr>
          <w:trHeight w:val="199"/>
        </w:trPr>
        <w:tc>
          <w:tcPr>
            <w:tcW w:w="50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2740" w:type="dxa"/>
            <w:vAlign w:val="bottom"/>
            <w:gridSpan w:val="3"/>
          </w:tcPr>
          <w:p>
            <w:pPr>
              <w:jc w:val="right"/>
              <w:ind w:right="903"/>
              <w:spacing w:after="0"/>
              <w:rPr>
                <w:sz w:val="20"/>
                <w:szCs w:val="20"/>
                <w:color w:val="auto"/>
              </w:rPr>
            </w:pPr>
            <w:r>
              <w:rPr>
                <w:rFonts w:ascii="Arial" w:cs="Arial" w:eastAsia="Arial" w:hAnsi="Arial"/>
                <w:sz w:val="15"/>
                <w:szCs w:val="15"/>
                <w:b w:val="1"/>
                <w:bCs w:val="1"/>
                <w:color w:val="auto"/>
              </w:rPr>
              <w:t>(in thousands)</w:t>
            </w:r>
          </w:p>
        </w:tc>
      </w:tr>
      <w:tr>
        <w:trPr>
          <w:trHeight w:val="206"/>
        </w:trPr>
        <w:tc>
          <w:tcPr>
            <w:tcW w:w="50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Cost</w:t>
            </w:r>
          </w:p>
        </w:tc>
        <w:tc>
          <w:tcPr>
            <w:tcW w:w="34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05"/>
        </w:trPr>
        <w:tc>
          <w:tcPr>
            <w:tcW w:w="5020" w:type="dxa"/>
            <w:vAlign w:val="bottom"/>
          </w:tcPr>
          <w:p>
            <w:pPr>
              <w:ind w:left="20"/>
              <w:spacing w:after="0"/>
              <w:rPr>
                <w:sz w:val="20"/>
                <w:szCs w:val="20"/>
                <w:color w:val="auto"/>
              </w:rPr>
            </w:pPr>
            <w:r>
              <w:rPr>
                <w:rFonts w:ascii="Arial" w:cs="Arial" w:eastAsia="Arial" w:hAnsi="Arial"/>
                <w:sz w:val="15"/>
                <w:szCs w:val="15"/>
                <w:color w:val="auto"/>
              </w:rPr>
              <w:t>Customer relationships</w:t>
            </w:r>
          </w:p>
        </w:tc>
        <w:tc>
          <w:tcPr>
            <w:tcW w:w="34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3"/>
              <w:spacing w:after="0"/>
              <w:rPr>
                <w:sz w:val="20"/>
                <w:szCs w:val="20"/>
                <w:color w:val="auto"/>
              </w:rPr>
            </w:pPr>
            <w:r>
              <w:rPr>
                <w:rFonts w:ascii="Arial" w:cs="Arial" w:eastAsia="Arial" w:hAnsi="Arial"/>
                <w:sz w:val="15"/>
                <w:szCs w:val="15"/>
                <w:color w:val="auto"/>
              </w:rPr>
              <w:t>4,134,107</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4,129,501</w:t>
            </w:r>
          </w:p>
        </w:tc>
      </w:tr>
      <w:tr>
        <w:trPr>
          <w:trHeight w:val="207"/>
        </w:trPr>
        <w:tc>
          <w:tcPr>
            <w:tcW w:w="5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Order backlog</w:t>
            </w:r>
          </w:p>
        </w:tc>
        <w:tc>
          <w:tcPr>
            <w:tcW w:w="34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545,922</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543,933</w:t>
            </w:r>
          </w:p>
        </w:tc>
      </w:tr>
      <w:tr>
        <w:trPr>
          <w:trHeight w:val="205"/>
        </w:trPr>
        <w:tc>
          <w:tcPr>
            <w:tcW w:w="5020" w:type="dxa"/>
            <w:vAlign w:val="bottom"/>
          </w:tcPr>
          <w:p>
            <w:pPr>
              <w:ind w:left="20"/>
              <w:spacing w:after="0"/>
              <w:rPr>
                <w:sz w:val="20"/>
                <w:szCs w:val="20"/>
                <w:color w:val="auto"/>
              </w:rPr>
            </w:pPr>
            <w:r>
              <w:rPr>
                <w:rFonts w:ascii="Arial" w:cs="Arial" w:eastAsia="Arial" w:hAnsi="Arial"/>
                <w:sz w:val="15"/>
                <w:szCs w:val="15"/>
                <w:color w:val="auto"/>
              </w:rPr>
              <w:t>Trade names &amp; brands</w:t>
            </w:r>
          </w:p>
        </w:tc>
        <w:tc>
          <w:tcPr>
            <w:tcW w:w="348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5"/>
                <w:szCs w:val="15"/>
                <w:color w:val="auto"/>
              </w:rPr>
              <w:t>204,713</w:t>
            </w:r>
          </w:p>
        </w:tc>
        <w:tc>
          <w:tcPr>
            <w:tcW w:w="3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204,588</w:t>
            </w:r>
          </w:p>
        </w:tc>
      </w:tr>
      <w:tr>
        <w:trPr>
          <w:trHeight w:val="207"/>
        </w:trPr>
        <w:tc>
          <w:tcPr>
            <w:tcW w:w="5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Patient database</w:t>
            </w:r>
          </w:p>
        </w:tc>
        <w:tc>
          <w:tcPr>
            <w:tcW w:w="34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170,487</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170,324</w:t>
            </w:r>
          </w:p>
        </w:tc>
      </w:tr>
      <w:tr>
        <w:trPr>
          <w:trHeight w:val="205"/>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Technology assets</w:t>
            </w:r>
          </w:p>
        </w:tc>
        <w:tc>
          <w:tcPr>
            <w:tcW w:w="34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151,691</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150,658</w:t>
            </w:r>
          </w:p>
        </w:tc>
      </w:tr>
      <w:tr>
        <w:trPr>
          <w:trHeight w:val="200"/>
        </w:trPr>
        <w:tc>
          <w:tcPr>
            <w:tcW w:w="5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cost</w:t>
            </w:r>
          </w:p>
        </w:tc>
        <w:tc>
          <w:tcPr>
            <w:tcW w:w="34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5,206,920</w:t>
            </w: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5,199,004</w:t>
            </w:r>
          </w:p>
        </w:tc>
      </w:tr>
      <w:tr>
        <w:trPr>
          <w:trHeight w:val="205"/>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Accumulated amortization</w:t>
            </w:r>
          </w:p>
        </w:tc>
        <w:tc>
          <w:tcPr>
            <w:tcW w:w="34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(1,822,598)</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(1,639,212)</w:t>
            </w:r>
          </w:p>
        </w:tc>
      </w:tr>
      <w:tr>
        <w:trPr>
          <w:trHeight w:val="224"/>
        </w:trPr>
        <w:tc>
          <w:tcPr>
            <w:tcW w:w="50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5"/>
                <w:szCs w:val="15"/>
                <w:color w:val="auto"/>
              </w:rPr>
              <w:t>Net book value</w:t>
            </w:r>
          </w:p>
        </w:tc>
        <w:tc>
          <w:tcPr>
            <w:tcW w:w="34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3,384,322</w:t>
            </w:r>
          </w:p>
        </w:tc>
        <w:tc>
          <w:tcPr>
            <w:tcW w:w="3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3,559,792</w:t>
            </w:r>
          </w:p>
        </w:tc>
      </w:tr>
      <w:tr>
        <w:trPr>
          <w:trHeight w:val="20"/>
        </w:trPr>
        <w:tc>
          <w:tcPr>
            <w:tcW w:w="5020" w:type="dxa"/>
            <w:vAlign w:val="bottom"/>
            <w:tcBorders>
              <w:top w:val="single" w:sz="8" w:color="CCEEFF"/>
              <w:bottom w:val="single" w:sz="8" w:color="auto"/>
            </w:tcBorders>
          </w:tcPr>
          <w:p>
            <w:pPr>
              <w:spacing w:after="0" w:line="20" w:lineRule="exact"/>
              <w:rPr>
                <w:sz w:val="1"/>
                <w:szCs w:val="1"/>
                <w:color w:val="auto"/>
              </w:rPr>
            </w:pPr>
          </w:p>
        </w:tc>
        <w:tc>
          <w:tcPr>
            <w:tcW w:w="34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In the three months ended September 30, 2025, the amortization expense recognized by the Company was $58.7 million (three months ended September 30, 2024: $58.0 million).</w:t>
      </w:r>
    </w:p>
    <w:p>
      <w:pPr>
        <w:spacing w:after="0" w:line="157"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In the nine months ended September 30, 2025, the amortization expense recognized by the Company was $176.7 million (nine months ended September 30, 2024: $291.0 million and year ended December 31, 2024: $350.3 million). The decrease in amortization is due to the order backlog and trade name intangible assets recognized in connection with the merger of Indigo Merger Sub, Inc., a Delaware corporation and subsidiary of ICON, with and into PRA Health Sciences, Inc., the parent of PRA Health Sciences on July 1, 2021 ("PRA Merger") amounting to $500.0 million and $202.0 million respectively as of the date of acquisition, becoming fully amortized on July 1, 2024.</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There were no additions to intangible assets during the nine months ended September 30, 2025.</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7. Fair value measurements</w:t>
      </w:r>
    </w:p>
    <w:p>
      <w:pPr>
        <w:spacing w:after="0" w:line="242"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 Company records certain assets and liabilities at fair value. Fair value is defined as the price that would be received to sell an asset, or paid to transfer a liability in the principal or most advantageous market for the asset or liability in an orderly transaction between market participants at the measurement date. A three-level fair value hierarchy that prioritizes the inputs used to measure fair value is described below. This hierarchy requires entities to maximize the use of observable inputs and minimize the use of unobservable inputs. The three levels of inputs used to measure fair value are as follows:</w:t>
      </w:r>
    </w:p>
    <w:p>
      <w:pPr>
        <w:spacing w:after="0" w:line="201" w:lineRule="exact"/>
        <w:rPr>
          <w:sz w:val="20"/>
          <w:szCs w:val="20"/>
          <w:color w:val="auto"/>
        </w:rPr>
      </w:pPr>
    </w:p>
    <w:p>
      <w:pPr>
        <w:ind w:left="620" w:hanging="307"/>
        <w:spacing w:after="0"/>
        <w:tabs>
          <w:tab w:leader="none" w:pos="620" w:val="left"/>
        </w:tabs>
        <w:numPr>
          <w:ilvl w:val="0"/>
          <w:numId w:val="1"/>
        </w:numPr>
        <w:rPr>
          <w:rFonts w:ascii="Arial" w:cs="Arial" w:eastAsia="Arial" w:hAnsi="Arial"/>
          <w:sz w:val="15"/>
          <w:szCs w:val="15"/>
          <w:color w:val="auto"/>
        </w:rPr>
      </w:pPr>
      <w:r>
        <w:rPr>
          <w:rFonts w:ascii="Arial" w:cs="Arial" w:eastAsia="Arial" w:hAnsi="Arial"/>
          <w:sz w:val="15"/>
          <w:szCs w:val="15"/>
          <w:color w:val="auto"/>
        </w:rPr>
        <w:t>Level 1 — Quoted prices in active markets for identical assets or liabilities.</w:t>
      </w:r>
    </w:p>
    <w:p>
      <w:pPr>
        <w:spacing w:after="0" w:line="22" w:lineRule="exact"/>
        <w:rPr>
          <w:rFonts w:ascii="Arial" w:cs="Arial" w:eastAsia="Arial" w:hAnsi="Arial"/>
          <w:sz w:val="15"/>
          <w:szCs w:val="15"/>
          <w:color w:val="auto"/>
        </w:rPr>
      </w:pPr>
    </w:p>
    <w:p>
      <w:pPr>
        <w:jc w:val="both"/>
        <w:ind w:left="620" w:hanging="307"/>
        <w:spacing w:after="0" w:line="274" w:lineRule="auto"/>
        <w:tabs>
          <w:tab w:leader="none" w:pos="609" w:val="left"/>
        </w:tabs>
        <w:numPr>
          <w:ilvl w:val="0"/>
          <w:numId w:val="1"/>
        </w:numPr>
        <w:rPr>
          <w:rFonts w:ascii="Arial" w:cs="Arial" w:eastAsia="Arial" w:hAnsi="Arial"/>
          <w:sz w:val="15"/>
          <w:szCs w:val="15"/>
          <w:color w:val="auto"/>
        </w:rPr>
      </w:pPr>
      <w:r>
        <w:rPr>
          <w:rFonts w:ascii="Arial" w:cs="Arial" w:eastAsia="Arial" w:hAnsi="Arial"/>
          <w:sz w:val="15"/>
          <w:szCs w:val="15"/>
          <w:color w:val="auto"/>
        </w:rPr>
        <w:t>Level 2 —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160" w:lineRule="exact"/>
        <w:rPr>
          <w:rFonts w:ascii="Arial" w:cs="Arial" w:eastAsia="Arial" w:hAnsi="Arial"/>
          <w:sz w:val="15"/>
          <w:szCs w:val="15"/>
          <w:color w:val="auto"/>
        </w:rPr>
      </w:pPr>
    </w:p>
    <w:p>
      <w:pPr>
        <w:ind w:left="620" w:hanging="307"/>
        <w:spacing w:after="0" w:line="275" w:lineRule="auto"/>
        <w:tabs>
          <w:tab w:leader="none" w:pos="609" w:val="left"/>
        </w:tabs>
        <w:numPr>
          <w:ilvl w:val="0"/>
          <w:numId w:val="1"/>
        </w:numPr>
        <w:rPr>
          <w:rFonts w:ascii="Arial" w:cs="Arial" w:eastAsia="Arial" w:hAnsi="Arial"/>
          <w:sz w:val="15"/>
          <w:szCs w:val="15"/>
          <w:color w:val="auto"/>
        </w:rPr>
      </w:pPr>
      <w:r>
        <w:rPr>
          <w:rFonts w:ascii="Arial" w:cs="Arial" w:eastAsia="Arial" w:hAnsi="Arial"/>
          <w:sz w:val="15"/>
          <w:szCs w:val="15"/>
          <w:color w:val="auto"/>
        </w:rPr>
        <w:t>Level 3 — Unobservable inputs that are supported by little or no market activity. This includes certain pricing models, discounted cash flow methodologies, and similar techniques that use significant unobservable inputs.</w:t>
      </w:r>
    </w:p>
    <w:p>
      <w:pPr>
        <w:spacing w:after="0" w:line="197" w:lineRule="exact"/>
        <w:rPr>
          <w:sz w:val="20"/>
          <w:szCs w:val="20"/>
          <w:color w:val="auto"/>
        </w:rPr>
      </w:pPr>
    </w:p>
    <w:p>
      <w:pPr>
        <w:ind w:firstLine="619"/>
        <w:spacing w:after="0" w:line="294" w:lineRule="auto"/>
        <w:rPr>
          <w:sz w:val="20"/>
          <w:szCs w:val="20"/>
          <w:color w:val="auto"/>
        </w:rPr>
      </w:pPr>
      <w:r>
        <w:rPr>
          <w:rFonts w:ascii="Arial" w:cs="Arial" w:eastAsia="Arial" w:hAnsi="Arial"/>
          <w:sz w:val="15"/>
          <w:szCs w:val="15"/>
          <w:color w:val="auto"/>
        </w:rPr>
        <w:t>The carrying amounts of financial instruments, including cash and cash equivalents, accounts receivable and accounts payable approximate fair value due to the short maturities of these instruments.</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15"/>
          <w:szCs w:val="15"/>
          <w:color w:val="auto"/>
        </w:rPr>
        <w:t>As of September 30, 2025, the fair value of the major classes of the Company's assets and liabilities measured at fair value on a recurring basis were as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8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Investments</w:t>
            </w: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080" w:type="dxa"/>
            <w:vAlign w:val="bottom"/>
            <w:shd w:val="clear" w:color="auto" w:fill="CCEEFF"/>
          </w:tcPr>
          <w:p>
            <w:pPr>
              <w:spacing w:after="0"/>
              <w:rPr>
                <w:sz w:val="13"/>
                <w:szCs w:val="13"/>
                <w:color w:val="auto"/>
              </w:rPr>
            </w:pPr>
          </w:p>
        </w:tc>
        <w:tc>
          <w:tcPr>
            <w:tcW w:w="1980" w:type="dxa"/>
            <w:vAlign w:val="bottom"/>
            <w:shd w:val="clear" w:color="auto" w:fill="CCEEFF"/>
          </w:tcPr>
          <w:p>
            <w:pPr>
              <w:spacing w:after="0"/>
              <w:rPr>
                <w:sz w:val="13"/>
                <w:szCs w:val="13"/>
                <w:color w:val="auto"/>
              </w:rPr>
            </w:pPr>
          </w:p>
        </w:tc>
        <w:tc>
          <w:tcPr>
            <w:tcW w:w="1320" w:type="dxa"/>
            <w:vAlign w:val="bottom"/>
            <w:vMerge w:val="restart"/>
            <w:shd w:val="clear" w:color="auto" w:fill="CCEEFF"/>
          </w:tcPr>
          <w:p>
            <w:pPr>
              <w:ind w:left="340"/>
              <w:spacing w:after="0"/>
              <w:rPr>
                <w:sz w:val="20"/>
                <w:szCs w:val="20"/>
                <w:color w:val="auto"/>
              </w:rPr>
            </w:pPr>
            <w:r>
              <w:rPr>
                <w:rFonts w:ascii="Arial" w:cs="Arial" w:eastAsia="Arial" w:hAnsi="Arial"/>
                <w:sz w:val="15"/>
                <w:szCs w:val="15"/>
                <w:b w:val="1"/>
                <w:bCs w:val="1"/>
                <w:color w:val="auto"/>
              </w:rPr>
              <w:t>Level 1</w:t>
            </w:r>
          </w:p>
        </w:tc>
        <w:tc>
          <w:tcPr>
            <w:tcW w:w="1000" w:type="dxa"/>
            <w:vAlign w:val="bottom"/>
            <w:vMerge w:val="restart"/>
            <w:shd w:val="clear" w:color="auto" w:fill="CCEEFF"/>
          </w:tcPr>
          <w:p>
            <w:pPr>
              <w:ind w:left="340"/>
              <w:spacing w:after="0"/>
              <w:rPr>
                <w:sz w:val="20"/>
                <w:szCs w:val="20"/>
                <w:color w:val="auto"/>
              </w:rPr>
            </w:pPr>
            <w:r>
              <w:rPr>
                <w:rFonts w:ascii="Arial" w:cs="Arial" w:eastAsia="Arial" w:hAnsi="Arial"/>
                <w:sz w:val="15"/>
                <w:szCs w:val="15"/>
                <w:b w:val="1"/>
                <w:bCs w:val="1"/>
                <w:color w:val="auto"/>
              </w:rPr>
              <w:t>Level 2</w:t>
            </w:r>
          </w:p>
        </w:tc>
        <w:tc>
          <w:tcPr>
            <w:tcW w:w="1320" w:type="dxa"/>
            <w:vAlign w:val="bottom"/>
            <w:vMerge w:val="restart"/>
            <w:shd w:val="clear" w:color="auto" w:fill="CCEEFF"/>
          </w:tcPr>
          <w:p>
            <w:pPr>
              <w:ind w:left="660"/>
              <w:spacing w:after="0"/>
              <w:rPr>
                <w:sz w:val="20"/>
                <w:szCs w:val="20"/>
                <w:color w:val="auto"/>
              </w:rPr>
            </w:pPr>
            <w:r>
              <w:rPr>
                <w:rFonts w:ascii="Arial" w:cs="Arial" w:eastAsia="Arial" w:hAnsi="Arial"/>
                <w:sz w:val="15"/>
                <w:szCs w:val="15"/>
                <w:b w:val="1"/>
                <w:bCs w:val="1"/>
                <w:color w:val="auto"/>
              </w:rPr>
              <w:t>Level 3</w:t>
            </w:r>
          </w:p>
        </w:tc>
        <w:tc>
          <w:tcPr>
            <w:tcW w:w="122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Measured at Net</w:t>
            </w:r>
          </w:p>
        </w:tc>
        <w:tc>
          <w:tcPr>
            <w:tcW w:w="44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6"/>
        </w:trPr>
        <w:tc>
          <w:tcPr>
            <w:tcW w:w="3080" w:type="dxa"/>
            <w:vAlign w:val="bottom"/>
            <w:tcBorders>
              <w:bottom w:val="single" w:sz="8" w:color="auto"/>
            </w:tcBorders>
            <w:shd w:val="clear" w:color="auto" w:fill="CCEEFF"/>
          </w:tcPr>
          <w:p>
            <w:pPr>
              <w:spacing w:after="0"/>
              <w:rPr>
                <w:sz w:val="17"/>
                <w:szCs w:val="17"/>
                <w:color w:val="auto"/>
              </w:rPr>
            </w:pPr>
          </w:p>
        </w:tc>
        <w:tc>
          <w:tcPr>
            <w:tcW w:w="19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vMerge w:val="continue"/>
            <w:shd w:val="clear" w:color="auto" w:fill="CCEEFF"/>
          </w:tcPr>
          <w:p>
            <w:pPr>
              <w:spacing w:after="0"/>
              <w:rPr>
                <w:sz w:val="17"/>
                <w:szCs w:val="17"/>
                <w:color w:val="auto"/>
              </w:rPr>
            </w:pPr>
          </w:p>
        </w:tc>
        <w:tc>
          <w:tcPr>
            <w:tcW w:w="1000" w:type="dxa"/>
            <w:vAlign w:val="bottom"/>
            <w:tcBorders>
              <w:bottom w:val="single" w:sz="8" w:color="auto"/>
            </w:tcBorders>
            <w:vMerge w:val="continue"/>
            <w:shd w:val="clear" w:color="auto" w:fill="CCEEFF"/>
          </w:tcPr>
          <w:p>
            <w:pPr>
              <w:spacing w:after="0"/>
              <w:rPr>
                <w:sz w:val="17"/>
                <w:szCs w:val="17"/>
                <w:color w:val="auto"/>
              </w:rPr>
            </w:pPr>
          </w:p>
        </w:tc>
        <w:tc>
          <w:tcPr>
            <w:tcW w:w="1320" w:type="dxa"/>
            <w:vAlign w:val="bottom"/>
            <w:tcBorders>
              <w:bottom w:val="single" w:sz="8" w:color="auto"/>
            </w:tcBorders>
            <w:vMerge w:val="continue"/>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Asset Value</w:t>
            </w:r>
          </w:p>
        </w:tc>
        <w:tc>
          <w:tcPr>
            <w:tcW w:w="4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0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20" w:type="dxa"/>
            <w:vAlign w:val="bottom"/>
          </w:tcPr>
          <w:p>
            <w:pPr>
              <w:ind w:left="20"/>
              <w:spacing w:after="0"/>
              <w:rPr>
                <w:sz w:val="20"/>
                <w:szCs w:val="20"/>
                <w:color w:val="auto"/>
              </w:rPr>
            </w:pPr>
            <w:r>
              <w:rPr>
                <w:rFonts w:ascii="Arial" w:cs="Arial" w:eastAsia="Arial" w:hAnsi="Arial"/>
                <w:sz w:val="15"/>
                <w:szCs w:val="15"/>
                <w:b w:val="1"/>
                <w:bCs w:val="1"/>
                <w:color w:val="auto"/>
              </w:rPr>
              <w:t>(in thousands)</w:t>
            </w:r>
          </w:p>
        </w:tc>
        <w:tc>
          <w:tcPr>
            <w:tcW w:w="1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Assets:</w:t>
            </w:r>
          </w:p>
        </w:tc>
        <w:tc>
          <w:tcPr>
            <w:tcW w:w="19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080" w:type="dxa"/>
            <w:vAlign w:val="bottom"/>
            <w:tcBorders>
              <w:bottom w:val="single" w:sz="8" w:color="auto"/>
            </w:tcBorders>
          </w:tcPr>
          <w:p>
            <w:pPr>
              <w:ind w:left="20"/>
              <w:spacing w:after="0" w:line="207" w:lineRule="exact"/>
              <w:rPr>
                <w:sz w:val="20"/>
                <w:szCs w:val="20"/>
                <w:color w:val="auto"/>
              </w:rPr>
            </w:pPr>
            <w:r>
              <w:rPr>
                <w:rFonts w:ascii="Arial" w:cs="Arial" w:eastAsia="Arial" w:hAnsi="Arial"/>
                <w:sz w:val="15"/>
                <w:szCs w:val="15"/>
                <w:color w:val="auto"/>
              </w:rPr>
              <w:t>Investments in equity</w:t>
            </w:r>
            <w:r>
              <w:rPr>
                <w:rFonts w:ascii="Arial" w:cs="Arial" w:eastAsia="Arial" w:hAnsi="Arial"/>
                <w:sz w:val="20"/>
                <w:szCs w:val="20"/>
                <w:color w:val="auto"/>
                <w:vertAlign w:val="superscript"/>
              </w:rPr>
              <w:t>1</w:t>
            </w:r>
          </w:p>
        </w:tc>
        <w:tc>
          <w:tcPr>
            <w:tcW w:w="198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color w:val="auto"/>
              </w:rPr>
              <w:t>$</w:t>
            </w:r>
          </w:p>
        </w:tc>
        <w:tc>
          <w:tcPr>
            <w:tcW w:w="1320" w:type="dxa"/>
            <w:vAlign w:val="bottom"/>
            <w:tcBorders>
              <w:bottom w:val="single" w:sz="8" w:color="auto"/>
            </w:tcBorders>
          </w:tcPr>
          <w:p>
            <w:pPr>
              <w:ind w:left="660"/>
              <w:spacing w:after="0"/>
              <w:rPr>
                <w:sz w:val="20"/>
                <w:szCs w:val="20"/>
                <w:color w:val="auto"/>
              </w:rPr>
            </w:pPr>
            <w:r>
              <w:rPr>
                <w:rFonts w:ascii="Arial" w:cs="Arial" w:eastAsia="Arial" w:hAnsi="Arial"/>
                <w:sz w:val="15"/>
                <w:szCs w:val="15"/>
                <w:color w:val="auto"/>
              </w:rPr>
              <w:t>— $</w:t>
            </w:r>
          </w:p>
        </w:tc>
        <w:tc>
          <w:tcPr>
            <w:tcW w:w="1000" w:type="dxa"/>
            <w:vAlign w:val="bottom"/>
            <w:tcBorders>
              <w:bottom w:val="single" w:sz="8" w:color="auto"/>
            </w:tcBorders>
          </w:tcPr>
          <w:p>
            <w:pPr>
              <w:ind w:left="660"/>
              <w:spacing w:after="0"/>
              <w:rPr>
                <w:sz w:val="20"/>
                <w:szCs w:val="20"/>
                <w:color w:val="auto"/>
              </w:rPr>
            </w:pPr>
            <w:r>
              <w:rPr>
                <w:rFonts w:ascii="Arial" w:cs="Arial" w:eastAsia="Arial" w:hAnsi="Arial"/>
                <w:sz w:val="15"/>
                <w:szCs w:val="15"/>
                <w:color w:val="auto"/>
              </w:rPr>
              <w:t>— $</w:t>
            </w:r>
          </w:p>
        </w:tc>
        <w:tc>
          <w:tcPr>
            <w:tcW w:w="1320" w:type="dxa"/>
            <w:vAlign w:val="bottom"/>
            <w:tcBorders>
              <w:bottom w:val="single" w:sz="8" w:color="auto"/>
            </w:tcBorders>
          </w:tcPr>
          <w:p>
            <w:pPr>
              <w:ind w:left="980"/>
              <w:spacing w:after="0"/>
              <w:rPr>
                <w:sz w:val="20"/>
                <w:szCs w:val="20"/>
                <w:color w:val="auto"/>
              </w:rPr>
            </w:pPr>
            <w:r>
              <w:rPr>
                <w:rFonts w:ascii="Arial" w:cs="Arial" w:eastAsia="Arial" w:hAnsi="Arial"/>
                <w:sz w:val="15"/>
                <w:szCs w:val="15"/>
                <w:color w:val="auto"/>
              </w:rPr>
              <w:t>— $</w:t>
            </w: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67,784</w:t>
            </w:r>
          </w:p>
        </w:tc>
        <w:tc>
          <w:tcPr>
            <w:tcW w:w="44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67,784</w:t>
            </w:r>
          </w:p>
        </w:tc>
        <w:tc>
          <w:tcPr>
            <w:tcW w:w="0" w:type="dxa"/>
            <w:vAlign w:val="bottom"/>
          </w:tcPr>
          <w:p>
            <w:pPr>
              <w:spacing w:after="0"/>
              <w:rPr>
                <w:sz w:val="1"/>
                <w:szCs w:val="1"/>
                <w:color w:val="auto"/>
              </w:rPr>
            </w:pPr>
          </w:p>
        </w:tc>
      </w:tr>
      <w:tr>
        <w:trPr>
          <w:trHeight w:val="223"/>
        </w:trPr>
        <w:tc>
          <w:tcPr>
            <w:tcW w:w="3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Total assets</w:t>
            </w:r>
          </w:p>
        </w:tc>
        <w:tc>
          <w:tcPr>
            <w:tcW w:w="1980" w:type="dxa"/>
            <w:vAlign w:val="bottom"/>
            <w:tcBorders>
              <w:bottom w:val="single" w:sz="8" w:color="auto"/>
            </w:tcBorders>
            <w:shd w:val="clear" w:color="auto" w:fill="CCEEFF"/>
          </w:tcPr>
          <w:p>
            <w:pPr>
              <w:jc w:val="right"/>
              <w:ind w:right="283"/>
              <w:spacing w:after="0"/>
              <w:rPr>
                <w:sz w:val="20"/>
                <w:szCs w:val="20"/>
                <w:color w:val="auto"/>
              </w:rPr>
            </w:pPr>
            <w:r>
              <w:rPr>
                <w:rFonts w:ascii="Arial" w:cs="Arial" w:eastAsia="Arial" w:hAnsi="Arial"/>
                <w:sz w:val="15"/>
                <w:szCs w:val="15"/>
                <w:color w:val="auto"/>
              </w:rPr>
              <w:t>$</w:t>
            </w:r>
          </w:p>
        </w:tc>
        <w:tc>
          <w:tcPr>
            <w:tcW w:w="13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5"/>
                <w:szCs w:val="15"/>
                <w:color w:val="auto"/>
              </w:rPr>
              <w:t>— $</w:t>
            </w:r>
          </w:p>
        </w:tc>
        <w:tc>
          <w:tcPr>
            <w:tcW w:w="100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5"/>
                <w:szCs w:val="15"/>
                <w:color w:val="auto"/>
              </w:rPr>
              <w:t>— $</w:t>
            </w:r>
          </w:p>
        </w:tc>
        <w:tc>
          <w:tcPr>
            <w:tcW w:w="132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5"/>
                <w:szCs w:val="15"/>
                <w:color w:val="auto"/>
              </w:rPr>
              <w:t>— $</w:t>
            </w: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67,784</w:t>
            </w:r>
          </w:p>
        </w:tc>
        <w:tc>
          <w:tcPr>
            <w:tcW w:w="440" w:type="dxa"/>
            <w:vAlign w:val="bottom"/>
            <w:tcBorders>
              <w:bottom w:val="single" w:sz="8" w:color="auto"/>
            </w:tcBorders>
            <w:shd w:val="clear" w:color="auto" w:fill="CCEEFF"/>
          </w:tcPr>
          <w:p>
            <w:pPr>
              <w:jc w:val="right"/>
              <w:ind w:right="263"/>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67,784</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3"/>
        </w:trPr>
        <w:tc>
          <w:tcPr>
            <w:tcW w:w="30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320" w:type="dxa"/>
            <w:vAlign w:val="bottom"/>
          </w:tcPr>
          <w:p>
            <w:pPr>
              <w:jc w:val="right"/>
              <w:ind w:right="583"/>
              <w:spacing w:after="0"/>
              <w:rPr>
                <w:sz w:val="20"/>
                <w:szCs w:val="20"/>
                <w:color w:val="auto"/>
              </w:rPr>
            </w:pPr>
            <w:r>
              <w:rPr>
                <w:rFonts w:ascii="Arial" w:cs="Arial" w:eastAsia="Arial" w:hAnsi="Arial"/>
                <w:sz w:val="15"/>
                <w:szCs w:val="15"/>
                <w:color w:val="auto"/>
              </w:rPr>
              <w:t>15</w:t>
            </w:r>
          </w:p>
        </w:tc>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3080" w:type="dxa"/>
            <w:vAlign w:val="bottom"/>
            <w:tcBorders>
              <w:bottom w:val="single" w:sz="8" w:color="9A9A9A"/>
            </w:tcBorders>
          </w:tcPr>
          <w:p>
            <w:pPr>
              <w:spacing w:after="0"/>
              <w:rPr>
                <w:sz w:val="8"/>
                <w:szCs w:val="8"/>
                <w:color w:val="auto"/>
              </w:rPr>
            </w:pPr>
          </w:p>
        </w:tc>
        <w:tc>
          <w:tcPr>
            <w:tcW w:w="198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16" w:name="page17"/>
    <w:bookmarkEnd w:id="16"/>
    <w:p>
      <w:pPr>
        <w:ind w:left="620"/>
        <w:spacing w:after="0"/>
        <w:rPr>
          <w:sz w:val="20"/>
          <w:szCs w:val="20"/>
          <w:color w:val="auto"/>
        </w:rPr>
      </w:pPr>
      <w:r>
        <w:rPr>
          <w:rFonts w:ascii="Arial" w:cs="Arial" w:eastAsia="Arial" w:hAnsi="Arial"/>
          <w:sz w:val="15"/>
          <w:szCs w:val="15"/>
          <w:color w:val="auto"/>
        </w:rPr>
        <w:t>As of December 31, 2024, the fair value of the major classes of the Company's assets and liabilities measured at fair value on a recurring basis were as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6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Investments</w:t>
            </w:r>
          </w:p>
        </w:tc>
        <w:tc>
          <w:tcPr>
            <w:tcW w:w="4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06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1320" w:type="dxa"/>
            <w:vAlign w:val="bottom"/>
            <w:vMerge w:val="restart"/>
            <w:shd w:val="clear" w:color="auto" w:fill="CCEEFF"/>
          </w:tcPr>
          <w:p>
            <w:pPr>
              <w:ind w:left="340"/>
              <w:spacing w:after="0"/>
              <w:rPr>
                <w:sz w:val="20"/>
                <w:szCs w:val="20"/>
                <w:color w:val="auto"/>
              </w:rPr>
            </w:pPr>
            <w:r>
              <w:rPr>
                <w:rFonts w:ascii="Arial" w:cs="Arial" w:eastAsia="Arial" w:hAnsi="Arial"/>
                <w:sz w:val="15"/>
                <w:szCs w:val="15"/>
                <w:b w:val="1"/>
                <w:bCs w:val="1"/>
                <w:color w:val="auto"/>
              </w:rPr>
              <w:t>Level 1</w:t>
            </w:r>
          </w:p>
        </w:tc>
        <w:tc>
          <w:tcPr>
            <w:tcW w:w="1000" w:type="dxa"/>
            <w:vAlign w:val="bottom"/>
            <w:vMerge w:val="restart"/>
            <w:shd w:val="clear" w:color="auto" w:fill="CCEEFF"/>
          </w:tcPr>
          <w:p>
            <w:pPr>
              <w:ind w:left="340"/>
              <w:spacing w:after="0"/>
              <w:rPr>
                <w:sz w:val="20"/>
                <w:szCs w:val="20"/>
                <w:color w:val="auto"/>
              </w:rPr>
            </w:pPr>
            <w:r>
              <w:rPr>
                <w:rFonts w:ascii="Arial" w:cs="Arial" w:eastAsia="Arial" w:hAnsi="Arial"/>
                <w:sz w:val="15"/>
                <w:szCs w:val="15"/>
                <w:b w:val="1"/>
                <w:bCs w:val="1"/>
                <w:color w:val="auto"/>
              </w:rPr>
              <w:t>Level 2</w:t>
            </w:r>
          </w:p>
        </w:tc>
        <w:tc>
          <w:tcPr>
            <w:tcW w:w="1320" w:type="dxa"/>
            <w:vAlign w:val="bottom"/>
            <w:vMerge w:val="restart"/>
            <w:shd w:val="clear" w:color="auto" w:fill="CCEEFF"/>
          </w:tcPr>
          <w:p>
            <w:pPr>
              <w:ind w:left="680"/>
              <w:spacing w:after="0"/>
              <w:rPr>
                <w:sz w:val="20"/>
                <w:szCs w:val="20"/>
                <w:color w:val="auto"/>
              </w:rPr>
            </w:pPr>
            <w:r>
              <w:rPr>
                <w:rFonts w:ascii="Arial" w:cs="Arial" w:eastAsia="Arial" w:hAnsi="Arial"/>
                <w:sz w:val="15"/>
                <w:szCs w:val="15"/>
                <w:b w:val="1"/>
                <w:bCs w:val="1"/>
                <w:color w:val="auto"/>
              </w:rPr>
              <w:t>Level 3</w:t>
            </w:r>
          </w:p>
        </w:tc>
        <w:tc>
          <w:tcPr>
            <w:tcW w:w="122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Measured at Net</w:t>
            </w:r>
          </w:p>
        </w:tc>
        <w:tc>
          <w:tcPr>
            <w:tcW w:w="46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6"/>
        </w:trPr>
        <w:tc>
          <w:tcPr>
            <w:tcW w:w="3060" w:type="dxa"/>
            <w:vAlign w:val="bottom"/>
            <w:tcBorders>
              <w:bottom w:val="single" w:sz="8" w:color="auto"/>
            </w:tcBorders>
            <w:shd w:val="clear" w:color="auto" w:fill="CCEEFF"/>
          </w:tcPr>
          <w:p>
            <w:pPr>
              <w:spacing w:after="0"/>
              <w:rPr>
                <w:sz w:val="17"/>
                <w:szCs w:val="17"/>
                <w:color w:val="auto"/>
              </w:rPr>
            </w:pPr>
          </w:p>
        </w:tc>
        <w:tc>
          <w:tcPr>
            <w:tcW w:w="194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vMerge w:val="continue"/>
            <w:shd w:val="clear" w:color="auto" w:fill="CCEEFF"/>
          </w:tcPr>
          <w:p>
            <w:pPr>
              <w:spacing w:after="0"/>
              <w:rPr>
                <w:sz w:val="17"/>
                <w:szCs w:val="17"/>
                <w:color w:val="auto"/>
              </w:rPr>
            </w:pPr>
          </w:p>
        </w:tc>
        <w:tc>
          <w:tcPr>
            <w:tcW w:w="1000" w:type="dxa"/>
            <w:vAlign w:val="bottom"/>
            <w:tcBorders>
              <w:bottom w:val="single" w:sz="8" w:color="auto"/>
            </w:tcBorders>
            <w:vMerge w:val="continue"/>
            <w:shd w:val="clear" w:color="auto" w:fill="CCEEFF"/>
          </w:tcPr>
          <w:p>
            <w:pPr>
              <w:spacing w:after="0"/>
              <w:rPr>
                <w:sz w:val="17"/>
                <w:szCs w:val="17"/>
                <w:color w:val="auto"/>
              </w:rPr>
            </w:pPr>
          </w:p>
        </w:tc>
        <w:tc>
          <w:tcPr>
            <w:tcW w:w="1320" w:type="dxa"/>
            <w:vAlign w:val="bottom"/>
            <w:tcBorders>
              <w:bottom w:val="single" w:sz="8" w:color="auto"/>
            </w:tcBorders>
            <w:vMerge w:val="continue"/>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Asset Value</w:t>
            </w:r>
          </w:p>
        </w:tc>
        <w:tc>
          <w:tcPr>
            <w:tcW w:w="4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0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20" w:type="dxa"/>
            <w:vAlign w:val="bottom"/>
          </w:tcPr>
          <w:p>
            <w:pPr>
              <w:ind w:left="20"/>
              <w:spacing w:after="0"/>
              <w:rPr>
                <w:sz w:val="20"/>
                <w:szCs w:val="20"/>
                <w:color w:val="auto"/>
              </w:rPr>
            </w:pPr>
            <w:r>
              <w:rPr>
                <w:rFonts w:ascii="Arial" w:cs="Arial" w:eastAsia="Arial" w:hAnsi="Arial"/>
                <w:sz w:val="15"/>
                <w:szCs w:val="15"/>
                <w:b w:val="1"/>
                <w:bCs w:val="1"/>
                <w:color w:val="auto"/>
              </w:rPr>
              <w:t>(in thousands)</w:t>
            </w: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Assets:</w:t>
            </w:r>
          </w:p>
        </w:tc>
        <w:tc>
          <w:tcPr>
            <w:tcW w:w="19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060" w:type="dxa"/>
            <w:vAlign w:val="bottom"/>
            <w:tcBorders>
              <w:bottom w:val="single" w:sz="8" w:color="auto"/>
            </w:tcBorders>
          </w:tcPr>
          <w:p>
            <w:pPr>
              <w:ind w:left="20"/>
              <w:spacing w:after="0" w:line="207" w:lineRule="exact"/>
              <w:rPr>
                <w:sz w:val="20"/>
                <w:szCs w:val="20"/>
                <w:color w:val="auto"/>
              </w:rPr>
            </w:pPr>
            <w:r>
              <w:rPr>
                <w:rFonts w:ascii="Arial" w:cs="Arial" w:eastAsia="Arial" w:hAnsi="Arial"/>
                <w:sz w:val="15"/>
                <w:szCs w:val="15"/>
                <w:color w:val="auto"/>
              </w:rPr>
              <w:t>Investments in equity</w:t>
            </w:r>
            <w:r>
              <w:rPr>
                <w:rFonts w:ascii="Arial" w:cs="Arial" w:eastAsia="Arial" w:hAnsi="Arial"/>
                <w:sz w:val="20"/>
                <w:szCs w:val="20"/>
                <w:color w:val="auto"/>
                <w:vertAlign w:val="superscript"/>
              </w:rPr>
              <w:t>1</w:t>
            </w:r>
          </w:p>
        </w:tc>
        <w:tc>
          <w:tcPr>
            <w:tcW w:w="194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color w:val="auto"/>
              </w:rPr>
              <w:t>$</w:t>
            </w:r>
          </w:p>
        </w:tc>
        <w:tc>
          <w:tcPr>
            <w:tcW w:w="1320" w:type="dxa"/>
            <w:vAlign w:val="bottom"/>
            <w:tcBorders>
              <w:bottom w:val="single" w:sz="8" w:color="auto"/>
            </w:tcBorders>
          </w:tcPr>
          <w:p>
            <w:pPr>
              <w:ind w:left="660"/>
              <w:spacing w:after="0"/>
              <w:rPr>
                <w:sz w:val="20"/>
                <w:szCs w:val="20"/>
                <w:color w:val="auto"/>
              </w:rPr>
            </w:pPr>
            <w:r>
              <w:rPr>
                <w:rFonts w:ascii="Arial" w:cs="Arial" w:eastAsia="Arial" w:hAnsi="Arial"/>
                <w:sz w:val="15"/>
                <w:szCs w:val="15"/>
                <w:color w:val="auto"/>
              </w:rPr>
              <w:t>— $</w:t>
            </w:r>
          </w:p>
        </w:tc>
        <w:tc>
          <w:tcPr>
            <w:tcW w:w="1000" w:type="dxa"/>
            <w:vAlign w:val="bottom"/>
            <w:tcBorders>
              <w:bottom w:val="single" w:sz="8" w:color="auto"/>
            </w:tcBorders>
          </w:tcPr>
          <w:p>
            <w:pPr>
              <w:ind w:left="660"/>
              <w:spacing w:after="0"/>
              <w:rPr>
                <w:sz w:val="20"/>
                <w:szCs w:val="20"/>
                <w:color w:val="auto"/>
              </w:rPr>
            </w:pPr>
            <w:r>
              <w:rPr>
                <w:rFonts w:ascii="Arial" w:cs="Arial" w:eastAsia="Arial" w:hAnsi="Arial"/>
                <w:sz w:val="15"/>
                <w:szCs w:val="15"/>
                <w:color w:val="auto"/>
              </w:rPr>
              <w:t>— $</w:t>
            </w:r>
          </w:p>
        </w:tc>
        <w:tc>
          <w:tcPr>
            <w:tcW w:w="1320" w:type="dxa"/>
            <w:vAlign w:val="bottom"/>
            <w:tcBorders>
              <w:bottom w:val="single" w:sz="8" w:color="auto"/>
            </w:tcBorders>
          </w:tcPr>
          <w:p>
            <w:pPr>
              <w:ind w:left="1000"/>
              <w:spacing w:after="0"/>
              <w:rPr>
                <w:sz w:val="20"/>
                <w:szCs w:val="20"/>
                <w:color w:val="auto"/>
              </w:rPr>
            </w:pPr>
            <w:r>
              <w:rPr>
                <w:rFonts w:ascii="Arial" w:cs="Arial" w:eastAsia="Arial" w:hAnsi="Arial"/>
                <w:sz w:val="15"/>
                <w:szCs w:val="15"/>
                <w:color w:val="auto"/>
              </w:rPr>
              <w:t>— $</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54,448</w:t>
            </w:r>
          </w:p>
        </w:tc>
        <w:tc>
          <w:tcPr>
            <w:tcW w:w="46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54,448</w:t>
            </w:r>
          </w:p>
        </w:tc>
        <w:tc>
          <w:tcPr>
            <w:tcW w:w="0" w:type="dxa"/>
            <w:vAlign w:val="bottom"/>
          </w:tcPr>
          <w:p>
            <w:pPr>
              <w:spacing w:after="0"/>
              <w:rPr>
                <w:sz w:val="1"/>
                <w:szCs w:val="1"/>
                <w:color w:val="auto"/>
              </w:rPr>
            </w:pPr>
          </w:p>
        </w:tc>
      </w:tr>
      <w:tr>
        <w:trPr>
          <w:trHeight w:val="223"/>
        </w:trPr>
        <w:tc>
          <w:tcPr>
            <w:tcW w:w="3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Total assets</w:t>
            </w:r>
          </w:p>
        </w:tc>
        <w:tc>
          <w:tcPr>
            <w:tcW w:w="1940" w:type="dxa"/>
            <w:vAlign w:val="bottom"/>
            <w:tcBorders>
              <w:bottom w:val="single" w:sz="8" w:color="auto"/>
            </w:tcBorders>
            <w:shd w:val="clear" w:color="auto" w:fill="CCEEFF"/>
          </w:tcPr>
          <w:p>
            <w:pPr>
              <w:jc w:val="right"/>
              <w:ind w:right="263"/>
              <w:spacing w:after="0"/>
              <w:rPr>
                <w:sz w:val="20"/>
                <w:szCs w:val="20"/>
                <w:color w:val="auto"/>
              </w:rPr>
            </w:pPr>
            <w:r>
              <w:rPr>
                <w:rFonts w:ascii="Arial" w:cs="Arial" w:eastAsia="Arial" w:hAnsi="Arial"/>
                <w:sz w:val="15"/>
                <w:szCs w:val="15"/>
                <w:color w:val="auto"/>
              </w:rPr>
              <w:t>$</w:t>
            </w:r>
          </w:p>
        </w:tc>
        <w:tc>
          <w:tcPr>
            <w:tcW w:w="13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5"/>
                <w:szCs w:val="15"/>
                <w:color w:val="auto"/>
              </w:rPr>
              <w:t>— $</w:t>
            </w:r>
          </w:p>
        </w:tc>
        <w:tc>
          <w:tcPr>
            <w:tcW w:w="100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5"/>
                <w:szCs w:val="15"/>
                <w:color w:val="auto"/>
              </w:rPr>
              <w:t>— $</w:t>
            </w:r>
          </w:p>
        </w:tc>
        <w:tc>
          <w:tcPr>
            <w:tcW w:w="132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5"/>
                <w:szCs w:val="15"/>
                <w:color w:val="auto"/>
              </w:rPr>
              <w:t>— $</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54,448</w:t>
            </w:r>
          </w:p>
        </w:tc>
        <w:tc>
          <w:tcPr>
            <w:tcW w:w="460" w:type="dxa"/>
            <w:vAlign w:val="bottom"/>
            <w:tcBorders>
              <w:bottom w:val="single" w:sz="8" w:color="auto"/>
            </w:tcBorders>
            <w:shd w:val="clear" w:color="auto" w:fill="CCEEFF"/>
          </w:tcPr>
          <w:p>
            <w:pPr>
              <w:jc w:val="right"/>
              <w:ind w:right="283"/>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54,448</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1"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vertAlign w:val="superscript"/>
        </w:rPr>
        <w:t>1</w:t>
      </w:r>
      <w:r>
        <w:rPr>
          <w:rFonts w:ascii="Arial" w:cs="Arial" w:eastAsia="Arial" w:hAnsi="Arial"/>
          <w:sz w:val="15"/>
          <w:szCs w:val="15"/>
          <w:color w:val="auto"/>
        </w:rPr>
        <w:t xml:space="preserve">To determine the classification of its investments in equity, the Company considered the nature of its investment, the extent of influence over operating and financial decisions and the availability of readily determinable fair values. The Company determined that certain interests in funds meet the definition of equity securities without readily determinable fair values, which qualify for the Net Asset Value (NAV) practical expedient in ASC 820 'Fair value measurement'. Any increases or decreases in fair value are recognized in net income in the period. Investments in equity excludes investments in equity securities recorded at cost of $3.5 million </w:t>
      </w:r>
      <w:r>
        <w:rPr>
          <w:rFonts w:ascii="Times New Roman" w:cs="Times New Roman" w:eastAsia="Times New Roman" w:hAnsi="Times New Roman"/>
          <w:sz w:val="17"/>
          <w:szCs w:val="17"/>
          <w:color w:val="auto"/>
        </w:rPr>
        <w:t>(</w:t>
      </w:r>
      <w:r>
        <w:rPr>
          <w:rFonts w:ascii="Arial" w:cs="Arial" w:eastAsia="Arial" w:hAnsi="Arial"/>
          <w:sz w:val="15"/>
          <w:szCs w:val="15"/>
          <w:color w:val="auto"/>
        </w:rPr>
        <w:t>December 31, 2024: $3.5 million) which do not qualify for the NAV practical expedient.</w:t>
      </w:r>
    </w:p>
    <w:p>
      <w:pPr>
        <w:spacing w:after="0" w:line="223" w:lineRule="exact"/>
        <w:rPr>
          <w:sz w:val="20"/>
          <w:szCs w:val="20"/>
          <w:color w:val="auto"/>
        </w:rPr>
      </w:pPr>
    </w:p>
    <w:p>
      <w:pPr>
        <w:ind w:left="620"/>
        <w:spacing w:after="0"/>
        <w:rPr>
          <w:sz w:val="20"/>
          <w:szCs w:val="20"/>
          <w:color w:val="auto"/>
        </w:rPr>
      </w:pPr>
      <w:r>
        <w:rPr>
          <w:rFonts w:ascii="Arial" w:cs="Arial" w:eastAsia="Arial" w:hAnsi="Arial"/>
          <w:sz w:val="15"/>
          <w:szCs w:val="15"/>
          <w:i w:val="1"/>
          <w:iCs w:val="1"/>
          <w:color w:val="auto"/>
        </w:rPr>
        <w:t>Non-recurring Fair Value Measurements</w:t>
      </w:r>
    </w:p>
    <w:p>
      <w:pPr>
        <w:spacing w:after="0" w:line="240"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Certain assets and liabilities are carried on the accompanying Condensed Consolidated Balance Sheet at cost and are not re-measured to fair value on a recurring basis. These assets include finite-lived intangible assets that are tested for impairment when a triggering event occurs and goodwill that is tested for impairment annually or when a triggering event occurs. As of September 30, 2025, assets carried on the Condensed Consolidated Balance Sheet which are not re-measured to fair value on a recurring basis totaled $12,315.1 million (December 31, 2024: $12,614.7 million). These assets are comprised of goodwill of $8,927.3 million (December 31, 2024: $9,051.4 million), intangible assets of $3,384.3 million (December 31, 2024: $3,559.8 million) and investments in equity recorded at cost of $3.5 million (December 31, 2024: $3.5 million).</w:t>
      </w:r>
    </w:p>
    <w:p>
      <w:pPr>
        <w:spacing w:after="0" w:line="202"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The estimated fair value of the Company’s debt was $3,494.4 million at September 30, 2025 (December 31, 2024: $3,469.2 million). The fair values of the senior secured term loan facility, the 2026 Notes and the New Notes were determined based on rates at which the debt is traded among financial institutions.</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73660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sectPr>
      </w:pPr>
    </w:p>
    <w:bookmarkStart w:id="17" w:name="page18"/>
    <w:bookmarkEnd w:id="17"/>
    <w:p>
      <w:pPr>
        <w:spacing w:after="0"/>
        <w:rPr>
          <w:sz w:val="20"/>
          <w:szCs w:val="20"/>
          <w:color w:val="auto"/>
        </w:rPr>
      </w:pPr>
      <w:r>
        <w:rPr>
          <w:rFonts w:ascii="Arial" w:cs="Arial" w:eastAsia="Arial" w:hAnsi="Arial"/>
          <w:sz w:val="15"/>
          <w:szCs w:val="15"/>
          <w:b w:val="1"/>
          <w:bCs w:val="1"/>
          <w:color w:val="auto"/>
        </w:rPr>
        <w:t>8. Restructuring</w:t>
      </w:r>
    </w:p>
    <w:p>
      <w:pPr>
        <w:spacing w:after="0" w:line="242"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In the nine months ended September 30, 2025, a restructuring charge of $82.3 million (September 30, 2024: $45.8 million) was recorded in the Condensed Consolidated Statement of Operations.</w:t>
      </w:r>
    </w:p>
    <w:p>
      <w:pPr>
        <w:spacing w:after="0" w:line="16"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restructuring plan reflected a workforce reduction of $75.6 million (September 30, 2024: $31.7 million) and an office consolidation program to optimize</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the Company's office footprint of $6.7 million (September 30, 2024: $14.1 million), being the impairment of operating right-off-use assets and related property plant</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and equipment of $5.6 million (September 30, 2024: $12.6 million) and onerous contract costs of $1.1 million (September 30, 2024: $1.5 million).</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40" w:type="dxa"/>
            <w:vAlign w:val="bottom"/>
            <w:gridSpan w:val="3"/>
            <w:shd w:val="clear" w:color="auto" w:fill="CCEEFF"/>
          </w:tcPr>
          <w:p>
            <w:pPr>
              <w:ind w:left="480"/>
              <w:spacing w:after="0"/>
              <w:rPr>
                <w:sz w:val="20"/>
                <w:szCs w:val="20"/>
                <w:color w:val="auto"/>
              </w:rPr>
            </w:pPr>
            <w:r>
              <w:rPr>
                <w:rFonts w:ascii="Arial" w:cs="Arial" w:eastAsia="Arial" w:hAnsi="Arial"/>
                <w:sz w:val="15"/>
                <w:szCs w:val="15"/>
                <w:b w:val="1"/>
                <w:bCs w:val="1"/>
                <w:color w:val="auto"/>
              </w:rPr>
              <w:t>Three Months Ended</w:t>
            </w:r>
          </w:p>
        </w:tc>
        <w:tc>
          <w:tcPr>
            <w:tcW w:w="260" w:type="dxa"/>
            <w:vAlign w:val="bottom"/>
            <w:shd w:val="clear" w:color="auto" w:fill="CCEEFF"/>
          </w:tcPr>
          <w:p>
            <w:pPr>
              <w:spacing w:after="0"/>
              <w:rPr>
                <w:sz w:val="17"/>
                <w:szCs w:val="17"/>
                <w:color w:val="auto"/>
              </w:rPr>
            </w:pPr>
          </w:p>
        </w:tc>
        <w:tc>
          <w:tcPr>
            <w:tcW w:w="2740" w:type="dxa"/>
            <w:vAlign w:val="bottom"/>
            <w:gridSpan w:val="3"/>
            <w:shd w:val="clear" w:color="auto" w:fill="CCEEFF"/>
          </w:tcPr>
          <w:p>
            <w:pPr>
              <w:jc w:val="right"/>
              <w:ind w:right="703"/>
              <w:spacing w:after="0"/>
              <w:rPr>
                <w:sz w:val="20"/>
                <w:szCs w:val="20"/>
                <w:color w:val="auto"/>
              </w:rPr>
            </w:pPr>
            <w:r>
              <w:rPr>
                <w:rFonts w:ascii="Arial" w:cs="Arial" w:eastAsia="Arial" w:hAnsi="Arial"/>
                <w:sz w:val="15"/>
                <w:szCs w:val="15"/>
                <w:b w:val="1"/>
                <w:bCs w:val="1"/>
                <w:color w:val="auto"/>
              </w:rPr>
              <w:t>Nine Months Ended</w:t>
            </w:r>
          </w:p>
        </w:tc>
      </w:tr>
      <w:tr>
        <w:trPr>
          <w:trHeight w:val="148"/>
        </w:trPr>
        <w:tc>
          <w:tcPr>
            <w:tcW w:w="51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jc w:val="right"/>
              <w:ind w:right="223"/>
              <w:spacing w:after="0" w:line="148" w:lineRule="exact"/>
              <w:rPr>
                <w:sz w:val="20"/>
                <w:szCs w:val="20"/>
                <w:color w:val="auto"/>
              </w:rPr>
            </w:pPr>
            <w:r>
              <w:rPr>
                <w:rFonts w:ascii="Arial" w:cs="Arial" w:eastAsia="Arial" w:hAnsi="Arial"/>
                <w:sz w:val="15"/>
                <w:szCs w:val="15"/>
                <w:b w:val="1"/>
                <w:bCs w:val="1"/>
                <w:color w:val="auto"/>
              </w:rPr>
              <w:t>September 30,</w:t>
            </w:r>
          </w:p>
        </w:tc>
        <w:tc>
          <w:tcPr>
            <w:tcW w:w="124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5"/>
                <w:szCs w:val="15"/>
                <w:b w:val="1"/>
                <w:bCs w:val="1"/>
                <w:color w:val="auto"/>
              </w:rPr>
              <w:t>September 30,</w:t>
            </w:r>
          </w:p>
        </w:tc>
        <w:tc>
          <w:tcPr>
            <w:tcW w:w="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5"/>
                <w:szCs w:val="15"/>
                <w:b w:val="1"/>
                <w:bCs w:val="1"/>
                <w:color w:val="auto"/>
              </w:rPr>
              <w:t>September 30,</w:t>
            </w:r>
          </w:p>
        </w:tc>
        <w:tc>
          <w:tcPr>
            <w:tcW w:w="2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5"/>
                <w:szCs w:val="15"/>
                <w:b w:val="1"/>
                <w:bCs w:val="1"/>
                <w:color w:val="auto"/>
              </w:rPr>
              <w:t>September 30,</w:t>
            </w:r>
          </w:p>
        </w:tc>
      </w:tr>
      <w:tr>
        <w:trPr>
          <w:trHeight w:val="206"/>
        </w:trPr>
        <w:tc>
          <w:tcPr>
            <w:tcW w:w="51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b w:val="1"/>
                <w:bCs w:val="1"/>
                <w:color w:val="auto"/>
              </w:rPr>
              <w:t>2025</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r>
      <w:tr>
        <w:trPr>
          <w:trHeight w:val="199"/>
        </w:trPr>
        <w:tc>
          <w:tcPr>
            <w:tcW w:w="5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820" w:type="dxa"/>
            <w:vAlign w:val="bottom"/>
            <w:gridSpan w:val="4"/>
            <w:shd w:val="clear" w:color="auto" w:fill="CCEEFF"/>
          </w:tcPr>
          <w:p>
            <w:pPr>
              <w:jc w:val="right"/>
              <w:ind w:right="943"/>
              <w:spacing w:after="0"/>
              <w:rPr>
                <w:sz w:val="20"/>
                <w:szCs w:val="20"/>
                <w:color w:val="auto"/>
              </w:rPr>
            </w:pPr>
            <w:r>
              <w:rPr>
                <w:rFonts w:ascii="Arial" w:cs="Arial" w:eastAsia="Arial" w:hAnsi="Arial"/>
                <w:sz w:val="15"/>
                <w:szCs w:val="15"/>
                <w:b w:val="1"/>
                <w:bCs w:val="1"/>
                <w:color w:val="auto"/>
              </w:rPr>
              <w:t>(in thousands)</w:t>
            </w: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05"/>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Restructuring charges</w:t>
            </w:r>
          </w:p>
        </w:tc>
        <w:tc>
          <w:tcPr>
            <w:tcW w:w="2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95"/>
              </w:rPr>
              <w:t>$</w:t>
            </w:r>
          </w:p>
        </w:tc>
        <w:tc>
          <w:tcPr>
            <w:tcW w:w="152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 $</w:t>
            </w:r>
          </w:p>
        </w:tc>
        <w:tc>
          <w:tcPr>
            <w:tcW w:w="1320" w:type="dxa"/>
            <w:vAlign w:val="bottom"/>
            <w:tcBorders>
              <w:bottom w:val="single" w:sz="8" w:color="auto"/>
            </w:tcBorders>
            <w:gridSpan w:val="2"/>
          </w:tcPr>
          <w:p>
            <w:pPr>
              <w:ind w:left="1000"/>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82,296</w:t>
            </w:r>
          </w:p>
        </w:tc>
        <w:tc>
          <w:tcPr>
            <w:tcW w:w="2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45,789</w:t>
            </w:r>
          </w:p>
        </w:tc>
      </w:tr>
      <w:tr>
        <w:trPr>
          <w:trHeight w:val="224"/>
        </w:trPr>
        <w:tc>
          <w:tcPr>
            <w:tcW w:w="5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52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 $</w:t>
            </w:r>
          </w:p>
        </w:tc>
        <w:tc>
          <w:tcPr>
            <w:tcW w:w="1320" w:type="dxa"/>
            <w:vAlign w:val="bottom"/>
            <w:tcBorders>
              <w:bottom w:val="single" w:sz="8" w:color="auto"/>
            </w:tcBorders>
            <w:gridSpan w:val="2"/>
            <w:shd w:val="clear" w:color="auto" w:fill="CCEEFF"/>
          </w:tcPr>
          <w:p>
            <w:pPr>
              <w:ind w:left="1000"/>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82,296</w:t>
            </w:r>
          </w:p>
        </w:tc>
        <w:tc>
          <w:tcPr>
            <w:tcW w:w="2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45,789</w:t>
            </w:r>
          </w:p>
        </w:tc>
      </w:tr>
      <w:tr>
        <w:trPr>
          <w:trHeight w:val="20"/>
        </w:trPr>
        <w:tc>
          <w:tcPr>
            <w:tcW w:w="5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At September 30, 2025, a total liability of $21.4 million (December 31, 2024: $31.5 million) was recorded on the Condensed Consolidated Balance Sheet relating to restructuring activities.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220" w:type="dxa"/>
            <w:vAlign w:val="bottom"/>
            <w:shd w:val="clear" w:color="auto" w:fill="CCEEFF"/>
          </w:tcPr>
          <w:p>
            <w:pPr>
              <w:spacing w:after="0"/>
              <w:rPr>
                <w:sz w:val="14"/>
                <w:szCs w:val="14"/>
                <w:color w:val="auto"/>
              </w:rPr>
            </w:pPr>
          </w:p>
        </w:tc>
        <w:tc>
          <w:tcPr>
            <w:tcW w:w="152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Nine Months Ended</w:t>
            </w:r>
          </w:p>
        </w:tc>
        <w:tc>
          <w:tcPr>
            <w:tcW w:w="7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Year</w:t>
            </w:r>
          </w:p>
        </w:tc>
        <w:tc>
          <w:tcPr>
            <w:tcW w:w="0" w:type="dxa"/>
            <w:vAlign w:val="bottom"/>
          </w:tcPr>
          <w:p>
            <w:pPr>
              <w:spacing w:after="0"/>
              <w:rPr>
                <w:sz w:val="1"/>
                <w:szCs w:val="1"/>
                <w:color w:val="auto"/>
              </w:rPr>
            </w:pPr>
          </w:p>
        </w:tc>
      </w:tr>
      <w:tr>
        <w:trPr>
          <w:trHeight w:val="206"/>
        </w:trPr>
        <w:tc>
          <w:tcPr>
            <w:tcW w:w="8220" w:type="dxa"/>
            <w:vAlign w:val="bottom"/>
            <w:shd w:val="clear" w:color="auto" w:fill="CCEEFF"/>
          </w:tcPr>
          <w:p>
            <w:pPr>
              <w:spacing w:after="0"/>
              <w:rPr>
                <w:sz w:val="17"/>
                <w:szCs w:val="17"/>
                <w:color w:val="auto"/>
              </w:rPr>
            </w:pPr>
          </w:p>
        </w:tc>
        <w:tc>
          <w:tcPr>
            <w:tcW w:w="1520" w:type="dxa"/>
            <w:vAlign w:val="bottom"/>
            <w:tcBorders>
              <w:bottom w:val="single" w:sz="8" w:color="auto"/>
            </w:tcBorders>
            <w:gridSpan w:val="2"/>
            <w:vMerge w:val="continue"/>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Ended</w:t>
            </w:r>
          </w:p>
        </w:tc>
        <w:tc>
          <w:tcPr>
            <w:tcW w:w="0" w:type="dxa"/>
            <w:vAlign w:val="bottom"/>
          </w:tcPr>
          <w:p>
            <w:pPr>
              <w:spacing w:after="0"/>
              <w:rPr>
                <w:sz w:val="1"/>
                <w:szCs w:val="1"/>
                <w:color w:val="auto"/>
              </w:rPr>
            </w:pPr>
          </w:p>
        </w:tc>
      </w:tr>
      <w:tr>
        <w:trPr>
          <w:trHeight w:val="148"/>
        </w:trPr>
        <w:tc>
          <w:tcPr>
            <w:tcW w:w="8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September 30,</w:t>
            </w:r>
          </w:p>
        </w:tc>
        <w:tc>
          <w:tcPr>
            <w:tcW w:w="150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rPr>
              <w:t>December 31, 2024</w:t>
            </w:r>
          </w:p>
        </w:tc>
        <w:tc>
          <w:tcPr>
            <w:tcW w:w="0" w:type="dxa"/>
            <w:vAlign w:val="bottom"/>
          </w:tcPr>
          <w:p>
            <w:pPr>
              <w:spacing w:after="0"/>
              <w:rPr>
                <w:sz w:val="1"/>
                <w:szCs w:val="1"/>
                <w:color w:val="auto"/>
              </w:rPr>
            </w:pPr>
          </w:p>
        </w:tc>
      </w:tr>
      <w:tr>
        <w:trPr>
          <w:trHeight w:val="206"/>
        </w:trPr>
        <w:tc>
          <w:tcPr>
            <w:tcW w:w="82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150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ind w:left="700"/>
              <w:spacing w:after="0"/>
              <w:rPr>
                <w:sz w:val="20"/>
                <w:szCs w:val="20"/>
                <w:color w:val="auto"/>
              </w:rPr>
            </w:pPr>
            <w:r>
              <w:rPr>
                <w:rFonts w:ascii="Arial" w:cs="Arial" w:eastAsia="Arial" w:hAnsi="Arial"/>
                <w:sz w:val="15"/>
                <w:szCs w:val="15"/>
                <w:b w:val="1"/>
                <w:bCs w:val="1"/>
                <w:color w:val="auto"/>
              </w:rPr>
              <w:t>(in thousands)</w:t>
            </w: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220" w:type="dxa"/>
            <w:vAlign w:val="bottom"/>
          </w:tcPr>
          <w:p>
            <w:pPr>
              <w:ind w:left="20"/>
              <w:spacing w:after="0"/>
              <w:rPr>
                <w:sz w:val="20"/>
                <w:szCs w:val="20"/>
                <w:color w:val="auto"/>
              </w:rPr>
            </w:pPr>
            <w:r>
              <w:rPr>
                <w:rFonts w:ascii="Arial" w:cs="Arial" w:eastAsia="Arial" w:hAnsi="Arial"/>
                <w:sz w:val="15"/>
                <w:szCs w:val="15"/>
                <w:color w:val="auto"/>
              </w:rPr>
              <w:t>Opening provision</w:t>
            </w:r>
          </w:p>
        </w:tc>
        <w:tc>
          <w:tcPr>
            <w:tcW w:w="2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240" w:type="dxa"/>
            <w:vAlign w:val="bottom"/>
          </w:tcPr>
          <w:p>
            <w:pPr>
              <w:ind w:left="700"/>
              <w:spacing w:after="0"/>
              <w:rPr>
                <w:sz w:val="20"/>
                <w:szCs w:val="20"/>
                <w:color w:val="auto"/>
              </w:rPr>
            </w:pPr>
            <w:r>
              <w:rPr>
                <w:rFonts w:ascii="Arial" w:cs="Arial" w:eastAsia="Arial" w:hAnsi="Arial"/>
                <w:sz w:val="15"/>
                <w:szCs w:val="15"/>
                <w:color w:val="auto"/>
              </w:rPr>
              <w:t>31,474</w:t>
            </w:r>
          </w:p>
        </w:tc>
        <w:tc>
          <w:tcPr>
            <w:tcW w:w="720" w:type="dxa"/>
            <w:vAlign w:val="bottom"/>
          </w:tcPr>
          <w:p>
            <w:pPr>
              <w:jc w:val="right"/>
              <w:ind w:right="543"/>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6,999</w:t>
            </w:r>
          </w:p>
        </w:tc>
        <w:tc>
          <w:tcPr>
            <w:tcW w:w="0" w:type="dxa"/>
            <w:vAlign w:val="bottom"/>
          </w:tcPr>
          <w:p>
            <w:pPr>
              <w:spacing w:after="0"/>
              <w:rPr>
                <w:sz w:val="1"/>
                <w:szCs w:val="1"/>
                <w:color w:val="auto"/>
              </w:rPr>
            </w:pPr>
          </w:p>
        </w:tc>
      </w:tr>
      <w:tr>
        <w:trPr>
          <w:trHeight w:val="207"/>
        </w:trPr>
        <w:tc>
          <w:tcPr>
            <w:tcW w:w="8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Charge during the period*</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ind w:left="700"/>
              <w:spacing w:after="0"/>
              <w:rPr>
                <w:sz w:val="20"/>
                <w:szCs w:val="20"/>
                <w:color w:val="auto"/>
              </w:rPr>
            </w:pPr>
            <w:r>
              <w:rPr>
                <w:rFonts w:ascii="Arial" w:cs="Arial" w:eastAsia="Arial" w:hAnsi="Arial"/>
                <w:sz w:val="15"/>
                <w:szCs w:val="15"/>
                <w:color w:val="auto"/>
              </w:rPr>
              <w:t>76,723</w:t>
            </w:r>
          </w:p>
        </w:tc>
        <w:tc>
          <w:tcPr>
            <w:tcW w:w="7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76,392</w:t>
            </w:r>
          </w:p>
        </w:tc>
        <w:tc>
          <w:tcPr>
            <w:tcW w:w="0" w:type="dxa"/>
            <w:vAlign w:val="bottom"/>
          </w:tcPr>
          <w:p>
            <w:pPr>
              <w:spacing w:after="0"/>
              <w:rPr>
                <w:sz w:val="1"/>
                <w:szCs w:val="1"/>
                <w:color w:val="auto"/>
              </w:rPr>
            </w:pPr>
          </w:p>
        </w:tc>
      </w:tr>
      <w:tr>
        <w:trPr>
          <w:trHeight w:val="205"/>
        </w:trPr>
        <w:tc>
          <w:tcPr>
            <w:tcW w:w="82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Utilization</w:t>
            </w: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(86,822)</w:t>
            </w:r>
          </w:p>
        </w:tc>
        <w:tc>
          <w:tcPr>
            <w:tcW w:w="7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(51,917)</w:t>
            </w:r>
          </w:p>
        </w:tc>
        <w:tc>
          <w:tcPr>
            <w:tcW w:w="0" w:type="dxa"/>
            <w:vAlign w:val="bottom"/>
          </w:tcPr>
          <w:p>
            <w:pPr>
              <w:spacing w:after="0"/>
              <w:rPr>
                <w:sz w:val="1"/>
                <w:szCs w:val="1"/>
                <w:color w:val="auto"/>
              </w:rPr>
            </w:pPr>
          </w:p>
        </w:tc>
      </w:tr>
      <w:tr>
        <w:trPr>
          <w:trHeight w:val="224"/>
        </w:trPr>
        <w:tc>
          <w:tcPr>
            <w:tcW w:w="8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Closing provision</w:t>
            </w:r>
          </w:p>
        </w:tc>
        <w:tc>
          <w:tcPr>
            <w:tcW w:w="2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5"/>
                <w:szCs w:val="15"/>
                <w:color w:val="auto"/>
              </w:rPr>
              <w:t>21,375</w:t>
            </w:r>
          </w:p>
        </w:tc>
        <w:tc>
          <w:tcPr>
            <w:tcW w:w="720" w:type="dxa"/>
            <w:vAlign w:val="bottom"/>
            <w:tcBorders>
              <w:bottom w:val="single" w:sz="8" w:color="auto"/>
            </w:tcBorders>
            <w:shd w:val="clear" w:color="auto" w:fill="CCEEFF"/>
          </w:tcPr>
          <w:p>
            <w:pPr>
              <w:jc w:val="right"/>
              <w:ind w:right="543"/>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31,474</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charge for the nine months ended September 30, 2025 reflects the workforce reduction of $75.6 million (year ended December 31, 2024: $74.5</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million) and onerous contract costs of $1.1 million (year ended December 31, 2024: $1.9 million).</w:t>
      </w:r>
    </w:p>
    <w:p>
      <w:pPr>
        <w:spacing w:after="0" w:line="136"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closing provision as of September 30, 2025 of $21.4 million (December 31, 2024: $31.5 million) reflects:</w:t>
      </w:r>
    </w:p>
    <w:p>
      <w:pPr>
        <w:spacing w:after="0" w:line="98" w:lineRule="exact"/>
        <w:rPr>
          <w:sz w:val="20"/>
          <w:szCs w:val="20"/>
          <w:color w:val="auto"/>
        </w:rPr>
      </w:pPr>
    </w:p>
    <w:p>
      <w:pPr>
        <w:ind w:firstLine="622"/>
        <w:spacing w:after="0" w:line="312" w:lineRule="auto"/>
        <w:tabs>
          <w:tab w:leader="none" w:pos="851" w:val="left"/>
        </w:tabs>
        <w:numPr>
          <w:ilvl w:val="0"/>
          <w:numId w:val="2"/>
        </w:numPr>
        <w:rPr>
          <w:rFonts w:ascii="Arial" w:cs="Arial" w:eastAsia="Arial" w:hAnsi="Arial"/>
          <w:sz w:val="15"/>
          <w:szCs w:val="15"/>
          <w:color w:val="auto"/>
        </w:rPr>
      </w:pPr>
      <w:r>
        <w:rPr>
          <w:rFonts w:ascii="Arial" w:cs="Arial" w:eastAsia="Arial" w:hAnsi="Arial"/>
          <w:sz w:val="15"/>
          <w:szCs w:val="15"/>
          <w:color w:val="auto"/>
        </w:rPr>
        <w:t>$17.4 million (December 31, 2024: $27.7 million) of personnel related liabilities as a result of the workforce reduction; all of which have been classified as current within Other Liabilities, and</w:t>
      </w:r>
    </w:p>
    <w:p>
      <w:pPr>
        <w:spacing w:after="0" w:line="28" w:lineRule="exact"/>
        <w:rPr>
          <w:rFonts w:ascii="Arial" w:cs="Arial" w:eastAsia="Arial" w:hAnsi="Arial"/>
          <w:sz w:val="15"/>
          <w:szCs w:val="15"/>
          <w:color w:val="auto"/>
        </w:rPr>
      </w:pPr>
    </w:p>
    <w:p>
      <w:pPr>
        <w:ind w:firstLine="622"/>
        <w:spacing w:after="0" w:line="330" w:lineRule="auto"/>
        <w:tabs>
          <w:tab w:leader="none" w:pos="864" w:val="left"/>
        </w:tabs>
        <w:numPr>
          <w:ilvl w:val="0"/>
          <w:numId w:val="2"/>
        </w:numPr>
        <w:rPr>
          <w:rFonts w:ascii="Arial" w:cs="Arial" w:eastAsia="Arial" w:hAnsi="Arial"/>
          <w:sz w:val="15"/>
          <w:szCs w:val="15"/>
          <w:color w:val="auto"/>
        </w:rPr>
      </w:pPr>
      <w:r>
        <w:rPr>
          <w:rFonts w:ascii="Arial" w:cs="Arial" w:eastAsia="Arial" w:hAnsi="Arial"/>
          <w:sz w:val="15"/>
          <w:szCs w:val="15"/>
          <w:color w:val="auto"/>
        </w:rPr>
        <w:t>$4.0 million (December 31, 2024: $3.8 million) of facilities related liabilities of which $1.4 million (December 31, 2024: $1.4 million) is included within Other Liabilities and $2.6 million (December 31, 2024: $2.4 million) is included within Non-Current Other Liabilities.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18" w:name="page19"/>
    <w:bookmarkEnd w:id="18"/>
    <w:p>
      <w:pPr>
        <w:spacing w:after="0"/>
        <w:rPr>
          <w:sz w:val="20"/>
          <w:szCs w:val="20"/>
          <w:color w:val="auto"/>
        </w:rPr>
      </w:pPr>
      <w:r>
        <w:rPr>
          <w:rFonts w:ascii="Arial" w:cs="Arial" w:eastAsia="Arial" w:hAnsi="Arial"/>
          <w:sz w:val="15"/>
          <w:szCs w:val="15"/>
          <w:b w:val="1"/>
          <w:bCs w:val="1"/>
          <w:color w:val="auto"/>
        </w:rPr>
        <w:t>9. Operating leases</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5"/>
          <w:szCs w:val="15"/>
          <w:color w:val="auto"/>
        </w:rPr>
        <w:t>Lease costs recorded under operating leases for three and nine months ended September 30, 2025 and September 30, 2024 were as follows: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1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2760" w:type="dxa"/>
            <w:vAlign w:val="bottom"/>
            <w:tcBorders>
              <w:bottom w:val="single" w:sz="8" w:color="auto"/>
            </w:tcBorders>
            <w:gridSpan w:val="3"/>
            <w:shd w:val="clear" w:color="auto" w:fill="CCEEFF"/>
          </w:tcPr>
          <w:p>
            <w:pPr>
              <w:jc w:val="right"/>
              <w:ind w:right="683"/>
              <w:spacing w:after="0"/>
              <w:rPr>
                <w:sz w:val="20"/>
                <w:szCs w:val="20"/>
                <w:color w:val="auto"/>
              </w:rPr>
            </w:pPr>
            <w:r>
              <w:rPr>
                <w:rFonts w:ascii="Arial" w:cs="Arial" w:eastAsia="Arial" w:hAnsi="Arial"/>
                <w:sz w:val="15"/>
                <w:szCs w:val="15"/>
                <w:b w:val="1"/>
                <w:bCs w:val="1"/>
                <w:color w:val="auto"/>
              </w:rPr>
              <w:t>Three Months Ended</w:t>
            </w:r>
          </w:p>
        </w:tc>
        <w:tc>
          <w:tcPr>
            <w:tcW w:w="320" w:type="dxa"/>
            <w:vAlign w:val="bottom"/>
            <w:tcBorders>
              <w:bottom w:val="single" w:sz="8" w:color="auto"/>
            </w:tcBorders>
            <w:shd w:val="clear" w:color="auto" w:fill="CCEEFF"/>
          </w:tcPr>
          <w:p>
            <w:pPr>
              <w:spacing w:after="0"/>
              <w:rPr>
                <w:sz w:val="17"/>
                <w:szCs w:val="17"/>
                <w:color w:val="auto"/>
              </w:rPr>
            </w:pPr>
          </w:p>
        </w:tc>
        <w:tc>
          <w:tcPr>
            <w:tcW w:w="2720" w:type="dxa"/>
            <w:vAlign w:val="bottom"/>
            <w:tcBorders>
              <w:bottom w:val="single" w:sz="8" w:color="auto"/>
            </w:tcBorders>
            <w:gridSpan w:val="3"/>
            <w:shd w:val="clear" w:color="auto" w:fill="CCEEFF"/>
          </w:tcPr>
          <w:p>
            <w:pPr>
              <w:jc w:val="right"/>
              <w:ind w:right="683"/>
              <w:spacing w:after="0"/>
              <w:rPr>
                <w:sz w:val="20"/>
                <w:szCs w:val="20"/>
                <w:color w:val="auto"/>
              </w:rPr>
            </w:pPr>
            <w:r>
              <w:rPr>
                <w:rFonts w:ascii="Arial" w:cs="Arial" w:eastAsia="Arial" w:hAnsi="Arial"/>
                <w:sz w:val="15"/>
                <w:szCs w:val="15"/>
                <w:b w:val="1"/>
                <w:bCs w:val="1"/>
                <w:color w:val="auto"/>
              </w:rPr>
              <w:t>Nine Months Ended</w:t>
            </w:r>
          </w:p>
        </w:tc>
      </w:tr>
      <w:tr>
        <w:trPr>
          <w:trHeight w:val="148"/>
        </w:trPr>
        <w:tc>
          <w:tcPr>
            <w:tcW w:w="5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September 30,</w:t>
            </w:r>
          </w:p>
        </w:tc>
        <w:tc>
          <w:tcPr>
            <w:tcW w:w="280" w:type="dxa"/>
            <w:vAlign w:val="bottom"/>
          </w:tcPr>
          <w:p>
            <w:pPr>
              <w:spacing w:after="0"/>
              <w:rPr>
                <w:sz w:val="12"/>
                <w:szCs w:val="12"/>
                <w:color w:val="auto"/>
              </w:rPr>
            </w:pPr>
          </w:p>
        </w:tc>
        <w:tc>
          <w:tcPr>
            <w:tcW w:w="126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September 30,</w:t>
            </w:r>
          </w:p>
        </w:tc>
        <w:tc>
          <w:tcPr>
            <w:tcW w:w="320" w:type="dxa"/>
            <w:vAlign w:val="bottom"/>
          </w:tcPr>
          <w:p>
            <w:pPr>
              <w:spacing w:after="0"/>
              <w:rPr>
                <w:sz w:val="12"/>
                <w:szCs w:val="12"/>
                <w:color w:val="auto"/>
              </w:rPr>
            </w:pPr>
          </w:p>
        </w:tc>
        <w:tc>
          <w:tcPr>
            <w:tcW w:w="122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September 30,</w:t>
            </w:r>
          </w:p>
        </w:tc>
        <w:tc>
          <w:tcPr>
            <w:tcW w:w="280" w:type="dxa"/>
            <w:vAlign w:val="bottom"/>
          </w:tcPr>
          <w:p>
            <w:pPr>
              <w:spacing w:after="0"/>
              <w:rPr>
                <w:sz w:val="12"/>
                <w:szCs w:val="12"/>
                <w:color w:val="auto"/>
              </w:rPr>
            </w:pPr>
          </w:p>
        </w:tc>
        <w:tc>
          <w:tcPr>
            <w:tcW w:w="122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September 30,</w:t>
            </w:r>
          </w:p>
        </w:tc>
      </w:tr>
      <w:tr>
        <w:trPr>
          <w:trHeight w:val="206"/>
        </w:trPr>
        <w:tc>
          <w:tcPr>
            <w:tcW w:w="51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r>
      <w:tr>
        <w:trPr>
          <w:trHeight w:val="199"/>
        </w:trPr>
        <w:tc>
          <w:tcPr>
            <w:tcW w:w="5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0" w:type="dxa"/>
            <w:vAlign w:val="bottom"/>
            <w:gridSpan w:val="3"/>
            <w:shd w:val="clear" w:color="auto" w:fill="CCEEFF"/>
          </w:tcPr>
          <w:p>
            <w:pPr>
              <w:jc w:val="right"/>
              <w:ind w:right="923"/>
              <w:spacing w:after="0"/>
              <w:rPr>
                <w:sz w:val="20"/>
                <w:szCs w:val="20"/>
                <w:color w:val="auto"/>
              </w:rPr>
            </w:pPr>
            <w:r>
              <w:rPr>
                <w:rFonts w:ascii="Arial" w:cs="Arial" w:eastAsia="Arial" w:hAnsi="Arial"/>
                <w:sz w:val="15"/>
                <w:szCs w:val="15"/>
                <w:b w:val="1"/>
                <w:bCs w:val="1"/>
                <w:color w:val="auto"/>
              </w:rPr>
              <w:t>(in thousands)</w:t>
            </w: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05"/>
        </w:trPr>
        <w:tc>
          <w:tcPr>
            <w:tcW w:w="5180" w:type="dxa"/>
            <w:vAlign w:val="bottom"/>
          </w:tcPr>
          <w:p>
            <w:pPr>
              <w:ind w:left="20"/>
              <w:spacing w:after="0"/>
              <w:rPr>
                <w:sz w:val="20"/>
                <w:szCs w:val="20"/>
                <w:color w:val="auto"/>
              </w:rPr>
            </w:pPr>
            <w:r>
              <w:rPr>
                <w:rFonts w:ascii="Arial" w:cs="Arial" w:eastAsia="Arial" w:hAnsi="Arial"/>
                <w:sz w:val="15"/>
                <w:szCs w:val="15"/>
                <w:color w:val="auto"/>
              </w:rPr>
              <w:t>Operating lease costs</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12,378</w:t>
            </w:r>
          </w:p>
        </w:tc>
        <w:tc>
          <w:tcPr>
            <w:tcW w:w="2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23"/>
              <w:spacing w:after="0"/>
              <w:rPr>
                <w:sz w:val="20"/>
                <w:szCs w:val="20"/>
                <w:color w:val="auto"/>
              </w:rPr>
            </w:pPr>
            <w:r>
              <w:rPr>
                <w:rFonts w:ascii="Arial" w:cs="Arial" w:eastAsia="Arial" w:hAnsi="Arial"/>
                <w:sz w:val="15"/>
                <w:szCs w:val="15"/>
                <w:color w:val="auto"/>
              </w:rPr>
              <w:t>12,263</w:t>
            </w:r>
          </w:p>
        </w:tc>
        <w:tc>
          <w:tcPr>
            <w:tcW w:w="32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35,046</w:t>
            </w:r>
          </w:p>
        </w:tc>
        <w:tc>
          <w:tcPr>
            <w:tcW w:w="2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34,713</w:t>
            </w:r>
          </w:p>
        </w:tc>
      </w:tr>
      <w:tr>
        <w:trPr>
          <w:trHeight w:val="206"/>
        </w:trPr>
        <w:tc>
          <w:tcPr>
            <w:tcW w:w="5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Income from sub-leases</w:t>
            </w:r>
          </w:p>
        </w:tc>
        <w:tc>
          <w:tcPr>
            <w:tcW w:w="2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(905)</w:t>
            </w:r>
          </w:p>
        </w:tc>
        <w:tc>
          <w:tcPr>
            <w:tcW w:w="2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(340)</w:t>
            </w:r>
          </w:p>
        </w:tc>
        <w:tc>
          <w:tcPr>
            <w:tcW w:w="3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(2,524)</w:t>
            </w:r>
          </w:p>
        </w:tc>
        <w:tc>
          <w:tcPr>
            <w:tcW w:w="2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(977)</w:t>
            </w:r>
          </w:p>
        </w:tc>
      </w:tr>
      <w:tr>
        <w:trPr>
          <w:trHeight w:val="199"/>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Net operating lease costs</w:t>
            </w:r>
          </w:p>
        </w:tc>
        <w:tc>
          <w:tcPr>
            <w:tcW w:w="2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11,473</w:t>
            </w:r>
          </w:p>
        </w:tc>
        <w:tc>
          <w:tcPr>
            <w:tcW w:w="2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11,923</w:t>
            </w:r>
          </w:p>
        </w:tc>
        <w:tc>
          <w:tcPr>
            <w:tcW w:w="3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32,522</w:t>
            </w:r>
          </w:p>
        </w:tc>
        <w:tc>
          <w:tcPr>
            <w:tcW w:w="2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33,736</w:t>
            </w:r>
          </w:p>
        </w:tc>
      </w:tr>
      <w:tr>
        <w:trPr>
          <w:trHeight w:val="20"/>
        </w:trPr>
        <w:tc>
          <w:tcPr>
            <w:tcW w:w="5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Of the total cost of $11.5 million incurred in the three months ended September 30, 2025 (September 30, 2024: $11.9 million), $9.8 million (September 30,</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2024: $10.6 million) is recorded within selling, general and administration costs and $1.7 million (September 30, 2024: $1.3 million) is recorded within direct costs.</w:t>
      </w:r>
    </w:p>
    <w:p>
      <w:pPr>
        <w:spacing w:after="0" w:line="24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Of the total cost of $32.5 million incurred in the nine months ended September 30, 2025 (September 30, 2024: $33.7 million), $27.9 million (September 30,</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2024: $28.6 million) is recorded within selling, general and administration costs and $4.6 million (September 30, 2024: $5.1 million) is recorded within direct costs.</w:t>
      </w:r>
    </w:p>
    <w:p>
      <w:pPr>
        <w:spacing w:after="0" w:line="242"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During the three and nine months ended September 30, 2025 and September 30, 2024, costs incurred by the Group related to variable lease payments were de minimis.</w:t>
      </w:r>
    </w:p>
    <w:p>
      <w:pPr>
        <w:spacing w:after="0" w:line="170"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Right-of-use assets obtained, in exchange for lease obligations during the three months ended September 30, 2025, totaled $4.1 million (September 30, 2024: $13.3 million). Right-of-use assets obtained, in exchange for lease obligations during the nine months ended September 30, 2025, totaled $13.9 million (September 30, 2024: $59.9 million).</w:t>
      </w:r>
    </w:p>
    <w:p>
      <w:pPr>
        <w:spacing w:after="0" w:line="191"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The weighted average remaining lease term and weighted-average discount rate at September 30, 2025 were 5.97 years and 3.95%, respectively. The weighted average remaining lease term and weighted-average discount rate at December 31, 2024 were 6.56 years and 4.01%, respectively.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840" w:type="dxa"/>
            <w:vAlign w:val="bottom"/>
          </w:tcPr>
          <w:p>
            <w:pPr>
              <w:ind w:left="620"/>
              <w:spacing w:after="0"/>
              <w:rPr>
                <w:sz w:val="20"/>
                <w:szCs w:val="20"/>
                <w:color w:val="auto"/>
              </w:rPr>
            </w:pPr>
            <w:r>
              <w:rPr>
                <w:rFonts w:ascii="Arial" w:cs="Arial" w:eastAsia="Arial" w:hAnsi="Arial"/>
                <w:sz w:val="15"/>
                <w:szCs w:val="15"/>
                <w:color w:val="auto"/>
              </w:rPr>
              <w:t>Future minimum lease payments under non-cancelable leases as of September 30, 2025 were as follows:</w:t>
            </w:r>
          </w:p>
        </w:tc>
        <w:tc>
          <w:tcPr>
            <w:tcW w:w="12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105"/>
        </w:trPr>
        <w:tc>
          <w:tcPr>
            <w:tcW w:w="88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0" w:type="dxa"/>
            <w:vAlign w:val="bottom"/>
          </w:tcPr>
          <w:p>
            <w:pPr>
              <w:spacing w:after="0"/>
              <w:rPr>
                <w:sz w:val="9"/>
                <w:szCs w:val="9"/>
                <w:color w:val="auto"/>
              </w:rPr>
            </w:pPr>
          </w:p>
        </w:tc>
      </w:tr>
      <w:tr>
        <w:trPr>
          <w:trHeight w:val="206"/>
        </w:trPr>
        <w:tc>
          <w:tcPr>
            <w:tcW w:w="88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(in thousands)</w:t>
            </w:r>
          </w:p>
        </w:tc>
      </w:tr>
      <w:tr>
        <w:trPr>
          <w:trHeight w:val="198"/>
        </w:trPr>
        <w:tc>
          <w:tcPr>
            <w:tcW w:w="8840" w:type="dxa"/>
            <w:vAlign w:val="bottom"/>
          </w:tcPr>
          <w:p>
            <w:pPr>
              <w:ind w:left="20"/>
              <w:spacing w:after="0"/>
              <w:rPr>
                <w:sz w:val="20"/>
                <w:szCs w:val="20"/>
                <w:color w:val="auto"/>
              </w:rPr>
            </w:pPr>
            <w:r>
              <w:rPr>
                <w:rFonts w:ascii="Arial" w:cs="Arial" w:eastAsia="Arial" w:hAnsi="Arial"/>
                <w:sz w:val="15"/>
                <w:szCs w:val="15"/>
                <w:color w:val="auto"/>
              </w:rPr>
              <w:t>Year 1</w:t>
            </w:r>
          </w:p>
        </w:tc>
        <w:tc>
          <w:tcPr>
            <w:tcW w:w="120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43,414</w:t>
            </w:r>
          </w:p>
        </w:tc>
      </w:tr>
      <w:tr>
        <w:trPr>
          <w:trHeight w:val="207"/>
        </w:trPr>
        <w:tc>
          <w:tcPr>
            <w:tcW w:w="8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Year 2</w:t>
            </w:r>
          </w:p>
        </w:tc>
        <w:tc>
          <w:tcPr>
            <w:tcW w:w="1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37,007</w:t>
            </w:r>
          </w:p>
        </w:tc>
      </w:tr>
      <w:tr>
        <w:trPr>
          <w:trHeight w:val="205"/>
        </w:trPr>
        <w:tc>
          <w:tcPr>
            <w:tcW w:w="8840" w:type="dxa"/>
            <w:vAlign w:val="bottom"/>
          </w:tcPr>
          <w:p>
            <w:pPr>
              <w:ind w:left="20"/>
              <w:spacing w:after="0"/>
              <w:rPr>
                <w:sz w:val="20"/>
                <w:szCs w:val="20"/>
                <w:color w:val="auto"/>
              </w:rPr>
            </w:pPr>
            <w:r>
              <w:rPr>
                <w:rFonts w:ascii="Arial" w:cs="Arial" w:eastAsia="Arial" w:hAnsi="Arial"/>
                <w:sz w:val="15"/>
                <w:szCs w:val="15"/>
                <w:color w:val="auto"/>
              </w:rPr>
              <w:t>Year 3</w:t>
            </w:r>
          </w:p>
        </w:tc>
        <w:tc>
          <w:tcPr>
            <w:tcW w:w="1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29,666</w:t>
            </w:r>
          </w:p>
        </w:tc>
      </w:tr>
      <w:tr>
        <w:trPr>
          <w:trHeight w:val="207"/>
        </w:trPr>
        <w:tc>
          <w:tcPr>
            <w:tcW w:w="8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Year 4</w:t>
            </w:r>
          </w:p>
        </w:tc>
        <w:tc>
          <w:tcPr>
            <w:tcW w:w="1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21,726</w:t>
            </w:r>
          </w:p>
        </w:tc>
      </w:tr>
      <w:tr>
        <w:trPr>
          <w:trHeight w:val="205"/>
        </w:trPr>
        <w:tc>
          <w:tcPr>
            <w:tcW w:w="8840" w:type="dxa"/>
            <w:vAlign w:val="bottom"/>
          </w:tcPr>
          <w:p>
            <w:pPr>
              <w:ind w:left="20"/>
              <w:spacing w:after="0"/>
              <w:rPr>
                <w:sz w:val="20"/>
                <w:szCs w:val="20"/>
                <w:color w:val="auto"/>
              </w:rPr>
            </w:pPr>
            <w:r>
              <w:rPr>
                <w:rFonts w:ascii="Arial" w:cs="Arial" w:eastAsia="Arial" w:hAnsi="Arial"/>
                <w:sz w:val="15"/>
                <w:szCs w:val="15"/>
                <w:color w:val="auto"/>
              </w:rPr>
              <w:t>Year 5</w:t>
            </w:r>
          </w:p>
        </w:tc>
        <w:tc>
          <w:tcPr>
            <w:tcW w:w="1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17,157</w:t>
            </w:r>
          </w:p>
        </w:tc>
      </w:tr>
      <w:tr>
        <w:trPr>
          <w:trHeight w:val="206"/>
        </w:trPr>
        <w:tc>
          <w:tcPr>
            <w:tcW w:w="8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Thereafter</w:t>
            </w:r>
          </w:p>
        </w:tc>
        <w:tc>
          <w:tcPr>
            <w:tcW w:w="12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32,439</w:t>
            </w:r>
          </w:p>
        </w:tc>
      </w:tr>
      <w:tr>
        <w:trPr>
          <w:trHeight w:val="199"/>
        </w:trPr>
        <w:tc>
          <w:tcPr>
            <w:tcW w:w="8840" w:type="dxa"/>
            <w:vAlign w:val="bottom"/>
          </w:tcPr>
          <w:p>
            <w:pPr>
              <w:ind w:left="20"/>
              <w:spacing w:after="0"/>
              <w:rPr>
                <w:sz w:val="20"/>
                <w:szCs w:val="20"/>
                <w:color w:val="auto"/>
              </w:rPr>
            </w:pPr>
            <w:r>
              <w:rPr>
                <w:rFonts w:ascii="Arial" w:cs="Arial" w:eastAsia="Arial" w:hAnsi="Arial"/>
                <w:sz w:val="15"/>
                <w:szCs w:val="15"/>
                <w:color w:val="auto"/>
              </w:rPr>
              <w:t>Total future minimum lease payments</w:t>
            </w:r>
          </w:p>
        </w:tc>
        <w:tc>
          <w:tcPr>
            <w:tcW w:w="1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181,409</w:t>
            </w:r>
          </w:p>
        </w:tc>
      </w:tr>
      <w:tr>
        <w:trPr>
          <w:trHeight w:val="206"/>
        </w:trPr>
        <w:tc>
          <w:tcPr>
            <w:tcW w:w="8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Lease imputed interest</w:t>
            </w:r>
          </w:p>
        </w:tc>
        <w:tc>
          <w:tcPr>
            <w:tcW w:w="12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(18,240)</w:t>
            </w:r>
          </w:p>
        </w:tc>
      </w:tr>
      <w:tr>
        <w:trPr>
          <w:trHeight w:val="199"/>
        </w:trPr>
        <w:tc>
          <w:tcPr>
            <w:tcW w:w="88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Total</w:t>
            </w:r>
          </w:p>
        </w:tc>
        <w:tc>
          <w:tcPr>
            <w:tcW w:w="12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163,169</w:t>
            </w:r>
          </w:p>
        </w:tc>
      </w:tr>
      <w:tr>
        <w:trPr>
          <w:trHeight w:val="20"/>
        </w:trPr>
        <w:tc>
          <w:tcPr>
            <w:tcW w:w="88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19"/>
        <w:spacing w:after="0" w:line="296" w:lineRule="auto"/>
        <w:rPr>
          <w:sz w:val="20"/>
          <w:szCs w:val="20"/>
          <w:color w:val="auto"/>
        </w:rPr>
      </w:pPr>
      <w:r>
        <w:rPr>
          <w:rFonts w:ascii="Arial" w:cs="Arial" w:eastAsia="Arial" w:hAnsi="Arial"/>
          <w:sz w:val="15"/>
          <w:szCs w:val="15"/>
          <w:color w:val="auto"/>
        </w:rPr>
        <w:t>Operating lease liabilities are presented as current and non-current. As at September 30, 2025, operating lease liabilities of $38.1 million have been included in other liabilities (December 31, 2024: $36.8 million) and $125.1 million have been classified as non-current lease liabilities (December 31, 2024: $140.1 million).</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14"/>
        </w:trPr>
        <w:tc>
          <w:tcPr>
            <w:tcW w:w="3800" w:type="dxa"/>
            <w:vAlign w:val="bottom"/>
          </w:tcPr>
          <w:p>
            <w:pPr>
              <w:spacing w:after="0"/>
              <w:rPr>
                <w:sz w:val="20"/>
                <w:szCs w:val="20"/>
                <w:color w:val="auto"/>
              </w:rPr>
            </w:pPr>
            <w:r>
              <w:rPr>
                <w:rFonts w:ascii="Arial" w:cs="Arial" w:eastAsia="Arial" w:hAnsi="Arial"/>
                <w:sz w:val="15"/>
                <w:szCs w:val="15"/>
                <w:b w:val="1"/>
                <w:bCs w:val="1"/>
                <w:color w:val="auto"/>
              </w:rPr>
              <w:t>10. Bank credit lines, loan facilities and notes</w:t>
            </w:r>
          </w:p>
        </w:tc>
        <w:tc>
          <w:tcPr>
            <w:tcW w:w="14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8560" w:type="dxa"/>
            <w:vAlign w:val="bottom"/>
            <w:gridSpan w:val="4"/>
          </w:tcPr>
          <w:p>
            <w:pPr>
              <w:ind w:left="620"/>
              <w:spacing w:after="0"/>
              <w:rPr>
                <w:sz w:val="20"/>
                <w:szCs w:val="20"/>
                <w:color w:val="auto"/>
              </w:rPr>
            </w:pPr>
            <w:r>
              <w:rPr>
                <w:rFonts w:ascii="Arial" w:cs="Arial" w:eastAsia="Arial" w:hAnsi="Arial"/>
                <w:sz w:val="15"/>
                <w:szCs w:val="15"/>
                <w:color w:val="auto"/>
              </w:rPr>
              <w:t>The Company had the following debt outstanding as of September 30, 2025 and December 31, 2024:</w:t>
            </w: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38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340" w:type="dxa"/>
            <w:vAlign w:val="bottom"/>
            <w:gridSpan w:val="2"/>
          </w:tcPr>
          <w:p>
            <w:pPr>
              <w:spacing w:after="0"/>
              <w:rPr>
                <w:sz w:val="22"/>
                <w:szCs w:val="22"/>
                <w:color w:val="auto"/>
              </w:rPr>
            </w:pPr>
          </w:p>
        </w:tc>
        <w:tc>
          <w:tcPr>
            <w:tcW w:w="268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3800" w:type="dxa"/>
            <w:vAlign w:val="bottom"/>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spacing w:after="0"/>
              <w:rPr>
                <w:sz w:val="17"/>
                <w:szCs w:val="17"/>
                <w:color w:val="auto"/>
              </w:rPr>
            </w:pPr>
          </w:p>
        </w:tc>
        <w:tc>
          <w:tcPr>
            <w:tcW w:w="3340" w:type="dxa"/>
            <w:vAlign w:val="bottom"/>
            <w:tcBorders>
              <w:bottom w:val="single" w:sz="8" w:color="auto"/>
            </w:tcBorders>
            <w:gridSpan w:val="2"/>
            <w:shd w:val="clear" w:color="auto" w:fill="CCEEFF"/>
          </w:tcPr>
          <w:p>
            <w:pPr>
              <w:jc w:val="right"/>
              <w:ind w:right="1123"/>
              <w:spacing w:after="0"/>
              <w:rPr>
                <w:sz w:val="20"/>
                <w:szCs w:val="20"/>
                <w:color w:val="auto"/>
              </w:rPr>
            </w:pPr>
            <w:r>
              <w:rPr>
                <w:rFonts w:ascii="Arial" w:cs="Arial" w:eastAsia="Arial" w:hAnsi="Arial"/>
                <w:sz w:val="15"/>
                <w:szCs w:val="15"/>
                <w:b w:val="1"/>
                <w:bCs w:val="1"/>
                <w:color w:val="auto"/>
              </w:rPr>
              <w:t>Interest rate as of</w:t>
            </w:r>
          </w:p>
        </w:tc>
        <w:tc>
          <w:tcPr>
            <w:tcW w:w="2680" w:type="dxa"/>
            <w:vAlign w:val="bottom"/>
            <w:tcBorders>
              <w:bottom w:val="single" w:sz="8" w:color="auto"/>
            </w:tcBorders>
            <w:gridSpan w:val="3"/>
            <w:shd w:val="clear" w:color="auto" w:fill="CCEEFF"/>
          </w:tcPr>
          <w:p>
            <w:pPr>
              <w:jc w:val="right"/>
              <w:ind w:right="563"/>
              <w:spacing w:after="0"/>
              <w:rPr>
                <w:sz w:val="20"/>
                <w:szCs w:val="20"/>
                <w:color w:val="auto"/>
              </w:rPr>
            </w:pPr>
            <w:r>
              <w:rPr>
                <w:rFonts w:ascii="Arial" w:cs="Arial" w:eastAsia="Arial" w:hAnsi="Arial"/>
                <w:sz w:val="15"/>
                <w:szCs w:val="15"/>
                <w:b w:val="1"/>
                <w:bCs w:val="1"/>
                <w:color w:val="auto"/>
              </w:rPr>
              <w:t>Principal amount as of</w:t>
            </w: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142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Maturity Date</w:t>
            </w:r>
          </w:p>
        </w:tc>
        <w:tc>
          <w:tcPr>
            <w:tcW w:w="1780" w:type="dxa"/>
            <w:vAlign w:val="bottom"/>
          </w:tcPr>
          <w:p>
            <w:pPr>
              <w:jc w:val="right"/>
              <w:ind w:right="223"/>
              <w:spacing w:after="0" w:line="148" w:lineRule="exact"/>
              <w:rPr>
                <w:sz w:val="20"/>
                <w:szCs w:val="20"/>
                <w:color w:val="auto"/>
              </w:rPr>
            </w:pPr>
            <w:r>
              <w:rPr>
                <w:rFonts w:ascii="Arial" w:cs="Arial" w:eastAsia="Arial" w:hAnsi="Arial"/>
                <w:sz w:val="15"/>
                <w:szCs w:val="15"/>
                <w:b w:val="1"/>
                <w:bCs w:val="1"/>
                <w:color w:val="auto"/>
              </w:rPr>
              <w:t>September 30,</w:t>
            </w:r>
          </w:p>
        </w:tc>
        <w:tc>
          <w:tcPr>
            <w:tcW w:w="1560" w:type="dxa"/>
            <w:vAlign w:val="bottom"/>
          </w:tcPr>
          <w:p>
            <w:pPr>
              <w:jc w:val="right"/>
              <w:ind w:right="203"/>
              <w:spacing w:after="0" w:line="148" w:lineRule="exact"/>
              <w:rPr>
                <w:sz w:val="20"/>
                <w:szCs w:val="20"/>
                <w:color w:val="auto"/>
              </w:rPr>
            </w:pPr>
            <w:r>
              <w:rPr>
                <w:rFonts w:ascii="Arial" w:cs="Arial" w:eastAsia="Arial" w:hAnsi="Arial"/>
                <w:sz w:val="15"/>
                <w:szCs w:val="15"/>
                <w:b w:val="1"/>
                <w:bCs w:val="1"/>
                <w:color w:val="auto"/>
              </w:rPr>
              <w:t>December 31,</w:t>
            </w:r>
          </w:p>
        </w:tc>
        <w:tc>
          <w:tcPr>
            <w:tcW w:w="122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September 30,</w:t>
            </w:r>
          </w:p>
        </w:tc>
        <w:tc>
          <w:tcPr>
            <w:tcW w:w="260" w:type="dxa"/>
            <w:vAlign w:val="bottom"/>
          </w:tcPr>
          <w:p>
            <w:pPr>
              <w:spacing w:after="0"/>
              <w:rPr>
                <w:sz w:val="12"/>
                <w:szCs w:val="12"/>
                <w:color w:val="auto"/>
              </w:rPr>
            </w:pPr>
          </w:p>
        </w:tc>
        <w:tc>
          <w:tcPr>
            <w:tcW w:w="120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206"/>
        </w:trPr>
        <w:tc>
          <w:tcPr>
            <w:tcW w:w="38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vMerge w:val="continue"/>
          </w:tcPr>
          <w:p>
            <w:pPr>
              <w:spacing w:after="0"/>
              <w:rPr>
                <w:sz w:val="17"/>
                <w:szCs w:val="17"/>
                <w:color w:val="auto"/>
              </w:rPr>
            </w:pPr>
          </w:p>
        </w:tc>
        <w:tc>
          <w:tcPr>
            <w:tcW w:w="178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b w:val="1"/>
                <w:bCs w:val="1"/>
                <w:color w:val="auto"/>
              </w:rPr>
              <w:t>2025</w:t>
            </w:r>
          </w:p>
        </w:tc>
        <w:tc>
          <w:tcPr>
            <w:tcW w:w="156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b w:val="1"/>
                <w:bCs w:val="1"/>
                <w:color w:val="auto"/>
              </w:rPr>
              <w:t>2024</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0" w:type="dxa"/>
            <w:vAlign w:val="bottom"/>
          </w:tcPr>
          <w:p>
            <w:pPr>
              <w:spacing w:after="0"/>
              <w:rPr>
                <w:sz w:val="1"/>
                <w:szCs w:val="1"/>
                <w:color w:val="auto"/>
              </w:rPr>
            </w:pPr>
          </w:p>
        </w:tc>
      </w:tr>
      <w:tr>
        <w:trPr>
          <w:trHeight w:val="199"/>
        </w:trPr>
        <w:tc>
          <w:tcPr>
            <w:tcW w:w="38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680" w:type="dxa"/>
            <w:vAlign w:val="bottom"/>
            <w:gridSpan w:val="3"/>
            <w:shd w:val="clear" w:color="auto" w:fill="CCEEFF"/>
          </w:tcPr>
          <w:p>
            <w:pPr>
              <w:jc w:val="right"/>
              <w:ind w:right="863"/>
              <w:spacing w:after="0"/>
              <w:rPr>
                <w:sz w:val="20"/>
                <w:szCs w:val="20"/>
                <w:color w:val="auto"/>
              </w:rPr>
            </w:pPr>
            <w:r>
              <w:rPr>
                <w:rFonts w:ascii="Arial" w:cs="Arial" w:eastAsia="Arial" w:hAnsi="Arial"/>
                <w:sz w:val="15"/>
                <w:szCs w:val="15"/>
                <w:b w:val="1"/>
                <w:bCs w:val="1"/>
                <w:color w:val="auto"/>
              </w:rPr>
              <w:t>(in thousands)</w:t>
            </w:r>
          </w:p>
        </w:tc>
        <w:tc>
          <w:tcPr>
            <w:tcW w:w="0" w:type="dxa"/>
            <w:vAlign w:val="bottom"/>
          </w:tcPr>
          <w:p>
            <w:pPr>
              <w:spacing w:after="0"/>
              <w:rPr>
                <w:sz w:val="1"/>
                <w:szCs w:val="1"/>
                <w:color w:val="auto"/>
              </w:rPr>
            </w:pPr>
          </w:p>
        </w:tc>
      </w:tr>
      <w:tr>
        <w:trPr>
          <w:trHeight w:val="205"/>
        </w:trPr>
        <w:tc>
          <w:tcPr>
            <w:tcW w:w="3800" w:type="dxa"/>
            <w:vAlign w:val="bottom"/>
          </w:tcPr>
          <w:p>
            <w:pPr>
              <w:ind w:left="20"/>
              <w:spacing w:after="0"/>
              <w:rPr>
                <w:sz w:val="20"/>
                <w:szCs w:val="20"/>
                <w:color w:val="auto"/>
              </w:rPr>
            </w:pPr>
            <w:r>
              <w:rPr>
                <w:rFonts w:ascii="Arial" w:cs="Arial" w:eastAsia="Arial" w:hAnsi="Arial"/>
                <w:sz w:val="15"/>
                <w:szCs w:val="15"/>
                <w:color w:val="auto"/>
              </w:rPr>
              <w:t>Senior Secured Term Loan</w:t>
            </w:r>
          </w:p>
        </w:tc>
        <w:tc>
          <w:tcPr>
            <w:tcW w:w="1420" w:type="dxa"/>
            <w:vAlign w:val="bottom"/>
          </w:tcPr>
          <w:p>
            <w:pPr>
              <w:ind w:left="20"/>
              <w:spacing w:after="0"/>
              <w:rPr>
                <w:sz w:val="20"/>
                <w:szCs w:val="20"/>
                <w:color w:val="auto"/>
              </w:rPr>
            </w:pPr>
            <w:r>
              <w:rPr>
                <w:rFonts w:ascii="Arial" w:cs="Arial" w:eastAsia="Arial" w:hAnsi="Arial"/>
                <w:sz w:val="15"/>
                <w:szCs w:val="15"/>
                <w:color w:val="auto"/>
              </w:rPr>
              <w:t>July 2028</w:t>
            </w:r>
          </w:p>
        </w:tc>
        <w:tc>
          <w:tcPr>
            <w:tcW w:w="1780" w:type="dxa"/>
            <w:vAlign w:val="bottom"/>
          </w:tcPr>
          <w:p>
            <w:pPr>
              <w:jc w:val="right"/>
              <w:ind w:right="223"/>
              <w:spacing w:after="0"/>
              <w:rPr>
                <w:sz w:val="20"/>
                <w:szCs w:val="20"/>
                <w:color w:val="auto"/>
              </w:rPr>
            </w:pPr>
            <w:r>
              <w:rPr>
                <w:rFonts w:ascii="Arial" w:cs="Arial" w:eastAsia="Arial" w:hAnsi="Arial"/>
                <w:sz w:val="15"/>
                <w:szCs w:val="15"/>
                <w:color w:val="auto"/>
              </w:rPr>
              <w:t>6.002 %</w:t>
            </w:r>
          </w:p>
        </w:tc>
        <w:tc>
          <w:tcPr>
            <w:tcW w:w="1560" w:type="dxa"/>
            <w:vAlign w:val="bottom"/>
          </w:tcPr>
          <w:p>
            <w:pPr>
              <w:jc w:val="right"/>
              <w:ind w:right="83"/>
              <w:spacing w:after="0"/>
              <w:rPr>
                <w:sz w:val="20"/>
                <w:szCs w:val="20"/>
                <w:color w:val="auto"/>
              </w:rPr>
            </w:pPr>
            <w:r>
              <w:rPr>
                <w:rFonts w:ascii="Arial" w:cs="Arial" w:eastAsia="Arial" w:hAnsi="Arial"/>
                <w:sz w:val="15"/>
                <w:szCs w:val="15"/>
                <w:color w:val="auto"/>
              </w:rPr>
              <w:t>6.329 % $</w:t>
            </w:r>
          </w:p>
        </w:tc>
        <w:tc>
          <w:tcPr>
            <w:tcW w:w="1220" w:type="dxa"/>
            <w:vAlign w:val="bottom"/>
          </w:tcPr>
          <w:p>
            <w:pPr>
              <w:jc w:val="right"/>
              <w:ind w:right="3"/>
              <w:spacing w:after="0"/>
              <w:rPr>
                <w:sz w:val="20"/>
                <w:szCs w:val="20"/>
                <w:color w:val="auto"/>
              </w:rPr>
            </w:pPr>
            <w:r>
              <w:rPr>
                <w:rFonts w:ascii="Arial" w:cs="Arial" w:eastAsia="Arial" w:hAnsi="Arial"/>
                <w:sz w:val="15"/>
                <w:szCs w:val="15"/>
                <w:color w:val="auto"/>
              </w:rPr>
              <w:t>924,129</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946,450</w:t>
            </w:r>
          </w:p>
        </w:tc>
        <w:tc>
          <w:tcPr>
            <w:tcW w:w="0" w:type="dxa"/>
            <w:vAlign w:val="bottom"/>
          </w:tcPr>
          <w:p>
            <w:pPr>
              <w:spacing w:after="0"/>
              <w:rPr>
                <w:sz w:val="1"/>
                <w:szCs w:val="1"/>
                <w:color w:val="auto"/>
              </w:rPr>
            </w:pPr>
          </w:p>
        </w:tc>
      </w:tr>
      <w:tr>
        <w:trPr>
          <w:trHeight w:val="207"/>
        </w:trPr>
        <w:tc>
          <w:tcPr>
            <w:tcW w:w="3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Senior Secured Notes (the "2026 Notes")</w:t>
            </w:r>
          </w:p>
        </w:tc>
        <w:tc>
          <w:tcPr>
            <w:tcW w:w="1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July 2026</w:t>
            </w:r>
          </w:p>
        </w:tc>
        <w:tc>
          <w:tcPr>
            <w:tcW w:w="17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rPr>
              <w:t>2.875 %</w:t>
            </w:r>
          </w:p>
        </w:tc>
        <w:tc>
          <w:tcPr>
            <w:tcW w:w="15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rPr>
              <w:t>2.875 %</w:t>
            </w: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500,000</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500,000</w:t>
            </w:r>
          </w:p>
        </w:tc>
        <w:tc>
          <w:tcPr>
            <w:tcW w:w="0" w:type="dxa"/>
            <w:vAlign w:val="bottom"/>
          </w:tcPr>
          <w:p>
            <w:pPr>
              <w:spacing w:after="0"/>
              <w:rPr>
                <w:sz w:val="1"/>
                <w:szCs w:val="1"/>
                <w:color w:val="auto"/>
              </w:rPr>
            </w:pPr>
          </w:p>
        </w:tc>
      </w:tr>
      <w:tr>
        <w:trPr>
          <w:trHeight w:val="205"/>
        </w:trPr>
        <w:tc>
          <w:tcPr>
            <w:tcW w:w="3800" w:type="dxa"/>
            <w:vAlign w:val="bottom"/>
          </w:tcPr>
          <w:p>
            <w:pPr>
              <w:ind w:left="20"/>
              <w:spacing w:after="0"/>
              <w:rPr>
                <w:sz w:val="20"/>
                <w:szCs w:val="20"/>
                <w:color w:val="auto"/>
              </w:rPr>
            </w:pPr>
            <w:r>
              <w:rPr>
                <w:rFonts w:ascii="Arial" w:cs="Arial" w:eastAsia="Arial" w:hAnsi="Arial"/>
                <w:sz w:val="15"/>
                <w:szCs w:val="15"/>
                <w:color w:val="auto"/>
              </w:rPr>
              <w:t>Senior Secured Notes (the "2027 Notes")*</w:t>
            </w:r>
          </w:p>
        </w:tc>
        <w:tc>
          <w:tcPr>
            <w:tcW w:w="1420" w:type="dxa"/>
            <w:vAlign w:val="bottom"/>
          </w:tcPr>
          <w:p>
            <w:pPr>
              <w:ind w:left="20"/>
              <w:spacing w:after="0"/>
              <w:rPr>
                <w:sz w:val="20"/>
                <w:szCs w:val="20"/>
                <w:color w:val="auto"/>
              </w:rPr>
            </w:pPr>
            <w:r>
              <w:rPr>
                <w:rFonts w:ascii="Arial" w:cs="Arial" w:eastAsia="Arial" w:hAnsi="Arial"/>
                <w:sz w:val="15"/>
                <w:szCs w:val="15"/>
                <w:color w:val="auto"/>
              </w:rPr>
              <w:t>May 2027</w:t>
            </w:r>
          </w:p>
        </w:tc>
        <w:tc>
          <w:tcPr>
            <w:tcW w:w="1780" w:type="dxa"/>
            <w:vAlign w:val="bottom"/>
          </w:tcPr>
          <w:p>
            <w:pPr>
              <w:jc w:val="right"/>
              <w:ind w:right="223"/>
              <w:spacing w:after="0"/>
              <w:rPr>
                <w:sz w:val="20"/>
                <w:szCs w:val="20"/>
                <w:color w:val="auto"/>
              </w:rPr>
            </w:pPr>
            <w:r>
              <w:rPr>
                <w:rFonts w:ascii="Arial" w:cs="Arial" w:eastAsia="Arial" w:hAnsi="Arial"/>
                <w:sz w:val="15"/>
                <w:szCs w:val="15"/>
                <w:color w:val="auto"/>
              </w:rPr>
              <w:t>5.809 %</w:t>
            </w:r>
          </w:p>
        </w:tc>
        <w:tc>
          <w:tcPr>
            <w:tcW w:w="1560" w:type="dxa"/>
            <w:vAlign w:val="bottom"/>
          </w:tcPr>
          <w:p>
            <w:pPr>
              <w:jc w:val="right"/>
              <w:ind w:right="203"/>
              <w:spacing w:after="0"/>
              <w:rPr>
                <w:sz w:val="20"/>
                <w:szCs w:val="20"/>
                <w:color w:val="auto"/>
              </w:rPr>
            </w:pPr>
            <w:r>
              <w:rPr>
                <w:rFonts w:ascii="Arial" w:cs="Arial" w:eastAsia="Arial" w:hAnsi="Arial"/>
                <w:sz w:val="15"/>
                <w:szCs w:val="15"/>
                <w:color w:val="auto"/>
              </w:rPr>
              <w:t>5.809 %</w:t>
            </w:r>
          </w:p>
        </w:tc>
        <w:tc>
          <w:tcPr>
            <w:tcW w:w="1220" w:type="dxa"/>
            <w:vAlign w:val="bottom"/>
          </w:tcPr>
          <w:p>
            <w:pPr>
              <w:jc w:val="right"/>
              <w:ind w:right="3"/>
              <w:spacing w:after="0"/>
              <w:rPr>
                <w:sz w:val="20"/>
                <w:szCs w:val="20"/>
                <w:color w:val="auto"/>
              </w:rPr>
            </w:pPr>
            <w:r>
              <w:rPr>
                <w:rFonts w:ascii="Arial" w:cs="Arial" w:eastAsia="Arial" w:hAnsi="Arial"/>
                <w:sz w:val="15"/>
                <w:szCs w:val="15"/>
                <w:color w:val="auto"/>
              </w:rPr>
              <w:t>750,000</w:t>
            </w: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750,000</w:t>
            </w:r>
          </w:p>
        </w:tc>
        <w:tc>
          <w:tcPr>
            <w:tcW w:w="0" w:type="dxa"/>
            <w:vAlign w:val="bottom"/>
          </w:tcPr>
          <w:p>
            <w:pPr>
              <w:spacing w:after="0"/>
              <w:rPr>
                <w:sz w:val="1"/>
                <w:szCs w:val="1"/>
                <w:color w:val="auto"/>
              </w:rPr>
            </w:pPr>
          </w:p>
        </w:tc>
      </w:tr>
      <w:tr>
        <w:trPr>
          <w:trHeight w:val="207"/>
        </w:trPr>
        <w:tc>
          <w:tcPr>
            <w:tcW w:w="3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Senior Secured Notes (the "2029 Notes")*</w:t>
            </w:r>
          </w:p>
        </w:tc>
        <w:tc>
          <w:tcPr>
            <w:tcW w:w="1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May 2029</w:t>
            </w:r>
          </w:p>
        </w:tc>
        <w:tc>
          <w:tcPr>
            <w:tcW w:w="17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rPr>
              <w:t>5.849 %</w:t>
            </w:r>
          </w:p>
        </w:tc>
        <w:tc>
          <w:tcPr>
            <w:tcW w:w="15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rPr>
              <w:t>5.849 %</w:t>
            </w: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750,000</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750,000</w:t>
            </w:r>
          </w:p>
        </w:tc>
        <w:tc>
          <w:tcPr>
            <w:tcW w:w="0" w:type="dxa"/>
            <w:vAlign w:val="bottom"/>
          </w:tcPr>
          <w:p>
            <w:pPr>
              <w:spacing w:after="0"/>
              <w:rPr>
                <w:sz w:val="1"/>
                <w:szCs w:val="1"/>
                <w:color w:val="auto"/>
              </w:rPr>
            </w:pPr>
          </w:p>
        </w:tc>
      </w:tr>
      <w:tr>
        <w:trPr>
          <w:trHeight w:val="205"/>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Senior Secured Notes (the "2034 Notes")*</w:t>
            </w:r>
          </w:p>
        </w:tc>
        <w:tc>
          <w:tcPr>
            <w:tcW w:w="14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May 2034</w:t>
            </w:r>
          </w:p>
        </w:tc>
        <w:tc>
          <w:tcPr>
            <w:tcW w:w="178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color w:val="auto"/>
              </w:rPr>
              <w:t>6.000 %</w:t>
            </w:r>
          </w:p>
        </w:tc>
        <w:tc>
          <w:tcPr>
            <w:tcW w:w="156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rPr>
              <w:t>6.000 %</w:t>
            </w: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500,000</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500,000</w:t>
            </w:r>
          </w:p>
        </w:tc>
        <w:tc>
          <w:tcPr>
            <w:tcW w:w="0" w:type="dxa"/>
            <w:vAlign w:val="bottom"/>
          </w:tcPr>
          <w:p>
            <w:pPr>
              <w:spacing w:after="0"/>
              <w:rPr>
                <w:sz w:val="1"/>
                <w:szCs w:val="1"/>
                <w:color w:val="auto"/>
              </w:rPr>
            </w:pPr>
          </w:p>
        </w:tc>
      </w:tr>
      <w:tr>
        <w:trPr>
          <w:trHeight w:val="200"/>
        </w:trPr>
        <w:tc>
          <w:tcPr>
            <w:tcW w:w="3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debt</w:t>
            </w:r>
          </w:p>
        </w:tc>
        <w:tc>
          <w:tcPr>
            <w:tcW w:w="14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3,424,129</w:t>
            </w: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3,446,450</w:t>
            </w:r>
          </w:p>
        </w:tc>
        <w:tc>
          <w:tcPr>
            <w:tcW w:w="0" w:type="dxa"/>
            <w:vAlign w:val="bottom"/>
          </w:tcPr>
          <w:p>
            <w:pPr>
              <w:spacing w:after="0"/>
              <w:rPr>
                <w:sz w:val="1"/>
                <w:szCs w:val="1"/>
                <w:color w:val="auto"/>
              </w:rPr>
            </w:pPr>
          </w:p>
        </w:tc>
      </w:tr>
      <w:tr>
        <w:trPr>
          <w:trHeight w:val="205"/>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Less current portion of debt</w:t>
            </w:r>
          </w:p>
        </w:tc>
        <w:tc>
          <w:tcPr>
            <w:tcW w:w="14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(529,762)</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(29,762)</w:t>
            </w:r>
          </w:p>
        </w:tc>
        <w:tc>
          <w:tcPr>
            <w:tcW w:w="0" w:type="dxa"/>
            <w:vAlign w:val="bottom"/>
          </w:tcPr>
          <w:p>
            <w:pPr>
              <w:spacing w:after="0"/>
              <w:rPr>
                <w:sz w:val="1"/>
                <w:szCs w:val="1"/>
                <w:color w:val="auto"/>
              </w:rPr>
            </w:pPr>
          </w:p>
        </w:tc>
      </w:tr>
      <w:tr>
        <w:trPr>
          <w:trHeight w:val="200"/>
        </w:trPr>
        <w:tc>
          <w:tcPr>
            <w:tcW w:w="3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long-term debt</w:t>
            </w:r>
          </w:p>
        </w:tc>
        <w:tc>
          <w:tcPr>
            <w:tcW w:w="14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2,894,367</w:t>
            </w: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3,416,688</w:t>
            </w:r>
          </w:p>
        </w:tc>
        <w:tc>
          <w:tcPr>
            <w:tcW w:w="0" w:type="dxa"/>
            <w:vAlign w:val="bottom"/>
          </w:tcPr>
          <w:p>
            <w:pPr>
              <w:spacing w:after="0"/>
              <w:rPr>
                <w:sz w:val="1"/>
                <w:szCs w:val="1"/>
                <w:color w:val="auto"/>
              </w:rPr>
            </w:pPr>
          </w:p>
        </w:tc>
      </w:tr>
      <w:tr>
        <w:trPr>
          <w:trHeight w:val="205"/>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Less debt issuance costs and debt discount</w:t>
            </w:r>
          </w:p>
        </w:tc>
        <w:tc>
          <w:tcPr>
            <w:tcW w:w="14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(15,820)</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(20,290)</w:t>
            </w:r>
          </w:p>
        </w:tc>
        <w:tc>
          <w:tcPr>
            <w:tcW w:w="0" w:type="dxa"/>
            <w:vAlign w:val="bottom"/>
          </w:tcPr>
          <w:p>
            <w:pPr>
              <w:spacing w:after="0"/>
              <w:rPr>
                <w:sz w:val="1"/>
                <w:szCs w:val="1"/>
                <w:color w:val="auto"/>
              </w:rPr>
            </w:pPr>
          </w:p>
        </w:tc>
      </w:tr>
      <w:tr>
        <w:trPr>
          <w:trHeight w:val="224"/>
        </w:trPr>
        <w:tc>
          <w:tcPr>
            <w:tcW w:w="3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Total long-term debt, net</w:t>
            </w:r>
          </w:p>
        </w:tc>
        <w:tc>
          <w:tcPr>
            <w:tcW w:w="14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2,878,547</w:t>
            </w: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3,396,398</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3800" w:type="dxa"/>
            <w:vAlign w:val="bottom"/>
          </w:tcPr>
          <w:p>
            <w:pPr>
              <w:spacing w:after="0"/>
              <w:rPr>
                <w:sz w:val="20"/>
                <w:szCs w:val="20"/>
                <w:color w:val="auto"/>
              </w:rPr>
            </w:pPr>
            <w:r>
              <w:rPr>
                <w:rFonts w:ascii="Arial" w:cs="Arial" w:eastAsia="Arial" w:hAnsi="Arial"/>
                <w:sz w:val="15"/>
                <w:szCs w:val="15"/>
                <w:color w:val="auto"/>
              </w:rPr>
              <w:t>*Issued May 8, 2024</w:t>
            </w:r>
          </w:p>
        </w:tc>
        <w:tc>
          <w:tcPr>
            <w:tcW w:w="14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5"/>
        </w:trPr>
        <w:tc>
          <w:tcPr>
            <w:tcW w:w="8560" w:type="dxa"/>
            <w:vAlign w:val="bottom"/>
            <w:gridSpan w:val="4"/>
          </w:tcPr>
          <w:p>
            <w:pPr>
              <w:ind w:left="620"/>
              <w:spacing w:after="0"/>
              <w:rPr>
                <w:sz w:val="20"/>
                <w:szCs w:val="20"/>
                <w:color w:val="auto"/>
              </w:rPr>
            </w:pPr>
            <w:r>
              <w:rPr>
                <w:rFonts w:ascii="Arial" w:cs="Arial" w:eastAsia="Arial" w:hAnsi="Arial"/>
                <w:sz w:val="15"/>
                <w:szCs w:val="15"/>
                <w:color w:val="auto"/>
              </w:rPr>
              <w:t>As of September 30, 2025, the contractual maturities of the Company's debt obligations were as follows:</w:t>
            </w: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38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3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Contractual maturities of debt</w:t>
            </w:r>
          </w:p>
        </w:tc>
        <w:tc>
          <w:tcPr>
            <w:tcW w:w="1420" w:type="dxa"/>
            <w:vAlign w:val="bottom"/>
            <w:tcBorders>
              <w:bottom w:val="single" w:sz="8" w:color="auto"/>
            </w:tcBorders>
            <w:shd w:val="clear" w:color="auto" w:fill="CCEEFF"/>
          </w:tcPr>
          <w:p>
            <w:pPr>
              <w:spacing w:after="0"/>
              <w:rPr>
                <w:sz w:val="17"/>
                <w:szCs w:val="17"/>
                <w:color w:val="auto"/>
              </w:rPr>
            </w:pPr>
          </w:p>
        </w:tc>
        <w:tc>
          <w:tcPr>
            <w:tcW w:w="17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(in thousands)</w:t>
            </w:r>
          </w:p>
        </w:tc>
        <w:tc>
          <w:tcPr>
            <w:tcW w:w="0" w:type="dxa"/>
            <w:vAlign w:val="bottom"/>
          </w:tcPr>
          <w:p>
            <w:pPr>
              <w:spacing w:after="0"/>
              <w:rPr>
                <w:sz w:val="1"/>
                <w:szCs w:val="1"/>
                <w:color w:val="auto"/>
              </w:rPr>
            </w:pPr>
          </w:p>
        </w:tc>
      </w:tr>
      <w:tr>
        <w:trPr>
          <w:trHeight w:val="198"/>
        </w:trPr>
        <w:tc>
          <w:tcPr>
            <w:tcW w:w="3800" w:type="dxa"/>
            <w:vAlign w:val="bottom"/>
          </w:tcPr>
          <w:p>
            <w:pPr>
              <w:ind w:left="20"/>
              <w:spacing w:after="0"/>
              <w:rPr>
                <w:sz w:val="20"/>
                <w:szCs w:val="20"/>
                <w:color w:val="auto"/>
              </w:rPr>
            </w:pPr>
            <w:r>
              <w:rPr>
                <w:rFonts w:ascii="Arial" w:cs="Arial" w:eastAsia="Arial" w:hAnsi="Arial"/>
                <w:sz w:val="15"/>
                <w:szCs w:val="15"/>
                <w:color w:val="auto"/>
              </w:rPr>
              <w:t>2025 (remaining)</w:t>
            </w:r>
          </w:p>
        </w:tc>
        <w:tc>
          <w:tcPr>
            <w:tcW w:w="14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7,441</w:t>
            </w:r>
          </w:p>
        </w:tc>
        <w:tc>
          <w:tcPr>
            <w:tcW w:w="0" w:type="dxa"/>
            <w:vAlign w:val="bottom"/>
          </w:tcPr>
          <w:p>
            <w:pPr>
              <w:spacing w:after="0"/>
              <w:rPr>
                <w:sz w:val="1"/>
                <w:szCs w:val="1"/>
                <w:color w:val="auto"/>
              </w:rPr>
            </w:pPr>
          </w:p>
        </w:tc>
      </w:tr>
      <w:tr>
        <w:trPr>
          <w:trHeight w:val="207"/>
        </w:trPr>
        <w:tc>
          <w:tcPr>
            <w:tcW w:w="3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2026</w:t>
            </w:r>
          </w:p>
        </w:tc>
        <w:tc>
          <w:tcPr>
            <w:tcW w:w="14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529,762</w:t>
            </w:r>
          </w:p>
        </w:tc>
        <w:tc>
          <w:tcPr>
            <w:tcW w:w="0" w:type="dxa"/>
            <w:vAlign w:val="bottom"/>
          </w:tcPr>
          <w:p>
            <w:pPr>
              <w:spacing w:after="0"/>
              <w:rPr>
                <w:sz w:val="1"/>
                <w:szCs w:val="1"/>
                <w:color w:val="auto"/>
              </w:rPr>
            </w:pPr>
          </w:p>
        </w:tc>
      </w:tr>
      <w:tr>
        <w:trPr>
          <w:trHeight w:val="205"/>
        </w:trPr>
        <w:tc>
          <w:tcPr>
            <w:tcW w:w="3800" w:type="dxa"/>
            <w:vAlign w:val="bottom"/>
          </w:tcPr>
          <w:p>
            <w:pPr>
              <w:ind w:left="20"/>
              <w:spacing w:after="0"/>
              <w:rPr>
                <w:sz w:val="20"/>
                <w:szCs w:val="20"/>
                <w:color w:val="auto"/>
              </w:rPr>
            </w:pPr>
            <w:r>
              <w:rPr>
                <w:rFonts w:ascii="Arial" w:cs="Arial" w:eastAsia="Arial" w:hAnsi="Arial"/>
                <w:sz w:val="15"/>
                <w:szCs w:val="15"/>
                <w:color w:val="auto"/>
              </w:rPr>
              <w:t>2027</w:t>
            </w:r>
          </w:p>
        </w:tc>
        <w:tc>
          <w:tcPr>
            <w:tcW w:w="14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779,762</w:t>
            </w:r>
          </w:p>
        </w:tc>
        <w:tc>
          <w:tcPr>
            <w:tcW w:w="0" w:type="dxa"/>
            <w:vAlign w:val="bottom"/>
          </w:tcPr>
          <w:p>
            <w:pPr>
              <w:spacing w:after="0"/>
              <w:rPr>
                <w:sz w:val="1"/>
                <w:szCs w:val="1"/>
                <w:color w:val="auto"/>
              </w:rPr>
            </w:pPr>
          </w:p>
        </w:tc>
      </w:tr>
      <w:tr>
        <w:trPr>
          <w:trHeight w:val="207"/>
        </w:trPr>
        <w:tc>
          <w:tcPr>
            <w:tcW w:w="3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2028</w:t>
            </w:r>
          </w:p>
        </w:tc>
        <w:tc>
          <w:tcPr>
            <w:tcW w:w="14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857,164</w:t>
            </w:r>
          </w:p>
        </w:tc>
        <w:tc>
          <w:tcPr>
            <w:tcW w:w="0" w:type="dxa"/>
            <w:vAlign w:val="bottom"/>
          </w:tcPr>
          <w:p>
            <w:pPr>
              <w:spacing w:after="0"/>
              <w:rPr>
                <w:sz w:val="1"/>
                <w:szCs w:val="1"/>
                <w:color w:val="auto"/>
              </w:rPr>
            </w:pPr>
          </w:p>
        </w:tc>
      </w:tr>
      <w:tr>
        <w:trPr>
          <w:trHeight w:val="205"/>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2029 and thereafter</w:t>
            </w:r>
          </w:p>
        </w:tc>
        <w:tc>
          <w:tcPr>
            <w:tcW w:w="14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1,250,000</w:t>
            </w:r>
          </w:p>
        </w:tc>
        <w:tc>
          <w:tcPr>
            <w:tcW w:w="0" w:type="dxa"/>
            <w:vAlign w:val="bottom"/>
          </w:tcPr>
          <w:p>
            <w:pPr>
              <w:spacing w:after="0"/>
              <w:rPr>
                <w:sz w:val="1"/>
                <w:szCs w:val="1"/>
                <w:color w:val="auto"/>
              </w:rPr>
            </w:pPr>
          </w:p>
        </w:tc>
      </w:tr>
      <w:tr>
        <w:trPr>
          <w:trHeight w:val="224"/>
        </w:trPr>
        <w:tc>
          <w:tcPr>
            <w:tcW w:w="3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14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3,424,129</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The Company's primary financing arrangements are its senior secured credit facilities (the "Senior Secured Credit Facilities"), which consists of a senior secured term loan and a revolving credit facility, the 2026 Notes and the New Notes.</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The New Notes</w:t>
      </w:r>
    </w:p>
    <w:p>
      <w:pPr>
        <w:spacing w:after="0" w:line="240"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On May 8, 2024, ICON Investments Six Designated Activity Company (the "Issuer"), a wholly-owned subsidiary of ICON plc, issued $2.0 billion senior secured notes ("the New Notes"). The New Notes were issued in aggregate principal amounts of: $750.0 million 5.809% Senior Secured Notes due 2027 (the "2027 Notes"), $750.0 million 5.849% Senior Secured Notes due 2029 (the "2029 Notes") and $500.0 million 6.000% Senior Secured Notes due 2034 (the "2034 Notes").</w:t>
      </w:r>
    </w:p>
    <w:p>
      <w:pPr>
        <w:spacing w:after="0" w:line="178"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The Company paid an underwriting discount of $6.8 million on the New Notes being: 0.250% of the principal amount of the 2027 Notes, 0.350% of the principal amount of the 2029 Notes and 0.450% of the 2034 Notes. Further, the 2034 Notes were issued at a discount of $0.5 million (issued at 99.896% of par).</w:t>
      </w:r>
    </w:p>
    <w:p>
      <w:pPr>
        <w:spacing w:after="0" w:line="157"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The proceeds from the issuance were used to repay a portion of the senior secured term loan outstanding under the Senior Secured Credit Facilities and to pay fees, costs and expenses related to the offering.</w:t>
      </w:r>
    </w:p>
    <w:p>
      <w:pPr>
        <w:spacing w:after="0" w:line="183"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Interest on the New Notes is payable on May 8 and November 8 of each year, having commenced on November 8, 2024. Unless previously redeemed, the 2027 Notes will mature on May 8, 2027, the 2029 Notes will mature on May 8, 2029 and the 2034 Notes will mature on May 8, 2034.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73660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20" w:name="page21"/>
    <w:bookmarkEnd w:id="20"/>
    <w:p>
      <w:pPr>
        <w:jc w:val="both"/>
        <w:ind w:firstLine="619"/>
        <w:spacing w:after="0" w:line="264" w:lineRule="auto"/>
        <w:rPr>
          <w:sz w:val="20"/>
          <w:szCs w:val="20"/>
          <w:color w:val="auto"/>
        </w:rPr>
      </w:pPr>
      <w:r>
        <w:rPr>
          <w:rFonts w:ascii="Arial" w:cs="Arial" w:eastAsia="Arial" w:hAnsi="Arial"/>
          <w:sz w:val="15"/>
          <w:szCs w:val="15"/>
          <w:color w:val="auto"/>
        </w:rPr>
        <w:t>The New Notes are guaranteed on a senior secured basis by ICON and its existing and future wholly owned subsidiaries, in each case that guarantee the obligations under our Senior Secured Credit Facilities and the 2026 Notes. The New Notes are the senior secured obligation of the Issuer and the Guarantors and rank equally in right of payment to all of the Issuer’s and Guarantors’ existing and future senior debt and senior in right of payment to all of the Issuer's and Guarantors' existing and future subordinated debt. The New Notes and the guarantees are secured on a first-lien basis by substantially all of the existing and future assets of the Issuer and the Guarantors that also secure the Issuer’s and the Guarantors’ obligations under the Senior Secured Credit Facilities and the 2026 Notes on a pari passu basis, subject to permitted liens, and the liens on the collateral securing the New Notes rank equally in priority with the liens on the collateral securing borrowings and guarantees under the Senior Secured Credit Facilities, the 2026 Notes and any other future pari passu first lien indebtedness.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Senior Secured Credit Facilities</w:t>
      </w:r>
    </w:p>
    <w:p>
      <w:pPr>
        <w:spacing w:after="0" w:line="253" w:lineRule="exact"/>
        <w:rPr>
          <w:sz w:val="20"/>
          <w:szCs w:val="20"/>
          <w:color w:val="auto"/>
        </w:rPr>
      </w:pPr>
    </w:p>
    <w:p>
      <w:pPr>
        <w:jc w:val="both"/>
        <w:ind w:firstLine="619"/>
        <w:spacing w:after="0" w:line="263" w:lineRule="auto"/>
        <w:rPr>
          <w:sz w:val="20"/>
          <w:szCs w:val="20"/>
          <w:color w:val="auto"/>
        </w:rPr>
      </w:pPr>
      <w:r>
        <w:rPr>
          <w:rFonts w:ascii="Arial" w:cs="Arial" w:eastAsia="Arial" w:hAnsi="Arial"/>
          <w:sz w:val="15"/>
          <w:szCs w:val="15"/>
          <w:color w:val="auto"/>
        </w:rPr>
        <w:t>On July 1, 2021, the Company completed the acquisition of PRA Health Sciences, Inc. ("PRA") by means of a merger whereby Indigo Merger Sub, Inc., a Delaware corporation and subsidiary of ICON, merged with and into PRA, the parent of the PRA Health Sciences ("the Merger"). In conjunction with the completion of the Merger, on July 1, 2021, ICON entered into a credit agreement providing for a senior secured term loan facility of $5.5 billion and a senior secured revolving loan facility in an initial aggregate principal amount of $300.0 million (the "Senior Secured Credit Facilities"). On May 2, 2023, the Company agreed with its lenders to increase the aggregate principal amount of the senior secured revolving loan facility from $300.0 million to $500.0 million. The Senior Secured Credit Facilities and the 2026 Notes were issued at a discount of $27.6 million.</w:t>
      </w:r>
    </w:p>
    <w:p>
      <w:pPr>
        <w:spacing w:after="0" w:line="207"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Borrowings under the senior secured term loan facility amortize in equal quarterly installments in an amount equal to 1.00% per annum of the principal amount, with the remaining balance due at final maturity. The interest rate margin applicable to borrowings under the senior secured term loan facility is USD Term SOFR plus an applicable margin which is dependent on the Company's net leverage ratio. At September 30, 2025, the applicable margin is 2.0%. The senior secured term loan facility is subject to a floor of 0.50%.</w:t>
      </w:r>
    </w:p>
    <w:p>
      <w:pPr>
        <w:spacing w:after="0" w:line="188"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 interest rate margin applicable to borrowings under the revolving loan facility will be, at the option of the borrower, either (i) the applicable base rate plus an applicable margin of 0.45%, 0.10% or –% based on the Company’s current corporate family rating assigned by S&amp;P of BB (or lower), BB+ or BBB- (or higher), respectively, or (ii) Term SOFR plus an applicable margin of 1.45%, 1.10%, 0.85%, 0.65%, or 0.50% based on the Company’s current corporate family rating assigned by S&amp;P of BB (or lower), BB+, BBB-, BBB or BBB+ (or higher), respectively. In addition, lenders under the revolving loan facility are entitled to commitment fees as a percentage of the applicable margin at the time of drawing and utilization fees dependent on the proportion of the facility drawn.</w:t>
      </w:r>
    </w:p>
    <w:p>
      <w:pPr>
        <w:spacing w:after="0" w:line="186"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 Borrowers’ (as defined in the Senior Secured Credit Facility) obligations under the Senior Secured Credit Facilities are guaranteed by ICON and the subsidiary guarantors. The Senior Secured Credit Facilities are secured by a lien on substantially all of ICON’s, the Borrowers’ and each of the subsidiary guarantor’s assets (subject to certain exceptions), and the Senior Secured Credit Facilities will have a first-priority lien on such assets, which will rank pari passu with the lien securing the 2026 Notes and the New Notes subject to other permitted liens. The Company is permitted to make prepayments on the senior secured term loan without penalty.</w:t>
      </w:r>
    </w:p>
    <w:p>
      <w:pPr>
        <w:spacing w:after="0" w:line="186" w:lineRule="exact"/>
        <w:rPr>
          <w:sz w:val="20"/>
          <w:szCs w:val="20"/>
          <w:color w:val="auto"/>
        </w:rPr>
      </w:pPr>
    </w:p>
    <w:p>
      <w:pPr>
        <w:ind w:firstLine="619"/>
        <w:spacing w:after="0" w:line="312" w:lineRule="auto"/>
        <w:rPr>
          <w:sz w:val="20"/>
          <w:szCs w:val="20"/>
          <w:color w:val="auto"/>
        </w:rPr>
      </w:pPr>
      <w:r>
        <w:rPr>
          <w:rFonts w:ascii="Arial" w:cs="Arial" w:eastAsia="Arial" w:hAnsi="Arial"/>
          <w:sz w:val="15"/>
          <w:szCs w:val="15"/>
          <w:color w:val="auto"/>
        </w:rPr>
        <w:t>Principal repayments on the senior secured term loan, comprising mandatory and voluntary repayments, during the nine months ended September 30, 2025 and year ended December 31, 2024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Principal repayments</w:t>
            </w:r>
          </w:p>
        </w:tc>
        <w:tc>
          <w:tcPr>
            <w:tcW w:w="42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(in thousands)</w:t>
            </w:r>
          </w:p>
        </w:tc>
      </w:tr>
      <w:tr>
        <w:trPr>
          <w:trHeight w:val="198"/>
        </w:trPr>
        <w:tc>
          <w:tcPr>
            <w:tcW w:w="5780" w:type="dxa"/>
            <w:vAlign w:val="bottom"/>
          </w:tcPr>
          <w:p>
            <w:pPr>
              <w:ind w:left="20"/>
              <w:spacing w:after="0"/>
              <w:rPr>
                <w:sz w:val="20"/>
                <w:szCs w:val="20"/>
                <w:color w:val="auto"/>
              </w:rPr>
            </w:pPr>
            <w:r>
              <w:rPr>
                <w:rFonts w:ascii="Arial" w:cs="Arial" w:eastAsia="Arial" w:hAnsi="Arial"/>
                <w:sz w:val="15"/>
                <w:szCs w:val="15"/>
                <w:color w:val="auto"/>
              </w:rPr>
              <w:t>Quarter 1, 2024</w:t>
            </w:r>
          </w:p>
        </w:tc>
        <w:tc>
          <w:tcPr>
            <w:tcW w:w="42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(275,000)</w:t>
            </w:r>
          </w:p>
        </w:tc>
      </w:tr>
      <w:tr>
        <w:trPr>
          <w:trHeight w:val="207"/>
        </w:trPr>
        <w:tc>
          <w:tcPr>
            <w:tcW w:w="5780" w:type="dxa"/>
            <w:vAlign w:val="bottom"/>
            <w:shd w:val="clear" w:color="auto" w:fill="CCEEFF"/>
          </w:tcPr>
          <w:p>
            <w:pPr>
              <w:ind w:left="20"/>
              <w:spacing w:after="0"/>
              <w:rPr>
                <w:sz w:val="20"/>
                <w:szCs w:val="20"/>
                <w:color w:val="auto"/>
              </w:rPr>
            </w:pPr>
            <w:r>
              <w:rPr>
                <w:rFonts w:ascii="Arial" w:cs="Arial" w:eastAsia="Arial" w:hAnsi="Arial"/>
                <w:sz w:val="15"/>
                <w:szCs w:val="15"/>
                <w:color w:val="auto"/>
              </w:rPr>
              <w:t>Quarter 2, 2024</w:t>
            </w:r>
          </w:p>
        </w:tc>
        <w:tc>
          <w:tcPr>
            <w:tcW w:w="4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(2,014,882)</w:t>
            </w:r>
          </w:p>
        </w:tc>
      </w:tr>
      <w:tr>
        <w:trPr>
          <w:trHeight w:val="205"/>
        </w:trPr>
        <w:tc>
          <w:tcPr>
            <w:tcW w:w="5780" w:type="dxa"/>
            <w:vAlign w:val="bottom"/>
          </w:tcPr>
          <w:p>
            <w:pPr>
              <w:ind w:left="20"/>
              <w:spacing w:after="0"/>
              <w:rPr>
                <w:sz w:val="20"/>
                <w:szCs w:val="20"/>
                <w:color w:val="auto"/>
              </w:rPr>
            </w:pPr>
            <w:r>
              <w:rPr>
                <w:rFonts w:ascii="Arial" w:cs="Arial" w:eastAsia="Arial" w:hAnsi="Arial"/>
                <w:sz w:val="15"/>
                <w:szCs w:val="15"/>
                <w:color w:val="auto"/>
              </w:rPr>
              <w:t>Quarter 3, 2024</w:t>
            </w:r>
          </w:p>
        </w:tc>
        <w:tc>
          <w:tcPr>
            <w:tcW w:w="4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(7,441)</w:t>
            </w:r>
          </w:p>
        </w:tc>
      </w:tr>
      <w:tr>
        <w:trPr>
          <w:trHeight w:val="206"/>
        </w:trPr>
        <w:tc>
          <w:tcPr>
            <w:tcW w:w="5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Quarter 4, 2024</w:t>
            </w:r>
          </w:p>
        </w:tc>
        <w:tc>
          <w:tcPr>
            <w:tcW w:w="42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(7,440)</w:t>
            </w:r>
          </w:p>
        </w:tc>
      </w:tr>
      <w:tr>
        <w:trPr>
          <w:trHeight w:val="199"/>
        </w:trPr>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Total repayments in 2024</w:t>
            </w:r>
          </w:p>
        </w:tc>
        <w:tc>
          <w:tcPr>
            <w:tcW w:w="4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(2,304,763)</w:t>
            </w:r>
          </w:p>
        </w:tc>
      </w:tr>
      <w:tr>
        <w:trPr>
          <w:trHeight w:val="200"/>
        </w:trPr>
        <w:tc>
          <w:tcPr>
            <w:tcW w:w="5780" w:type="dxa"/>
            <w:vAlign w:val="bottom"/>
            <w:shd w:val="clear" w:color="auto" w:fill="CCEEFF"/>
          </w:tcPr>
          <w:p>
            <w:pPr>
              <w:ind w:left="20"/>
              <w:spacing w:after="0"/>
              <w:rPr>
                <w:sz w:val="20"/>
                <w:szCs w:val="20"/>
                <w:color w:val="auto"/>
              </w:rPr>
            </w:pPr>
            <w:r>
              <w:rPr>
                <w:rFonts w:ascii="Arial" w:cs="Arial" w:eastAsia="Arial" w:hAnsi="Arial"/>
                <w:sz w:val="15"/>
                <w:szCs w:val="15"/>
                <w:color w:val="auto"/>
              </w:rPr>
              <w:t>Quarter 1, 2025</w:t>
            </w:r>
          </w:p>
        </w:tc>
        <w:tc>
          <w:tcPr>
            <w:tcW w:w="42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(7,440)</w:t>
            </w:r>
          </w:p>
        </w:tc>
      </w:tr>
      <w:tr>
        <w:trPr>
          <w:trHeight w:val="205"/>
        </w:trPr>
        <w:tc>
          <w:tcPr>
            <w:tcW w:w="5780" w:type="dxa"/>
            <w:vAlign w:val="bottom"/>
          </w:tcPr>
          <w:p>
            <w:pPr>
              <w:ind w:left="20"/>
              <w:spacing w:after="0"/>
              <w:rPr>
                <w:sz w:val="20"/>
                <w:szCs w:val="20"/>
                <w:color w:val="auto"/>
              </w:rPr>
            </w:pPr>
            <w:r>
              <w:rPr>
                <w:rFonts w:ascii="Arial" w:cs="Arial" w:eastAsia="Arial" w:hAnsi="Arial"/>
                <w:sz w:val="15"/>
                <w:szCs w:val="15"/>
                <w:color w:val="auto"/>
              </w:rPr>
              <w:t>Quarter 2, 2025</w:t>
            </w:r>
          </w:p>
        </w:tc>
        <w:tc>
          <w:tcPr>
            <w:tcW w:w="4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(7,441)</w:t>
            </w:r>
          </w:p>
        </w:tc>
      </w:tr>
      <w:tr>
        <w:trPr>
          <w:trHeight w:val="206"/>
        </w:trPr>
        <w:tc>
          <w:tcPr>
            <w:tcW w:w="5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Quarter 3, 2025</w:t>
            </w:r>
          </w:p>
        </w:tc>
        <w:tc>
          <w:tcPr>
            <w:tcW w:w="42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(7,440)</w:t>
            </w:r>
          </w:p>
        </w:tc>
      </w:tr>
      <w:tr>
        <w:trPr>
          <w:trHeight w:val="199"/>
        </w:trPr>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Total repayments in 2025</w:t>
            </w:r>
          </w:p>
        </w:tc>
        <w:tc>
          <w:tcPr>
            <w:tcW w:w="426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(22,321)</w:t>
            </w:r>
          </w:p>
        </w:tc>
      </w:tr>
      <w:tr>
        <w:trPr>
          <w:trHeight w:val="20"/>
        </w:trPr>
        <w:tc>
          <w:tcPr>
            <w:tcW w:w="578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There have been no voluntary repayments made during the nine months ended September 30, 2025.</w:t>
      </w:r>
    </w:p>
    <w:p>
      <w:pPr>
        <w:spacing w:after="0" w:line="240" w:lineRule="exact"/>
        <w:rPr>
          <w:sz w:val="20"/>
          <w:szCs w:val="20"/>
          <w:color w:val="auto"/>
        </w:rPr>
      </w:pPr>
    </w:p>
    <w:p>
      <w:pPr>
        <w:ind w:left="620"/>
        <w:spacing w:after="0"/>
        <w:rPr>
          <w:sz w:val="20"/>
          <w:szCs w:val="20"/>
          <w:color w:val="auto"/>
        </w:rPr>
      </w:pPr>
      <w:r>
        <w:rPr>
          <w:rFonts w:ascii="Arial" w:cs="Arial" w:eastAsia="Arial" w:hAnsi="Arial"/>
          <w:sz w:val="15"/>
          <w:szCs w:val="15"/>
          <w:color w:val="auto"/>
        </w:rPr>
        <w:t>During the quarter ended September 30, 2025, the Company drew down $nil (year ended December 31, 2024: $318.0 million) of the senior secured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revolving loan facility and repaid $nil (year ended December 31, 2024: $373.0 million) as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21" w:name="page22"/>
    <w:bookmarkEnd w:id="21"/>
    <w:p>
      <w:pPr>
        <w:spacing w:after="0"/>
        <w:rPr>
          <w:sz w:val="20"/>
          <w:szCs w:val="20"/>
          <w:color w:val="auto"/>
        </w:rPr>
      </w:pPr>
      <w:r>
        <w:rPr>
          <w:rFonts w:ascii="Arial" w:cs="Arial" w:eastAsia="Arial" w:hAnsi="Arial"/>
          <w:sz w:val="15"/>
          <w:szCs w:val="15"/>
          <w:color w:val="auto"/>
        </w:rPr>
        <w:t>shown below. As at September 30, 2025, $nil (year ended December 31, 2024: $nil) was drawn under the senior secured revolving loan facility.</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800" w:type="dxa"/>
            <w:vAlign w:val="bottom"/>
            <w:tcBorders>
              <w:bottom w:val="single" w:sz="8" w:color="auto"/>
            </w:tcBorders>
            <w:shd w:val="clear" w:color="auto" w:fill="CCEEFF"/>
          </w:tcPr>
          <w:p>
            <w:pPr>
              <w:spacing w:after="0"/>
              <w:rPr>
                <w:sz w:val="17"/>
                <w:szCs w:val="17"/>
                <w:color w:val="auto"/>
              </w:rPr>
            </w:pPr>
          </w:p>
        </w:tc>
        <w:tc>
          <w:tcPr>
            <w:tcW w:w="24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Drawdown</w:t>
            </w:r>
          </w:p>
        </w:tc>
        <w:tc>
          <w:tcPr>
            <w:tcW w:w="1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Repayment</w:t>
            </w: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Closing Balance</w:t>
            </w:r>
          </w:p>
        </w:tc>
      </w:tr>
      <w:tr>
        <w:trPr>
          <w:trHeight w:val="199"/>
        </w:trPr>
        <w:tc>
          <w:tcPr>
            <w:tcW w:w="48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ind w:right="103"/>
              <w:spacing w:after="0"/>
              <w:rPr>
                <w:sz w:val="20"/>
                <w:szCs w:val="20"/>
                <w:color w:val="auto"/>
              </w:rPr>
            </w:pPr>
            <w:r>
              <w:rPr>
                <w:rFonts w:ascii="Arial" w:cs="Arial" w:eastAsia="Arial" w:hAnsi="Arial"/>
                <w:sz w:val="15"/>
                <w:szCs w:val="15"/>
                <w:b w:val="1"/>
                <w:bCs w:val="1"/>
                <w:color w:val="auto"/>
              </w:rPr>
              <w:t>(in thousands)</w:t>
            </w: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6"/>
        </w:trPr>
        <w:tc>
          <w:tcPr>
            <w:tcW w:w="4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Balance at January 1, 2024</w:t>
            </w:r>
          </w:p>
        </w:tc>
        <w:tc>
          <w:tcPr>
            <w:tcW w:w="2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55,000</w:t>
            </w:r>
          </w:p>
        </w:tc>
      </w:tr>
      <w:tr>
        <w:trPr>
          <w:trHeight w:val="205"/>
        </w:trPr>
        <w:tc>
          <w:tcPr>
            <w:tcW w:w="4800" w:type="dxa"/>
            <w:vAlign w:val="bottom"/>
          </w:tcPr>
          <w:p>
            <w:pPr>
              <w:ind w:left="20"/>
              <w:spacing w:after="0"/>
              <w:rPr>
                <w:sz w:val="20"/>
                <w:szCs w:val="20"/>
                <w:color w:val="auto"/>
              </w:rPr>
            </w:pPr>
            <w:r>
              <w:rPr>
                <w:rFonts w:ascii="Arial" w:cs="Arial" w:eastAsia="Arial" w:hAnsi="Arial"/>
                <w:sz w:val="15"/>
                <w:szCs w:val="15"/>
                <w:color w:val="auto"/>
              </w:rPr>
              <w:t>Quarter 1, 2024</w:t>
            </w:r>
          </w:p>
        </w:tc>
        <w:tc>
          <w:tcPr>
            <w:tcW w:w="2480" w:type="dxa"/>
            <w:vAlign w:val="bottom"/>
          </w:tcPr>
          <w:p>
            <w:pPr>
              <w:jc w:val="right"/>
              <w:ind w:right="183"/>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50,000</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(55,000)</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50,000</w:t>
            </w:r>
          </w:p>
        </w:tc>
      </w:tr>
      <w:tr>
        <w:trPr>
          <w:trHeight w:val="207"/>
        </w:trPr>
        <w:tc>
          <w:tcPr>
            <w:tcW w:w="4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Quarter 2, 2024</w:t>
            </w:r>
          </w:p>
        </w:tc>
        <w:tc>
          <w:tcPr>
            <w:tcW w:w="2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143,000</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(193,000)</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5"/>
        </w:trPr>
        <w:tc>
          <w:tcPr>
            <w:tcW w:w="4800" w:type="dxa"/>
            <w:vAlign w:val="bottom"/>
          </w:tcPr>
          <w:p>
            <w:pPr>
              <w:ind w:left="20"/>
              <w:spacing w:after="0"/>
              <w:rPr>
                <w:sz w:val="20"/>
                <w:szCs w:val="20"/>
                <w:color w:val="auto"/>
              </w:rPr>
            </w:pPr>
            <w:r>
              <w:rPr>
                <w:rFonts w:ascii="Arial" w:cs="Arial" w:eastAsia="Arial" w:hAnsi="Arial"/>
                <w:sz w:val="15"/>
                <w:szCs w:val="15"/>
                <w:color w:val="auto"/>
              </w:rPr>
              <w:t>Quarter 3, 2024</w:t>
            </w:r>
          </w:p>
        </w:tc>
        <w:tc>
          <w:tcPr>
            <w:tcW w:w="248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50,000</w:t>
            </w: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(50,000)</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6"/>
        </w:trPr>
        <w:tc>
          <w:tcPr>
            <w:tcW w:w="4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Quarter 4, 2024</w:t>
            </w:r>
          </w:p>
        </w:tc>
        <w:tc>
          <w:tcPr>
            <w:tcW w:w="24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75,000</w:t>
            </w:r>
          </w:p>
        </w:tc>
        <w:tc>
          <w:tcPr>
            <w:tcW w:w="1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(75,000)</w:t>
            </w: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9"/>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Total drawdown / (repayments) in 2024</w:t>
            </w:r>
          </w:p>
        </w:tc>
        <w:tc>
          <w:tcPr>
            <w:tcW w:w="24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318,000</w:t>
            </w: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(373,000)</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r>
      <w:tr>
        <w:trPr>
          <w:trHeight w:val="200"/>
        </w:trPr>
        <w:tc>
          <w:tcPr>
            <w:tcW w:w="4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Quarter 1, 2025</w:t>
            </w:r>
          </w:p>
        </w:tc>
        <w:tc>
          <w:tcPr>
            <w:tcW w:w="24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50,000</w:t>
            </w: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(50,000)</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5"/>
        </w:trPr>
        <w:tc>
          <w:tcPr>
            <w:tcW w:w="4800" w:type="dxa"/>
            <w:vAlign w:val="bottom"/>
          </w:tcPr>
          <w:p>
            <w:pPr>
              <w:ind w:left="20"/>
              <w:spacing w:after="0"/>
              <w:rPr>
                <w:sz w:val="20"/>
                <w:szCs w:val="20"/>
                <w:color w:val="auto"/>
              </w:rPr>
            </w:pPr>
            <w:r>
              <w:rPr>
                <w:rFonts w:ascii="Arial" w:cs="Arial" w:eastAsia="Arial" w:hAnsi="Arial"/>
                <w:sz w:val="15"/>
                <w:szCs w:val="15"/>
                <w:color w:val="auto"/>
              </w:rPr>
              <w:t>Quarter 2, 2025</w:t>
            </w:r>
          </w:p>
        </w:tc>
        <w:tc>
          <w:tcPr>
            <w:tcW w:w="248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6"/>
        </w:trPr>
        <w:tc>
          <w:tcPr>
            <w:tcW w:w="4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Quarter 3, 2025</w:t>
            </w:r>
          </w:p>
        </w:tc>
        <w:tc>
          <w:tcPr>
            <w:tcW w:w="24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9"/>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Total drawdown / (repayments) in 2025</w:t>
            </w:r>
          </w:p>
        </w:tc>
        <w:tc>
          <w:tcPr>
            <w:tcW w:w="248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50,000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(50,000)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20"/>
        </w:trPr>
        <w:tc>
          <w:tcPr>
            <w:tcW w:w="480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2026 Notes</w:t>
      </w:r>
    </w:p>
    <w:p>
      <w:pPr>
        <w:spacing w:after="0" w:line="253"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In addition to the Senior Secured Credit Facilities, on July 1, 2021, a subsidiary of the Company issued $500.0 million in aggregate principal amount of 2.875% senior secured notes (the "2026 Notes") in a private offering (the “Offering”). The 2026 Notes will mature on July 15, 2026.</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Fair Value of Debt</w:t>
      </w:r>
    </w:p>
    <w:p>
      <w:pPr>
        <w:spacing w:after="0" w:line="240"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The estimated fair value of the Company’s debt was $3,494.4 million at September 30, 2025 (December 31, 2024: $3,469.2 million). The fair values of the senior secured term loan facility, the 2026 Notes and the New Notes were determined based on rates at which the debt is traded among financial institutions.</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11. Income taxes</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5"/>
          <w:szCs w:val="15"/>
          <w:color w:val="auto"/>
        </w:rPr>
        <w:t>Income taxes recognized during the three and nine months ended September 30, 2025 and September 30, 2024, comprise:</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1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2760" w:type="dxa"/>
            <w:vAlign w:val="bottom"/>
            <w:tcBorders>
              <w:bottom w:val="single" w:sz="8" w:color="auto"/>
            </w:tcBorders>
            <w:gridSpan w:val="3"/>
            <w:shd w:val="clear" w:color="auto" w:fill="CCEEFF"/>
          </w:tcPr>
          <w:p>
            <w:pPr>
              <w:jc w:val="right"/>
              <w:ind w:right="683"/>
              <w:spacing w:after="0"/>
              <w:rPr>
                <w:sz w:val="20"/>
                <w:szCs w:val="20"/>
                <w:color w:val="auto"/>
              </w:rPr>
            </w:pPr>
            <w:r>
              <w:rPr>
                <w:rFonts w:ascii="Arial" w:cs="Arial" w:eastAsia="Arial" w:hAnsi="Arial"/>
                <w:sz w:val="15"/>
                <w:szCs w:val="15"/>
                <w:b w:val="1"/>
                <w:bCs w:val="1"/>
                <w:color w:val="auto"/>
              </w:rPr>
              <w:t>Three Months Ended</w:t>
            </w:r>
          </w:p>
        </w:tc>
        <w:tc>
          <w:tcPr>
            <w:tcW w:w="320" w:type="dxa"/>
            <w:vAlign w:val="bottom"/>
            <w:tcBorders>
              <w:bottom w:val="single" w:sz="8" w:color="auto"/>
            </w:tcBorders>
            <w:shd w:val="clear" w:color="auto" w:fill="CCEEFF"/>
          </w:tcPr>
          <w:p>
            <w:pPr>
              <w:spacing w:after="0"/>
              <w:rPr>
                <w:sz w:val="17"/>
                <w:szCs w:val="17"/>
                <w:color w:val="auto"/>
              </w:rPr>
            </w:pPr>
          </w:p>
        </w:tc>
        <w:tc>
          <w:tcPr>
            <w:tcW w:w="2720" w:type="dxa"/>
            <w:vAlign w:val="bottom"/>
            <w:tcBorders>
              <w:bottom w:val="single" w:sz="8" w:color="auto"/>
            </w:tcBorders>
            <w:gridSpan w:val="3"/>
            <w:shd w:val="clear" w:color="auto" w:fill="CCEEFF"/>
          </w:tcPr>
          <w:p>
            <w:pPr>
              <w:jc w:val="right"/>
              <w:ind w:right="683"/>
              <w:spacing w:after="0"/>
              <w:rPr>
                <w:sz w:val="20"/>
                <w:szCs w:val="20"/>
                <w:color w:val="auto"/>
              </w:rPr>
            </w:pPr>
            <w:r>
              <w:rPr>
                <w:rFonts w:ascii="Arial" w:cs="Arial" w:eastAsia="Arial" w:hAnsi="Arial"/>
                <w:sz w:val="15"/>
                <w:szCs w:val="15"/>
                <w:b w:val="1"/>
                <w:bCs w:val="1"/>
                <w:color w:val="auto"/>
              </w:rPr>
              <w:t>Nine Months Ended</w:t>
            </w:r>
          </w:p>
        </w:tc>
      </w:tr>
      <w:tr>
        <w:trPr>
          <w:trHeight w:val="148"/>
        </w:trPr>
        <w:tc>
          <w:tcPr>
            <w:tcW w:w="5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September 30,</w:t>
            </w:r>
          </w:p>
        </w:tc>
        <w:tc>
          <w:tcPr>
            <w:tcW w:w="280" w:type="dxa"/>
            <w:vAlign w:val="bottom"/>
          </w:tcPr>
          <w:p>
            <w:pPr>
              <w:spacing w:after="0"/>
              <w:rPr>
                <w:sz w:val="12"/>
                <w:szCs w:val="12"/>
                <w:color w:val="auto"/>
              </w:rPr>
            </w:pPr>
          </w:p>
        </w:tc>
        <w:tc>
          <w:tcPr>
            <w:tcW w:w="126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September 30,</w:t>
            </w:r>
          </w:p>
        </w:tc>
        <w:tc>
          <w:tcPr>
            <w:tcW w:w="320" w:type="dxa"/>
            <w:vAlign w:val="bottom"/>
          </w:tcPr>
          <w:p>
            <w:pPr>
              <w:spacing w:after="0"/>
              <w:rPr>
                <w:sz w:val="12"/>
                <w:szCs w:val="12"/>
                <w:color w:val="auto"/>
              </w:rPr>
            </w:pPr>
          </w:p>
        </w:tc>
        <w:tc>
          <w:tcPr>
            <w:tcW w:w="122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September 30,</w:t>
            </w:r>
          </w:p>
        </w:tc>
        <w:tc>
          <w:tcPr>
            <w:tcW w:w="280" w:type="dxa"/>
            <w:vAlign w:val="bottom"/>
          </w:tcPr>
          <w:p>
            <w:pPr>
              <w:spacing w:after="0"/>
              <w:rPr>
                <w:sz w:val="12"/>
                <w:szCs w:val="12"/>
                <w:color w:val="auto"/>
              </w:rPr>
            </w:pPr>
          </w:p>
        </w:tc>
        <w:tc>
          <w:tcPr>
            <w:tcW w:w="122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September 30,</w:t>
            </w:r>
          </w:p>
        </w:tc>
      </w:tr>
      <w:tr>
        <w:trPr>
          <w:trHeight w:val="206"/>
        </w:trPr>
        <w:tc>
          <w:tcPr>
            <w:tcW w:w="51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r>
      <w:tr>
        <w:trPr>
          <w:trHeight w:val="199"/>
        </w:trPr>
        <w:tc>
          <w:tcPr>
            <w:tcW w:w="5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0" w:type="dxa"/>
            <w:vAlign w:val="bottom"/>
            <w:gridSpan w:val="3"/>
            <w:shd w:val="clear" w:color="auto" w:fill="CCEEFF"/>
          </w:tcPr>
          <w:p>
            <w:pPr>
              <w:jc w:val="right"/>
              <w:ind w:right="923"/>
              <w:spacing w:after="0"/>
              <w:rPr>
                <w:sz w:val="20"/>
                <w:szCs w:val="20"/>
                <w:color w:val="auto"/>
              </w:rPr>
            </w:pPr>
            <w:r>
              <w:rPr>
                <w:rFonts w:ascii="Arial" w:cs="Arial" w:eastAsia="Arial" w:hAnsi="Arial"/>
                <w:sz w:val="15"/>
                <w:szCs w:val="15"/>
                <w:b w:val="1"/>
                <w:bCs w:val="1"/>
                <w:color w:val="auto"/>
              </w:rPr>
              <w:t>(in thousands)</w:t>
            </w: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05"/>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Income tax expense</w:t>
            </w:r>
          </w:p>
        </w:tc>
        <w:tc>
          <w:tcPr>
            <w:tcW w:w="2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35,747</w:t>
            </w:r>
          </w:p>
        </w:tc>
        <w:tc>
          <w:tcPr>
            <w:tcW w:w="2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37,437</w:t>
            </w:r>
          </w:p>
        </w:tc>
        <w:tc>
          <w:tcPr>
            <w:tcW w:w="3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33,489</w:t>
            </w:r>
          </w:p>
        </w:tc>
        <w:tc>
          <w:tcPr>
            <w:tcW w:w="2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89,105</w:t>
            </w:r>
          </w:p>
        </w:tc>
      </w:tr>
      <w:tr>
        <w:trPr>
          <w:trHeight w:val="224"/>
        </w:trPr>
        <w:tc>
          <w:tcPr>
            <w:tcW w:w="5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35,747</w:t>
            </w:r>
          </w:p>
        </w:tc>
        <w:tc>
          <w:tcPr>
            <w:tcW w:w="2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37,437</w:t>
            </w:r>
          </w:p>
        </w:tc>
        <w:tc>
          <w:tcPr>
            <w:tcW w:w="3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33,489</w:t>
            </w:r>
          </w:p>
        </w:tc>
        <w:tc>
          <w:tcPr>
            <w:tcW w:w="2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89,105</w:t>
            </w:r>
          </w:p>
        </w:tc>
      </w:tr>
      <w:tr>
        <w:trPr>
          <w:trHeight w:val="20"/>
        </w:trPr>
        <w:tc>
          <w:tcPr>
            <w:tcW w:w="51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5"/>
          <w:szCs w:val="15"/>
          <w:color w:val="auto"/>
        </w:rPr>
        <w:t>Income tax expense decreased to $33.5 million compared to a $89.1 million expense for the nine months ended September 30, 2024 primarily due to the net release of provisions for uncertain tax positions in the period ($23.4 million) compared to net increase of provisions for uncertain tax provisions in nine months ended September 30, 2024 ($14.4 million), the release of a deferred tax liability related to investments in foreign subsidiaries associated with unremitted earnings ($29.8 million), partially offset by a reduced level of deferred tax benefit associated with the amortization of intangible assets ($27.0 million), and changes in various tax laws.</w:t>
      </w:r>
    </w:p>
    <w:p>
      <w:pPr>
        <w:spacing w:after="0" w:line="379"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5"/>
          <w:szCs w:val="15"/>
          <w:color w:val="auto"/>
        </w:rPr>
        <w:t>In the normal course of business, the Company provides for uncertain tax positions and the related interest and adjusts its unrecognized tax benefits and accrued interest accordingly. As at September 30, 2025, the Company maintains a $105.8 million liability (December 31, 2024: $125.8 million) for unrecognized tax benefits, which is comprised of $83.8 million (December 31, 2024: $101.6 million) inclusive of $22.0 million (December 31, 2024: $24.2 million) for interest and penalties related to such items. The Company recognizes interest accrued on unrecognized tax benefits as an additional income tax expense.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73660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22" w:name="page23"/>
    <w:bookmarkEnd w:id="22"/>
    <w:p>
      <w:pPr>
        <w:ind w:left="620"/>
        <w:spacing w:after="0"/>
        <w:rPr>
          <w:sz w:val="20"/>
          <w:szCs w:val="20"/>
          <w:color w:val="auto"/>
        </w:rPr>
      </w:pPr>
      <w:r>
        <w:rPr>
          <w:rFonts w:ascii="Arial" w:cs="Arial" w:eastAsia="Arial" w:hAnsi="Arial"/>
          <w:sz w:val="15"/>
          <w:szCs w:val="15"/>
          <w:color w:val="auto"/>
        </w:rPr>
        <w:t>A reconciliation of the beginning and ending amount of total unrecognized tax benefits is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240" w:type="dxa"/>
            <w:vAlign w:val="bottom"/>
            <w:shd w:val="clear" w:color="auto" w:fill="CCEEFF"/>
          </w:tcPr>
          <w:p>
            <w:pPr>
              <w:spacing w:after="0"/>
              <w:rPr>
                <w:sz w:val="14"/>
                <w:szCs w:val="14"/>
                <w:color w:val="auto"/>
              </w:rPr>
            </w:pPr>
          </w:p>
        </w:tc>
        <w:tc>
          <w:tcPr>
            <w:tcW w:w="156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Nine Months Ended</w:t>
            </w:r>
          </w:p>
        </w:tc>
        <w:tc>
          <w:tcPr>
            <w:tcW w:w="6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Year</w:t>
            </w:r>
          </w:p>
        </w:tc>
        <w:tc>
          <w:tcPr>
            <w:tcW w:w="0" w:type="dxa"/>
            <w:vAlign w:val="bottom"/>
          </w:tcPr>
          <w:p>
            <w:pPr>
              <w:spacing w:after="0"/>
              <w:rPr>
                <w:sz w:val="1"/>
                <w:szCs w:val="1"/>
                <w:color w:val="auto"/>
              </w:rPr>
            </w:pPr>
          </w:p>
        </w:tc>
      </w:tr>
      <w:tr>
        <w:trPr>
          <w:trHeight w:val="206"/>
        </w:trPr>
        <w:tc>
          <w:tcPr>
            <w:tcW w:w="8240" w:type="dxa"/>
            <w:vAlign w:val="bottom"/>
            <w:shd w:val="clear" w:color="auto" w:fill="CCEEFF"/>
          </w:tcPr>
          <w:p>
            <w:pPr>
              <w:spacing w:after="0"/>
              <w:rPr>
                <w:sz w:val="17"/>
                <w:szCs w:val="17"/>
                <w:color w:val="auto"/>
              </w:rPr>
            </w:pPr>
          </w:p>
        </w:tc>
        <w:tc>
          <w:tcPr>
            <w:tcW w:w="1560" w:type="dxa"/>
            <w:vAlign w:val="bottom"/>
            <w:tcBorders>
              <w:bottom w:val="single" w:sz="8" w:color="auto"/>
            </w:tcBorders>
            <w:gridSpan w:val="2"/>
            <w:vMerge w:val="continue"/>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Ended</w:t>
            </w:r>
          </w:p>
        </w:tc>
        <w:tc>
          <w:tcPr>
            <w:tcW w:w="0" w:type="dxa"/>
            <w:vAlign w:val="bottom"/>
          </w:tcPr>
          <w:p>
            <w:pPr>
              <w:spacing w:after="0"/>
              <w:rPr>
                <w:sz w:val="1"/>
                <w:szCs w:val="1"/>
                <w:color w:val="auto"/>
              </w:rPr>
            </w:pPr>
          </w:p>
        </w:tc>
      </w:tr>
      <w:tr>
        <w:trPr>
          <w:trHeight w:val="148"/>
        </w:trPr>
        <w:tc>
          <w:tcPr>
            <w:tcW w:w="8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September 30,</w:t>
            </w: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82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2025 December 31, 2024</w:t>
            </w:r>
          </w:p>
        </w:tc>
        <w:tc>
          <w:tcPr>
            <w:tcW w:w="0" w:type="dxa"/>
            <w:vAlign w:val="bottom"/>
          </w:tcPr>
          <w:p>
            <w:pPr>
              <w:spacing w:after="0"/>
              <w:rPr>
                <w:sz w:val="1"/>
                <w:szCs w:val="1"/>
                <w:color w:val="auto"/>
              </w:rPr>
            </w:pPr>
          </w:p>
        </w:tc>
      </w:tr>
      <w:tr>
        <w:trPr>
          <w:trHeight w:val="199"/>
        </w:trPr>
        <w:tc>
          <w:tcPr>
            <w:tcW w:w="8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jc w:val="right"/>
              <w:ind w:right="83"/>
              <w:spacing w:after="0"/>
              <w:rPr>
                <w:sz w:val="20"/>
                <w:szCs w:val="20"/>
                <w:color w:val="auto"/>
              </w:rPr>
            </w:pPr>
            <w:r>
              <w:rPr>
                <w:rFonts w:ascii="Arial" w:cs="Arial" w:eastAsia="Arial" w:hAnsi="Arial"/>
                <w:sz w:val="15"/>
                <w:szCs w:val="15"/>
                <w:b w:val="1"/>
                <w:bCs w:val="1"/>
                <w:color w:val="auto"/>
              </w:rPr>
              <w:t>(in thousands)</w:t>
            </w: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240" w:type="dxa"/>
            <w:vAlign w:val="bottom"/>
          </w:tcPr>
          <w:p>
            <w:pPr>
              <w:ind w:left="20"/>
              <w:spacing w:after="0"/>
              <w:rPr>
                <w:sz w:val="20"/>
                <w:szCs w:val="20"/>
                <w:color w:val="auto"/>
              </w:rPr>
            </w:pPr>
            <w:r>
              <w:rPr>
                <w:rFonts w:ascii="Arial" w:cs="Arial" w:eastAsia="Arial" w:hAnsi="Arial"/>
                <w:sz w:val="15"/>
                <w:szCs w:val="15"/>
                <w:color w:val="auto"/>
              </w:rPr>
              <w:t>Unrecognized tax benefits at start of period</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101,619</w:t>
            </w:r>
          </w:p>
        </w:tc>
        <w:tc>
          <w:tcPr>
            <w:tcW w:w="640" w:type="dxa"/>
            <w:vAlign w:val="bottom"/>
          </w:tcPr>
          <w:p>
            <w:pPr>
              <w:jc w:val="right"/>
              <w:ind w:right="463"/>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160,016</w:t>
            </w:r>
          </w:p>
        </w:tc>
        <w:tc>
          <w:tcPr>
            <w:tcW w:w="0" w:type="dxa"/>
            <w:vAlign w:val="bottom"/>
          </w:tcPr>
          <w:p>
            <w:pPr>
              <w:spacing w:after="0"/>
              <w:rPr>
                <w:sz w:val="1"/>
                <w:szCs w:val="1"/>
                <w:color w:val="auto"/>
              </w:rPr>
            </w:pPr>
          </w:p>
        </w:tc>
      </w:tr>
      <w:tr>
        <w:trPr>
          <w:trHeight w:val="207"/>
        </w:trPr>
        <w:tc>
          <w:tcPr>
            <w:tcW w:w="82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Increase related to prior year tax positions</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28,442</w:t>
            </w: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7,374</w:t>
            </w:r>
          </w:p>
        </w:tc>
        <w:tc>
          <w:tcPr>
            <w:tcW w:w="0" w:type="dxa"/>
            <w:vAlign w:val="bottom"/>
          </w:tcPr>
          <w:p>
            <w:pPr>
              <w:spacing w:after="0"/>
              <w:rPr>
                <w:sz w:val="1"/>
                <w:szCs w:val="1"/>
                <w:color w:val="auto"/>
              </w:rPr>
            </w:pPr>
          </w:p>
        </w:tc>
      </w:tr>
      <w:tr>
        <w:trPr>
          <w:trHeight w:val="205"/>
        </w:trPr>
        <w:tc>
          <w:tcPr>
            <w:tcW w:w="8240" w:type="dxa"/>
            <w:vAlign w:val="bottom"/>
          </w:tcPr>
          <w:p>
            <w:pPr>
              <w:ind w:left="20"/>
              <w:spacing w:after="0"/>
              <w:rPr>
                <w:sz w:val="20"/>
                <w:szCs w:val="20"/>
                <w:color w:val="auto"/>
              </w:rPr>
            </w:pPr>
            <w:r>
              <w:rPr>
                <w:rFonts w:ascii="Arial" w:cs="Arial" w:eastAsia="Arial" w:hAnsi="Arial"/>
                <w:sz w:val="15"/>
                <w:szCs w:val="15"/>
                <w:color w:val="auto"/>
              </w:rPr>
              <w:t>Decrease related to prior year tax positions</w:t>
            </w: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(58,274)</w:t>
            </w:r>
          </w:p>
        </w:tc>
        <w:tc>
          <w:tcPr>
            <w:tcW w:w="6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(2,525)</w:t>
            </w:r>
          </w:p>
        </w:tc>
        <w:tc>
          <w:tcPr>
            <w:tcW w:w="0" w:type="dxa"/>
            <w:vAlign w:val="bottom"/>
          </w:tcPr>
          <w:p>
            <w:pPr>
              <w:spacing w:after="0"/>
              <w:rPr>
                <w:sz w:val="1"/>
                <w:szCs w:val="1"/>
                <w:color w:val="auto"/>
              </w:rPr>
            </w:pPr>
          </w:p>
        </w:tc>
      </w:tr>
      <w:tr>
        <w:trPr>
          <w:trHeight w:val="207"/>
        </w:trPr>
        <w:tc>
          <w:tcPr>
            <w:tcW w:w="82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Increase related to current period tax positions</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12,098</w:t>
            </w: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2,171</w:t>
            </w:r>
          </w:p>
        </w:tc>
        <w:tc>
          <w:tcPr>
            <w:tcW w:w="0" w:type="dxa"/>
            <w:vAlign w:val="bottom"/>
          </w:tcPr>
          <w:p>
            <w:pPr>
              <w:spacing w:after="0"/>
              <w:rPr>
                <w:sz w:val="1"/>
                <w:szCs w:val="1"/>
                <w:color w:val="auto"/>
              </w:rPr>
            </w:pPr>
          </w:p>
        </w:tc>
      </w:tr>
      <w:tr>
        <w:trPr>
          <w:trHeight w:val="205"/>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Lapse of statute of limitations</w:t>
            </w: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w:t>
            </w:r>
          </w:p>
        </w:tc>
        <w:tc>
          <w:tcPr>
            <w:tcW w:w="6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(65,417)</w:t>
            </w:r>
          </w:p>
        </w:tc>
        <w:tc>
          <w:tcPr>
            <w:tcW w:w="0" w:type="dxa"/>
            <w:vAlign w:val="bottom"/>
          </w:tcPr>
          <w:p>
            <w:pPr>
              <w:spacing w:after="0"/>
              <w:rPr>
                <w:sz w:val="1"/>
                <w:szCs w:val="1"/>
                <w:color w:val="auto"/>
              </w:rPr>
            </w:pPr>
          </w:p>
        </w:tc>
      </w:tr>
      <w:tr>
        <w:trPr>
          <w:trHeight w:val="224"/>
        </w:trPr>
        <w:tc>
          <w:tcPr>
            <w:tcW w:w="8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Unrecognized tax benefits at end of period</w:t>
            </w:r>
          </w:p>
        </w:tc>
        <w:tc>
          <w:tcPr>
            <w:tcW w:w="3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83,848</w:t>
            </w:r>
          </w:p>
        </w:tc>
        <w:tc>
          <w:tcPr>
            <w:tcW w:w="640" w:type="dxa"/>
            <w:vAlign w:val="bottom"/>
            <w:tcBorders>
              <w:bottom w:val="single" w:sz="8" w:color="auto"/>
            </w:tcBorders>
            <w:shd w:val="clear" w:color="auto" w:fill="CCEEFF"/>
          </w:tcPr>
          <w:p>
            <w:pPr>
              <w:jc w:val="right"/>
              <w:ind w:right="463"/>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101,619</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color w:val="auto"/>
        </w:rPr>
        <w:t>Interest and penalties recognized during the period to September 30, 2025 amounted to a net benefit of $3.3 million, (year ended December 31, 2024: a net benefit of $1.9 million) and are included within the income tax expense. Total accrued interest and penalties as of September 30, 2025 and December 31, 2024 were $22.0 million and $24.2 million, respectively, and are included in closing income taxes payable at those dates.</w:t>
      </w:r>
    </w:p>
    <w:p>
      <w:pPr>
        <w:spacing w:after="0" w:line="191" w:lineRule="exact"/>
        <w:rPr>
          <w:sz w:val="20"/>
          <w:szCs w:val="20"/>
          <w:color w:val="auto"/>
        </w:rPr>
      </w:pPr>
    </w:p>
    <w:p>
      <w:pPr>
        <w:jc w:val="both"/>
        <w:ind w:firstLine="619"/>
        <w:spacing w:after="0" w:line="253" w:lineRule="auto"/>
        <w:rPr>
          <w:sz w:val="20"/>
          <w:szCs w:val="20"/>
          <w:color w:val="auto"/>
        </w:rPr>
      </w:pPr>
      <w:r>
        <w:rPr>
          <w:rFonts w:ascii="Arial" w:cs="Arial" w:eastAsia="Arial" w:hAnsi="Arial"/>
          <w:sz w:val="15"/>
          <w:szCs w:val="15"/>
          <w:color w:val="auto"/>
        </w:rPr>
        <w:t>The Company has analyzed the filing positions in all of the significant jurisdictions where it is required to file income tax returns, as well as open tax years in these jurisdictions. The periods subject to audit by the major tax jurisdictions (Ireland, the United States and the United Kingdom) where the Company does business range from 2015 through 2024 tax years. During such audits, local tax authorities may challenge the positions taken by us in our tax returns. During the nine months ended September 30, 2025 a tax audit in the U.S. related to 2021 was closed resulting in the release of the related provision.</w:t>
      </w: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12. Net income per ordinary share</w:t>
      </w:r>
    </w:p>
    <w:p>
      <w:pPr>
        <w:spacing w:after="0" w:line="242"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Basic net income per ordinary share has been computed by dividing net income available to ordinary shareholders by the weighted average number of ordinary shares outstanding during the period.</w:t>
      </w:r>
    </w:p>
    <w:p>
      <w:pPr>
        <w:spacing w:after="0" w:line="106"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w:t>
      </w:r>
    </w:p>
    <w:p>
      <w:pPr>
        <w:spacing w:after="0" w:line="140"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There is no difference in net income used for basic and diluted net income per ordinary share.</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reconciliation of the number of shares used in the computation of basic and diluted net income per ordinary share is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180" w:type="dxa"/>
            <w:vAlign w:val="bottom"/>
            <w:shd w:val="clear" w:color="auto" w:fill="CCEEFF"/>
          </w:tcPr>
          <w:p>
            <w:pPr>
              <w:spacing w:after="0"/>
              <w:rPr>
                <w:sz w:val="17"/>
                <w:szCs w:val="17"/>
                <w:color w:val="auto"/>
              </w:rPr>
            </w:pPr>
          </w:p>
        </w:tc>
        <w:tc>
          <w:tcPr>
            <w:tcW w:w="3240" w:type="dxa"/>
            <w:vAlign w:val="bottom"/>
            <w:tcBorders>
              <w:bottom w:val="single" w:sz="8" w:color="auto"/>
            </w:tcBorders>
            <w:gridSpan w:val="2"/>
            <w:shd w:val="clear" w:color="auto" w:fill="CCEEFF"/>
          </w:tcPr>
          <w:p>
            <w:pPr>
              <w:jc w:val="right"/>
              <w:ind w:right="903"/>
              <w:spacing w:after="0"/>
              <w:rPr>
                <w:sz w:val="20"/>
                <w:szCs w:val="20"/>
                <w:color w:val="auto"/>
              </w:rPr>
            </w:pPr>
            <w:r>
              <w:rPr>
                <w:rFonts w:ascii="Arial" w:cs="Arial" w:eastAsia="Arial" w:hAnsi="Arial"/>
                <w:sz w:val="15"/>
                <w:szCs w:val="15"/>
                <w:b w:val="1"/>
                <w:bCs w:val="1"/>
                <w:color w:val="auto"/>
              </w:rPr>
              <w:t>Three Months Ended</w:t>
            </w:r>
          </w:p>
        </w:tc>
        <w:tc>
          <w:tcPr>
            <w:tcW w:w="2820" w:type="dxa"/>
            <w:vAlign w:val="bottom"/>
            <w:tcBorders>
              <w:bottom w:val="single" w:sz="8" w:color="auto"/>
            </w:tcBorders>
            <w:gridSpan w:val="2"/>
            <w:shd w:val="clear" w:color="auto" w:fill="CCEEFF"/>
          </w:tcPr>
          <w:p>
            <w:pPr>
              <w:jc w:val="right"/>
              <w:ind w:right="683"/>
              <w:spacing w:after="0"/>
              <w:rPr>
                <w:sz w:val="20"/>
                <w:szCs w:val="20"/>
                <w:color w:val="auto"/>
              </w:rPr>
            </w:pPr>
            <w:r>
              <w:rPr>
                <w:rFonts w:ascii="Arial" w:cs="Arial" w:eastAsia="Arial" w:hAnsi="Arial"/>
                <w:sz w:val="15"/>
                <w:szCs w:val="15"/>
                <w:b w:val="1"/>
                <w:bCs w:val="1"/>
                <w:color w:val="auto"/>
              </w:rPr>
              <w:t>Nine Months Ended</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700" w:type="dxa"/>
            <w:vAlign w:val="bottom"/>
          </w:tcPr>
          <w:p>
            <w:pPr>
              <w:jc w:val="right"/>
              <w:ind w:right="143"/>
              <w:spacing w:after="0" w:line="148" w:lineRule="exact"/>
              <w:rPr>
                <w:sz w:val="20"/>
                <w:szCs w:val="20"/>
                <w:color w:val="auto"/>
              </w:rPr>
            </w:pPr>
            <w:r>
              <w:rPr>
                <w:rFonts w:ascii="Arial" w:cs="Arial" w:eastAsia="Arial" w:hAnsi="Arial"/>
                <w:sz w:val="15"/>
                <w:szCs w:val="15"/>
                <w:b w:val="1"/>
                <w:bCs w:val="1"/>
                <w:color w:val="auto"/>
              </w:rPr>
              <w:t>September 30,</w:t>
            </w:r>
          </w:p>
        </w:tc>
        <w:tc>
          <w:tcPr>
            <w:tcW w:w="1540" w:type="dxa"/>
            <w:vAlign w:val="bottom"/>
          </w:tcPr>
          <w:p>
            <w:pPr>
              <w:jc w:val="right"/>
              <w:ind w:right="183"/>
              <w:spacing w:after="0" w:line="148" w:lineRule="exact"/>
              <w:rPr>
                <w:sz w:val="20"/>
                <w:szCs w:val="20"/>
                <w:color w:val="auto"/>
              </w:rPr>
            </w:pPr>
            <w:r>
              <w:rPr>
                <w:rFonts w:ascii="Arial" w:cs="Arial" w:eastAsia="Arial" w:hAnsi="Arial"/>
                <w:sz w:val="15"/>
                <w:szCs w:val="15"/>
                <w:b w:val="1"/>
                <w:bCs w:val="1"/>
                <w:color w:val="auto"/>
              </w:rPr>
              <w:t>September 30,</w:t>
            </w:r>
          </w:p>
        </w:tc>
        <w:tc>
          <w:tcPr>
            <w:tcW w:w="1540" w:type="dxa"/>
            <w:vAlign w:val="bottom"/>
          </w:tcPr>
          <w:p>
            <w:pPr>
              <w:jc w:val="right"/>
              <w:ind w:right="143"/>
              <w:spacing w:after="0" w:line="148" w:lineRule="exact"/>
              <w:rPr>
                <w:sz w:val="20"/>
                <w:szCs w:val="20"/>
                <w:color w:val="auto"/>
              </w:rPr>
            </w:pPr>
            <w:r>
              <w:rPr>
                <w:rFonts w:ascii="Arial" w:cs="Arial" w:eastAsia="Arial" w:hAnsi="Arial"/>
                <w:sz w:val="15"/>
                <w:szCs w:val="15"/>
                <w:b w:val="1"/>
                <w:bCs w:val="1"/>
                <w:color w:val="auto"/>
              </w:rPr>
              <w:t>September 30,</w:t>
            </w:r>
          </w:p>
        </w:tc>
        <w:tc>
          <w:tcPr>
            <w:tcW w:w="128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September 30,</w:t>
            </w:r>
          </w:p>
        </w:tc>
        <w:tc>
          <w:tcPr>
            <w:tcW w:w="0" w:type="dxa"/>
            <w:vAlign w:val="bottom"/>
          </w:tcPr>
          <w:p>
            <w:pPr>
              <w:spacing w:after="0"/>
              <w:rPr>
                <w:sz w:val="1"/>
                <w:szCs w:val="1"/>
                <w:color w:val="auto"/>
              </w:rPr>
            </w:pPr>
          </w:p>
        </w:tc>
      </w:tr>
      <w:tr>
        <w:trPr>
          <w:trHeight w:val="206"/>
        </w:trPr>
        <w:tc>
          <w:tcPr>
            <w:tcW w:w="51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rPr>
              <w:t>2025</w:t>
            </w:r>
          </w:p>
        </w:tc>
        <w:tc>
          <w:tcPr>
            <w:tcW w:w="154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2024</w:t>
            </w:r>
          </w:p>
        </w:tc>
        <w:tc>
          <w:tcPr>
            <w:tcW w:w="154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rPr>
              <w:t>2025</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0" w:type="dxa"/>
            <w:vAlign w:val="bottom"/>
          </w:tcPr>
          <w:p>
            <w:pPr>
              <w:spacing w:after="0"/>
              <w:rPr>
                <w:sz w:val="1"/>
                <w:szCs w:val="1"/>
                <w:color w:val="auto"/>
              </w:rPr>
            </w:pPr>
          </w:p>
        </w:tc>
      </w:tr>
      <w:tr>
        <w:trPr>
          <w:trHeight w:val="148"/>
        </w:trPr>
        <w:tc>
          <w:tcPr>
            <w:tcW w:w="5180" w:type="dxa"/>
            <w:vAlign w:val="bottom"/>
            <w:shd w:val="clear" w:color="auto" w:fill="CCEEFF"/>
          </w:tcPr>
          <w:p>
            <w:pPr>
              <w:ind w:left="20"/>
              <w:spacing w:after="0" w:line="149" w:lineRule="exact"/>
              <w:rPr>
                <w:sz w:val="20"/>
                <w:szCs w:val="20"/>
                <w:color w:val="auto"/>
              </w:rPr>
            </w:pPr>
            <w:r>
              <w:rPr>
                <w:rFonts w:ascii="Arial" w:cs="Arial" w:eastAsia="Arial" w:hAnsi="Arial"/>
                <w:sz w:val="15"/>
                <w:szCs w:val="15"/>
                <w:color w:val="auto"/>
              </w:rPr>
              <w:t>Weighted average number of ordinary shares outstanding for basic net</w:t>
            </w:r>
          </w:p>
        </w:tc>
        <w:tc>
          <w:tcPr>
            <w:tcW w:w="1700" w:type="dxa"/>
            <w:vAlign w:val="bottom"/>
            <w:vMerge w:val="restart"/>
            <w:shd w:val="clear" w:color="auto" w:fill="CCEEFF"/>
          </w:tcPr>
          <w:p>
            <w:pPr>
              <w:jc w:val="right"/>
              <w:ind w:right="183"/>
              <w:spacing w:after="0"/>
              <w:rPr>
                <w:sz w:val="20"/>
                <w:szCs w:val="20"/>
                <w:color w:val="auto"/>
              </w:rPr>
            </w:pPr>
            <w:r>
              <w:rPr>
                <w:rFonts w:ascii="Arial" w:cs="Arial" w:eastAsia="Arial" w:hAnsi="Arial"/>
                <w:sz w:val="15"/>
                <w:szCs w:val="15"/>
                <w:color w:val="auto"/>
              </w:rPr>
              <w:t>77,373,534</w:t>
            </w:r>
          </w:p>
        </w:tc>
        <w:tc>
          <w:tcPr>
            <w:tcW w:w="1540" w:type="dxa"/>
            <w:vAlign w:val="bottom"/>
            <w:vMerge w:val="restart"/>
            <w:shd w:val="clear" w:color="auto" w:fill="CCEEFF"/>
          </w:tcPr>
          <w:p>
            <w:pPr>
              <w:jc w:val="right"/>
              <w:ind w:right="243"/>
              <w:spacing w:after="0"/>
              <w:rPr>
                <w:sz w:val="20"/>
                <w:szCs w:val="20"/>
                <w:color w:val="auto"/>
              </w:rPr>
            </w:pPr>
            <w:r>
              <w:rPr>
                <w:rFonts w:ascii="Arial" w:cs="Arial" w:eastAsia="Arial" w:hAnsi="Arial"/>
                <w:sz w:val="15"/>
                <w:szCs w:val="15"/>
                <w:color w:val="auto"/>
              </w:rPr>
              <w:t>82,831,300</w:t>
            </w:r>
          </w:p>
        </w:tc>
        <w:tc>
          <w:tcPr>
            <w:tcW w:w="1540" w:type="dxa"/>
            <w:vAlign w:val="bottom"/>
            <w:vMerge w:val="restart"/>
            <w:shd w:val="clear" w:color="auto" w:fill="CCEEFF"/>
          </w:tcPr>
          <w:p>
            <w:pPr>
              <w:jc w:val="right"/>
              <w:ind w:right="183"/>
              <w:spacing w:after="0"/>
              <w:rPr>
                <w:sz w:val="20"/>
                <w:szCs w:val="20"/>
                <w:color w:val="auto"/>
              </w:rPr>
            </w:pPr>
            <w:r>
              <w:rPr>
                <w:rFonts w:ascii="Arial" w:cs="Arial" w:eastAsia="Arial" w:hAnsi="Arial"/>
                <w:sz w:val="15"/>
                <w:szCs w:val="15"/>
                <w:color w:val="auto"/>
              </w:rPr>
              <w:t>79,057,239</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82,716,842</w:t>
            </w:r>
          </w:p>
        </w:tc>
        <w:tc>
          <w:tcPr>
            <w:tcW w:w="0" w:type="dxa"/>
            <w:vAlign w:val="bottom"/>
          </w:tcPr>
          <w:p>
            <w:pPr>
              <w:spacing w:after="0"/>
              <w:rPr>
                <w:sz w:val="1"/>
                <w:szCs w:val="1"/>
                <w:color w:val="auto"/>
              </w:rPr>
            </w:pPr>
          </w:p>
        </w:tc>
      </w:tr>
      <w:tr>
        <w:trPr>
          <w:trHeight w:val="206"/>
        </w:trPr>
        <w:tc>
          <w:tcPr>
            <w:tcW w:w="5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per ordinary share</w:t>
            </w:r>
          </w:p>
        </w:tc>
        <w:tc>
          <w:tcPr>
            <w:tcW w:w="1700" w:type="dxa"/>
            <w:vAlign w:val="bottom"/>
            <w:vMerge w:val="continue"/>
            <w:shd w:val="clear" w:color="auto" w:fill="CCEEFF"/>
          </w:tcPr>
          <w:p>
            <w:pPr>
              <w:spacing w:after="0"/>
              <w:rPr>
                <w:sz w:val="17"/>
                <w:szCs w:val="17"/>
                <w:color w:val="auto"/>
              </w:rPr>
            </w:pPr>
          </w:p>
        </w:tc>
        <w:tc>
          <w:tcPr>
            <w:tcW w:w="1540" w:type="dxa"/>
            <w:vAlign w:val="bottom"/>
            <w:vMerge w:val="continue"/>
            <w:shd w:val="clear" w:color="auto" w:fill="CCEEFF"/>
          </w:tcPr>
          <w:p>
            <w:pPr>
              <w:spacing w:after="0"/>
              <w:rPr>
                <w:sz w:val="17"/>
                <w:szCs w:val="17"/>
                <w:color w:val="auto"/>
              </w:rPr>
            </w:pPr>
          </w:p>
        </w:tc>
        <w:tc>
          <w:tcPr>
            <w:tcW w:w="1540" w:type="dxa"/>
            <w:vAlign w:val="bottom"/>
            <w:vMerge w:val="continue"/>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5180" w:type="dxa"/>
            <w:vAlign w:val="bottom"/>
          </w:tcPr>
          <w:p>
            <w:pPr>
              <w:ind w:left="20"/>
              <w:spacing w:after="0" w:line="156" w:lineRule="exact"/>
              <w:rPr>
                <w:sz w:val="20"/>
                <w:szCs w:val="20"/>
                <w:color w:val="auto"/>
              </w:rPr>
            </w:pPr>
            <w:r>
              <w:rPr>
                <w:rFonts w:ascii="Arial" w:cs="Arial" w:eastAsia="Arial" w:hAnsi="Arial"/>
                <w:sz w:val="15"/>
                <w:szCs w:val="15"/>
                <w:color w:val="auto"/>
              </w:rPr>
              <w:t>Effect of dilutive share options and other awards outstanding under share</w:t>
            </w:r>
          </w:p>
        </w:tc>
        <w:tc>
          <w:tcPr>
            <w:tcW w:w="1700" w:type="dxa"/>
            <w:vAlign w:val="bottom"/>
            <w:vMerge w:val="restart"/>
          </w:tcPr>
          <w:p>
            <w:pPr>
              <w:jc w:val="right"/>
              <w:ind w:right="183"/>
              <w:spacing w:after="0"/>
              <w:rPr>
                <w:sz w:val="20"/>
                <w:szCs w:val="20"/>
                <w:color w:val="auto"/>
              </w:rPr>
            </w:pPr>
            <w:r>
              <w:rPr>
                <w:rFonts w:ascii="Arial" w:cs="Arial" w:eastAsia="Arial" w:hAnsi="Arial"/>
                <w:sz w:val="15"/>
                <w:szCs w:val="15"/>
                <w:color w:val="auto"/>
              </w:rPr>
              <w:t>708,925</w:t>
            </w:r>
          </w:p>
        </w:tc>
        <w:tc>
          <w:tcPr>
            <w:tcW w:w="1540" w:type="dxa"/>
            <w:vAlign w:val="bottom"/>
            <w:vMerge w:val="restart"/>
          </w:tcPr>
          <w:p>
            <w:pPr>
              <w:jc w:val="right"/>
              <w:ind w:right="243"/>
              <w:spacing w:after="0"/>
              <w:rPr>
                <w:sz w:val="20"/>
                <w:szCs w:val="20"/>
                <w:color w:val="auto"/>
              </w:rPr>
            </w:pPr>
            <w:r>
              <w:rPr>
                <w:rFonts w:ascii="Arial" w:cs="Arial" w:eastAsia="Arial" w:hAnsi="Arial"/>
                <w:sz w:val="15"/>
                <w:szCs w:val="15"/>
                <w:color w:val="auto"/>
              </w:rPr>
              <w:t>614,527</w:t>
            </w:r>
          </w:p>
        </w:tc>
        <w:tc>
          <w:tcPr>
            <w:tcW w:w="1540" w:type="dxa"/>
            <w:vAlign w:val="bottom"/>
            <w:vMerge w:val="restart"/>
          </w:tcPr>
          <w:p>
            <w:pPr>
              <w:jc w:val="right"/>
              <w:ind w:right="183"/>
              <w:spacing w:after="0"/>
              <w:rPr>
                <w:sz w:val="20"/>
                <w:szCs w:val="20"/>
                <w:color w:val="auto"/>
              </w:rPr>
            </w:pPr>
            <w:r>
              <w:rPr>
                <w:rFonts w:ascii="Arial" w:cs="Arial" w:eastAsia="Arial" w:hAnsi="Arial"/>
                <w:sz w:val="15"/>
                <w:szCs w:val="15"/>
                <w:color w:val="auto"/>
              </w:rPr>
              <w:t>460,847</w:t>
            </w:r>
          </w:p>
        </w:tc>
        <w:tc>
          <w:tcPr>
            <w:tcW w:w="1280" w:type="dxa"/>
            <w:vAlign w:val="bottom"/>
            <w:vMerge w:val="restart"/>
          </w:tcPr>
          <w:p>
            <w:pPr>
              <w:jc w:val="right"/>
              <w:spacing w:after="0"/>
              <w:rPr>
                <w:sz w:val="20"/>
                <w:szCs w:val="20"/>
                <w:color w:val="auto"/>
              </w:rPr>
            </w:pPr>
            <w:r>
              <w:rPr>
                <w:rFonts w:ascii="Arial" w:cs="Arial" w:eastAsia="Arial" w:hAnsi="Arial"/>
                <w:sz w:val="15"/>
                <w:szCs w:val="15"/>
                <w:color w:val="auto"/>
              </w:rPr>
              <w:t>588,599</w:t>
            </w:r>
          </w:p>
        </w:tc>
        <w:tc>
          <w:tcPr>
            <w:tcW w:w="0" w:type="dxa"/>
            <w:vAlign w:val="bottom"/>
          </w:tcPr>
          <w:p>
            <w:pPr>
              <w:spacing w:after="0"/>
              <w:rPr>
                <w:sz w:val="1"/>
                <w:szCs w:val="1"/>
                <w:color w:val="auto"/>
              </w:rPr>
            </w:pPr>
          </w:p>
        </w:tc>
      </w:tr>
      <w:tr>
        <w:trPr>
          <w:trHeight w:val="205"/>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based compensation programs</w:t>
            </w:r>
          </w:p>
        </w:tc>
        <w:tc>
          <w:tcPr>
            <w:tcW w:w="1700" w:type="dxa"/>
            <w:vAlign w:val="bottom"/>
            <w:tcBorders>
              <w:bottom w:val="single" w:sz="8" w:color="auto"/>
            </w:tcBorders>
            <w:vMerge w:val="continue"/>
          </w:tcPr>
          <w:p>
            <w:pPr>
              <w:spacing w:after="0"/>
              <w:rPr>
                <w:sz w:val="17"/>
                <w:szCs w:val="17"/>
                <w:color w:val="auto"/>
              </w:rPr>
            </w:pPr>
          </w:p>
        </w:tc>
        <w:tc>
          <w:tcPr>
            <w:tcW w:w="1540" w:type="dxa"/>
            <w:vAlign w:val="bottom"/>
            <w:tcBorders>
              <w:bottom w:val="single" w:sz="8" w:color="auto"/>
            </w:tcBorders>
            <w:vMerge w:val="continue"/>
          </w:tcPr>
          <w:p>
            <w:pPr>
              <w:spacing w:after="0"/>
              <w:rPr>
                <w:sz w:val="17"/>
                <w:szCs w:val="17"/>
                <w:color w:val="auto"/>
              </w:rPr>
            </w:pPr>
          </w:p>
        </w:tc>
        <w:tc>
          <w:tcPr>
            <w:tcW w:w="1540" w:type="dxa"/>
            <w:vAlign w:val="bottom"/>
            <w:tcBorders>
              <w:bottom w:val="single" w:sz="8" w:color="auto"/>
            </w:tcBorders>
            <w:vMerge w:val="continue"/>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5180" w:type="dxa"/>
            <w:vAlign w:val="bottom"/>
            <w:shd w:val="clear" w:color="auto" w:fill="CCEEFF"/>
          </w:tcPr>
          <w:p>
            <w:pPr>
              <w:ind w:left="20"/>
              <w:spacing w:after="0" w:line="149" w:lineRule="exact"/>
              <w:rPr>
                <w:sz w:val="20"/>
                <w:szCs w:val="20"/>
                <w:color w:val="auto"/>
              </w:rPr>
            </w:pPr>
            <w:r>
              <w:rPr>
                <w:rFonts w:ascii="Arial" w:cs="Arial" w:eastAsia="Arial" w:hAnsi="Arial"/>
                <w:sz w:val="15"/>
                <w:szCs w:val="15"/>
                <w:color w:val="auto"/>
              </w:rPr>
              <w:t>Weighted average number of ordinary shares outstanding for diluted net</w:t>
            </w:r>
          </w:p>
        </w:tc>
        <w:tc>
          <w:tcPr>
            <w:tcW w:w="1700" w:type="dxa"/>
            <w:vAlign w:val="bottom"/>
            <w:vMerge w:val="restart"/>
            <w:shd w:val="clear" w:color="auto" w:fill="CCEEFF"/>
          </w:tcPr>
          <w:p>
            <w:pPr>
              <w:jc w:val="right"/>
              <w:ind w:right="183"/>
              <w:spacing w:after="0"/>
              <w:rPr>
                <w:sz w:val="20"/>
                <w:szCs w:val="20"/>
                <w:color w:val="auto"/>
              </w:rPr>
            </w:pPr>
            <w:r>
              <w:rPr>
                <w:rFonts w:ascii="Arial" w:cs="Arial" w:eastAsia="Arial" w:hAnsi="Arial"/>
                <w:sz w:val="15"/>
                <w:szCs w:val="15"/>
                <w:color w:val="auto"/>
              </w:rPr>
              <w:t>78,082,459</w:t>
            </w:r>
          </w:p>
        </w:tc>
        <w:tc>
          <w:tcPr>
            <w:tcW w:w="1540" w:type="dxa"/>
            <w:vAlign w:val="bottom"/>
            <w:vMerge w:val="restart"/>
            <w:shd w:val="clear" w:color="auto" w:fill="CCEEFF"/>
          </w:tcPr>
          <w:p>
            <w:pPr>
              <w:jc w:val="right"/>
              <w:ind w:right="243"/>
              <w:spacing w:after="0"/>
              <w:rPr>
                <w:sz w:val="20"/>
                <w:szCs w:val="20"/>
                <w:color w:val="auto"/>
              </w:rPr>
            </w:pPr>
            <w:r>
              <w:rPr>
                <w:rFonts w:ascii="Arial" w:cs="Arial" w:eastAsia="Arial" w:hAnsi="Arial"/>
                <w:sz w:val="15"/>
                <w:szCs w:val="15"/>
                <w:color w:val="auto"/>
              </w:rPr>
              <w:t>83,445,827</w:t>
            </w:r>
          </w:p>
        </w:tc>
        <w:tc>
          <w:tcPr>
            <w:tcW w:w="1540" w:type="dxa"/>
            <w:vAlign w:val="bottom"/>
            <w:vMerge w:val="restart"/>
            <w:shd w:val="clear" w:color="auto" w:fill="CCEEFF"/>
          </w:tcPr>
          <w:p>
            <w:pPr>
              <w:jc w:val="right"/>
              <w:ind w:right="183"/>
              <w:spacing w:after="0"/>
              <w:rPr>
                <w:sz w:val="20"/>
                <w:szCs w:val="20"/>
                <w:color w:val="auto"/>
              </w:rPr>
            </w:pPr>
            <w:r>
              <w:rPr>
                <w:rFonts w:ascii="Arial" w:cs="Arial" w:eastAsia="Arial" w:hAnsi="Arial"/>
                <w:sz w:val="15"/>
                <w:szCs w:val="15"/>
                <w:color w:val="auto"/>
              </w:rPr>
              <w:t>79,518,086</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83,305,441</w:t>
            </w:r>
          </w:p>
        </w:tc>
        <w:tc>
          <w:tcPr>
            <w:tcW w:w="0" w:type="dxa"/>
            <w:vAlign w:val="bottom"/>
          </w:tcPr>
          <w:p>
            <w:pPr>
              <w:spacing w:after="0"/>
              <w:rPr>
                <w:sz w:val="1"/>
                <w:szCs w:val="1"/>
                <w:color w:val="auto"/>
              </w:rPr>
            </w:pPr>
          </w:p>
        </w:tc>
      </w:tr>
      <w:tr>
        <w:trPr>
          <w:trHeight w:val="225"/>
        </w:trPr>
        <w:tc>
          <w:tcPr>
            <w:tcW w:w="5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income per ordinary share</w:t>
            </w:r>
          </w:p>
        </w:tc>
        <w:tc>
          <w:tcPr>
            <w:tcW w:w="1700" w:type="dxa"/>
            <w:vAlign w:val="bottom"/>
            <w:tcBorders>
              <w:bottom w:val="single" w:sz="8" w:color="auto"/>
            </w:tcBorders>
            <w:vMerge w:val="continue"/>
            <w:shd w:val="clear" w:color="auto" w:fill="CCEEFF"/>
          </w:tcPr>
          <w:p>
            <w:pPr>
              <w:spacing w:after="0"/>
              <w:rPr>
                <w:sz w:val="19"/>
                <w:szCs w:val="19"/>
                <w:color w:val="auto"/>
              </w:rPr>
            </w:pPr>
          </w:p>
        </w:tc>
        <w:tc>
          <w:tcPr>
            <w:tcW w:w="1540" w:type="dxa"/>
            <w:vAlign w:val="bottom"/>
            <w:tcBorders>
              <w:bottom w:val="single" w:sz="8" w:color="auto"/>
            </w:tcBorders>
            <w:vMerge w:val="continue"/>
            <w:shd w:val="clear" w:color="auto" w:fill="CCEEFF"/>
          </w:tcPr>
          <w:p>
            <w:pPr>
              <w:spacing w:after="0"/>
              <w:rPr>
                <w:sz w:val="19"/>
                <w:szCs w:val="19"/>
                <w:color w:val="auto"/>
              </w:rPr>
            </w:pPr>
          </w:p>
        </w:tc>
        <w:tc>
          <w:tcPr>
            <w:tcW w:w="1540" w:type="dxa"/>
            <w:vAlign w:val="bottom"/>
            <w:tcBorders>
              <w:bottom w:val="single" w:sz="8" w:color="auto"/>
            </w:tcBorders>
            <w:vMerge w:val="continue"/>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1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2800" w:type="dxa"/>
            <w:vAlign w:val="bottom"/>
            <w:tcBorders>
              <w:bottom w:val="single" w:sz="8" w:color="auto"/>
            </w:tcBorders>
            <w:gridSpan w:val="3"/>
            <w:shd w:val="clear" w:color="auto" w:fill="CCEEFF"/>
          </w:tcPr>
          <w:p>
            <w:pPr>
              <w:ind w:left="480"/>
              <w:spacing w:after="0"/>
              <w:rPr>
                <w:sz w:val="20"/>
                <w:szCs w:val="20"/>
                <w:color w:val="auto"/>
              </w:rPr>
            </w:pPr>
            <w:r>
              <w:rPr>
                <w:rFonts w:ascii="Arial" w:cs="Arial" w:eastAsia="Arial" w:hAnsi="Arial"/>
                <w:sz w:val="15"/>
                <w:szCs w:val="15"/>
                <w:b w:val="1"/>
                <w:bCs w:val="1"/>
                <w:color w:val="auto"/>
              </w:rPr>
              <w:t>Three Months Ended</w:t>
            </w:r>
          </w:p>
        </w:tc>
        <w:tc>
          <w:tcPr>
            <w:tcW w:w="320" w:type="dxa"/>
            <w:vAlign w:val="bottom"/>
            <w:tcBorders>
              <w:bottom w:val="single" w:sz="8" w:color="auto"/>
            </w:tcBorders>
            <w:shd w:val="clear" w:color="auto" w:fill="CCEEFF"/>
          </w:tcPr>
          <w:p>
            <w:pPr>
              <w:spacing w:after="0"/>
              <w:rPr>
                <w:sz w:val="17"/>
                <w:szCs w:val="17"/>
                <w:color w:val="auto"/>
              </w:rPr>
            </w:pPr>
          </w:p>
        </w:tc>
        <w:tc>
          <w:tcPr>
            <w:tcW w:w="2720" w:type="dxa"/>
            <w:vAlign w:val="bottom"/>
            <w:tcBorders>
              <w:bottom w:val="single" w:sz="8" w:color="auto"/>
            </w:tcBorders>
            <w:gridSpan w:val="3"/>
            <w:shd w:val="clear" w:color="auto" w:fill="CCEEFF"/>
          </w:tcPr>
          <w:p>
            <w:pPr>
              <w:ind w:left="500"/>
              <w:spacing w:after="0"/>
              <w:rPr>
                <w:sz w:val="20"/>
                <w:szCs w:val="20"/>
                <w:color w:val="auto"/>
              </w:rPr>
            </w:pPr>
            <w:r>
              <w:rPr>
                <w:rFonts w:ascii="Arial" w:cs="Arial" w:eastAsia="Arial" w:hAnsi="Arial"/>
                <w:sz w:val="15"/>
                <w:szCs w:val="15"/>
                <w:b w:val="1"/>
                <w:bCs w:val="1"/>
                <w:color w:val="auto"/>
              </w:rPr>
              <w:t>Nine Months Ended</w:t>
            </w:r>
          </w:p>
        </w:tc>
      </w:tr>
      <w:tr>
        <w:trPr>
          <w:trHeight w:val="148"/>
        </w:trPr>
        <w:tc>
          <w:tcPr>
            <w:tcW w:w="5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ind w:left="160"/>
              <w:spacing w:after="0" w:line="148" w:lineRule="exact"/>
              <w:rPr>
                <w:sz w:val="20"/>
                <w:szCs w:val="20"/>
                <w:color w:val="auto"/>
              </w:rPr>
            </w:pPr>
            <w:r>
              <w:rPr>
                <w:rFonts w:ascii="Arial" w:cs="Arial" w:eastAsia="Arial" w:hAnsi="Arial"/>
                <w:sz w:val="15"/>
                <w:szCs w:val="15"/>
                <w:b w:val="1"/>
                <w:bCs w:val="1"/>
                <w:color w:val="auto"/>
              </w:rPr>
              <w:t>September 30,</w:t>
            </w:r>
          </w:p>
        </w:tc>
        <w:tc>
          <w:tcPr>
            <w:tcW w:w="280" w:type="dxa"/>
            <w:vAlign w:val="bottom"/>
          </w:tcPr>
          <w:p>
            <w:pPr>
              <w:spacing w:after="0"/>
              <w:rPr>
                <w:sz w:val="12"/>
                <w:szCs w:val="12"/>
                <w:color w:val="auto"/>
              </w:rPr>
            </w:pPr>
          </w:p>
        </w:tc>
        <w:tc>
          <w:tcPr>
            <w:tcW w:w="1280" w:type="dxa"/>
            <w:vAlign w:val="bottom"/>
          </w:tcPr>
          <w:p>
            <w:pPr>
              <w:ind w:left="160"/>
              <w:spacing w:after="0" w:line="148" w:lineRule="exact"/>
              <w:rPr>
                <w:sz w:val="20"/>
                <w:szCs w:val="20"/>
                <w:color w:val="auto"/>
              </w:rPr>
            </w:pPr>
            <w:r>
              <w:rPr>
                <w:rFonts w:ascii="Arial" w:cs="Arial" w:eastAsia="Arial" w:hAnsi="Arial"/>
                <w:sz w:val="15"/>
                <w:szCs w:val="15"/>
                <w:b w:val="1"/>
                <w:bCs w:val="1"/>
                <w:color w:val="auto"/>
              </w:rPr>
              <w:t>September 30,</w:t>
            </w:r>
          </w:p>
        </w:tc>
        <w:tc>
          <w:tcPr>
            <w:tcW w:w="320" w:type="dxa"/>
            <w:vAlign w:val="bottom"/>
          </w:tcPr>
          <w:p>
            <w:pPr>
              <w:spacing w:after="0"/>
              <w:rPr>
                <w:sz w:val="12"/>
                <w:szCs w:val="12"/>
                <w:color w:val="auto"/>
              </w:rPr>
            </w:pPr>
          </w:p>
        </w:tc>
        <w:tc>
          <w:tcPr>
            <w:tcW w:w="1220" w:type="dxa"/>
            <w:vAlign w:val="bottom"/>
          </w:tcPr>
          <w:p>
            <w:pPr>
              <w:ind w:left="160"/>
              <w:spacing w:after="0" w:line="148" w:lineRule="exact"/>
              <w:rPr>
                <w:sz w:val="20"/>
                <w:szCs w:val="20"/>
                <w:color w:val="auto"/>
              </w:rPr>
            </w:pPr>
            <w:r>
              <w:rPr>
                <w:rFonts w:ascii="Arial" w:cs="Arial" w:eastAsia="Arial" w:hAnsi="Arial"/>
                <w:sz w:val="15"/>
                <w:szCs w:val="15"/>
                <w:b w:val="1"/>
                <w:bCs w:val="1"/>
                <w:color w:val="auto"/>
              </w:rPr>
              <w:t>September 30,</w:t>
            </w:r>
          </w:p>
        </w:tc>
        <w:tc>
          <w:tcPr>
            <w:tcW w:w="280" w:type="dxa"/>
            <w:vAlign w:val="bottom"/>
          </w:tcPr>
          <w:p>
            <w:pPr>
              <w:spacing w:after="0"/>
              <w:rPr>
                <w:sz w:val="12"/>
                <w:szCs w:val="12"/>
                <w:color w:val="auto"/>
              </w:rPr>
            </w:pPr>
          </w:p>
        </w:tc>
        <w:tc>
          <w:tcPr>
            <w:tcW w:w="1220" w:type="dxa"/>
            <w:vAlign w:val="bottom"/>
          </w:tcPr>
          <w:p>
            <w:pPr>
              <w:ind w:left="160"/>
              <w:spacing w:after="0" w:line="148" w:lineRule="exact"/>
              <w:rPr>
                <w:sz w:val="20"/>
                <w:szCs w:val="20"/>
                <w:color w:val="auto"/>
              </w:rPr>
            </w:pPr>
            <w:r>
              <w:rPr>
                <w:rFonts w:ascii="Arial" w:cs="Arial" w:eastAsia="Arial" w:hAnsi="Arial"/>
                <w:sz w:val="15"/>
                <w:szCs w:val="15"/>
                <w:b w:val="1"/>
                <w:bCs w:val="1"/>
                <w:color w:val="auto"/>
              </w:rPr>
              <w:t>September 30,</w:t>
            </w:r>
          </w:p>
        </w:tc>
      </w:tr>
      <w:tr>
        <w:trPr>
          <w:trHeight w:val="206"/>
        </w:trPr>
        <w:tc>
          <w:tcPr>
            <w:tcW w:w="51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ind w:left="880"/>
              <w:spacing w:after="0"/>
              <w:rPr>
                <w:sz w:val="20"/>
                <w:szCs w:val="20"/>
                <w:color w:val="auto"/>
              </w:rPr>
            </w:pPr>
            <w:r>
              <w:rPr>
                <w:rFonts w:ascii="Arial" w:cs="Arial" w:eastAsia="Arial" w:hAnsi="Arial"/>
                <w:sz w:val="15"/>
                <w:szCs w:val="15"/>
                <w:b w:val="1"/>
                <w:bCs w:val="1"/>
                <w:color w:val="auto"/>
              </w:rPr>
              <w:t>2025</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ind w:left="860"/>
              <w:spacing w:after="0"/>
              <w:rPr>
                <w:sz w:val="20"/>
                <w:szCs w:val="20"/>
                <w:color w:val="auto"/>
              </w:rPr>
            </w:pPr>
            <w:r>
              <w:rPr>
                <w:rFonts w:ascii="Arial" w:cs="Arial" w:eastAsia="Arial" w:hAnsi="Arial"/>
                <w:sz w:val="15"/>
                <w:szCs w:val="15"/>
                <w:b w:val="1"/>
                <w:bCs w:val="1"/>
                <w:color w:val="auto"/>
              </w:rPr>
              <w:t>2024</w:t>
            </w: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ind w:left="860"/>
              <w:spacing w:after="0"/>
              <w:rPr>
                <w:sz w:val="20"/>
                <w:szCs w:val="20"/>
                <w:color w:val="auto"/>
              </w:rPr>
            </w:pPr>
            <w:r>
              <w:rPr>
                <w:rFonts w:ascii="Arial" w:cs="Arial" w:eastAsia="Arial" w:hAnsi="Arial"/>
                <w:sz w:val="15"/>
                <w:szCs w:val="15"/>
                <w:b w:val="1"/>
                <w:bCs w:val="1"/>
                <w:color w:val="auto"/>
              </w:rPr>
              <w:t>2025</w:t>
            </w: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ind w:left="860"/>
              <w:spacing w:after="0"/>
              <w:rPr>
                <w:sz w:val="20"/>
                <w:szCs w:val="20"/>
                <w:color w:val="auto"/>
              </w:rPr>
            </w:pPr>
            <w:r>
              <w:rPr>
                <w:rFonts w:ascii="Arial" w:cs="Arial" w:eastAsia="Arial" w:hAnsi="Arial"/>
                <w:sz w:val="15"/>
                <w:szCs w:val="15"/>
                <w:b w:val="1"/>
                <w:bCs w:val="1"/>
                <w:color w:val="auto"/>
              </w:rPr>
              <w:t>2024</w:t>
            </w:r>
          </w:p>
        </w:tc>
      </w:tr>
      <w:tr>
        <w:trPr>
          <w:trHeight w:val="199"/>
        </w:trPr>
        <w:tc>
          <w:tcPr>
            <w:tcW w:w="5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 per Ordinary Share:</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05"/>
        </w:trPr>
        <w:tc>
          <w:tcPr>
            <w:tcW w:w="5140" w:type="dxa"/>
            <w:vAlign w:val="bottom"/>
          </w:tcPr>
          <w:p>
            <w:pPr>
              <w:ind w:left="20"/>
              <w:spacing w:after="0"/>
              <w:rPr>
                <w:sz w:val="20"/>
                <w:szCs w:val="20"/>
                <w:color w:val="auto"/>
              </w:rPr>
            </w:pPr>
            <w:r>
              <w:rPr>
                <w:rFonts w:ascii="Arial" w:cs="Arial" w:eastAsia="Arial" w:hAnsi="Arial"/>
                <w:sz w:val="15"/>
                <w:szCs w:val="15"/>
                <w:color w:val="auto"/>
              </w:rPr>
              <w:t>Basic</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240" w:type="dxa"/>
            <w:vAlign w:val="bottom"/>
          </w:tcPr>
          <w:p>
            <w:pPr>
              <w:ind w:left="880"/>
              <w:spacing w:after="0"/>
              <w:rPr>
                <w:sz w:val="20"/>
                <w:szCs w:val="20"/>
                <w:color w:val="auto"/>
              </w:rPr>
            </w:pPr>
            <w:r>
              <w:rPr>
                <w:rFonts w:ascii="Arial" w:cs="Arial" w:eastAsia="Arial" w:hAnsi="Arial"/>
                <w:sz w:val="15"/>
                <w:szCs w:val="15"/>
                <w:color w:val="auto"/>
              </w:rPr>
              <w:t>0.03</w:t>
            </w: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1280" w:type="dxa"/>
            <w:vAlign w:val="bottom"/>
          </w:tcPr>
          <w:p>
            <w:pPr>
              <w:ind w:left="860"/>
              <w:spacing w:after="0"/>
              <w:rPr>
                <w:sz w:val="20"/>
                <w:szCs w:val="20"/>
                <w:color w:val="auto"/>
              </w:rPr>
            </w:pPr>
            <w:r>
              <w:rPr>
                <w:rFonts w:ascii="Arial" w:cs="Arial" w:eastAsia="Arial" w:hAnsi="Arial"/>
                <w:sz w:val="15"/>
                <w:szCs w:val="15"/>
                <w:color w:val="auto"/>
              </w:rPr>
              <w:t>2.38</w:t>
            </w:r>
          </w:p>
        </w:tc>
        <w:tc>
          <w:tcPr>
            <w:tcW w:w="32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220" w:type="dxa"/>
            <w:vAlign w:val="bottom"/>
          </w:tcPr>
          <w:p>
            <w:pPr>
              <w:ind w:left="860"/>
              <w:spacing w:after="0"/>
              <w:rPr>
                <w:sz w:val="20"/>
                <w:szCs w:val="20"/>
                <w:color w:val="auto"/>
              </w:rPr>
            </w:pPr>
            <w:r>
              <w:rPr>
                <w:rFonts w:ascii="Arial" w:cs="Arial" w:eastAsia="Arial" w:hAnsi="Arial"/>
                <w:sz w:val="15"/>
                <w:szCs w:val="15"/>
                <w:color w:val="auto"/>
              </w:rPr>
              <w:t>4.29</w:t>
            </w:r>
          </w:p>
        </w:tc>
        <w:tc>
          <w:tcPr>
            <w:tcW w:w="2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220" w:type="dxa"/>
            <w:vAlign w:val="bottom"/>
          </w:tcPr>
          <w:p>
            <w:pPr>
              <w:ind w:left="860"/>
              <w:spacing w:after="0"/>
              <w:rPr>
                <w:sz w:val="20"/>
                <w:szCs w:val="20"/>
                <w:color w:val="auto"/>
              </w:rPr>
            </w:pPr>
            <w:r>
              <w:rPr>
                <w:rFonts w:ascii="Arial" w:cs="Arial" w:eastAsia="Arial" w:hAnsi="Arial"/>
                <w:sz w:val="15"/>
                <w:szCs w:val="15"/>
                <w:color w:val="auto"/>
              </w:rPr>
              <w:t>6.43</w:t>
            </w:r>
          </w:p>
        </w:tc>
      </w:tr>
      <w:tr>
        <w:trPr>
          <w:trHeight w:val="231"/>
        </w:trPr>
        <w:tc>
          <w:tcPr>
            <w:tcW w:w="5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Diluted</w:t>
            </w: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5"/>
                <w:szCs w:val="15"/>
                <w:color w:val="auto"/>
              </w:rPr>
              <w:t>0.03</w:t>
            </w:r>
          </w:p>
        </w:tc>
        <w:tc>
          <w:tcPr>
            <w:tcW w:w="2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5"/>
                <w:szCs w:val="15"/>
                <w:color w:val="auto"/>
              </w:rPr>
              <w:t>2.36</w:t>
            </w:r>
          </w:p>
        </w:tc>
        <w:tc>
          <w:tcPr>
            <w:tcW w:w="3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5"/>
                <w:szCs w:val="15"/>
                <w:color w:val="auto"/>
              </w:rPr>
              <w:t>4.27</w:t>
            </w:r>
          </w:p>
        </w:tc>
        <w:tc>
          <w:tcPr>
            <w:tcW w:w="2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5"/>
                <w:szCs w:val="15"/>
                <w:color w:val="auto"/>
              </w:rPr>
              <w:t>6.38</w:t>
            </w:r>
          </w:p>
        </w:tc>
      </w:tr>
      <w:tr>
        <w:trPr>
          <w:trHeight w:val="20"/>
        </w:trPr>
        <w:tc>
          <w:tcPr>
            <w:tcW w:w="5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49" w:right="339" w:bottom="1440" w:gutter="0" w:footer="0" w:header="0"/>
        </w:sectPr>
      </w:pPr>
    </w:p>
    <w:bookmarkStart w:id="23" w:name="page24"/>
    <w:bookmarkEnd w:id="23"/>
    <w:p>
      <w:pPr>
        <w:spacing w:after="0"/>
        <w:rPr>
          <w:sz w:val="20"/>
          <w:szCs w:val="20"/>
          <w:color w:val="auto"/>
        </w:rPr>
      </w:pPr>
      <w:r>
        <w:rPr>
          <w:rFonts w:ascii="Arial" w:cs="Arial" w:eastAsia="Arial" w:hAnsi="Arial"/>
          <w:sz w:val="15"/>
          <w:szCs w:val="15"/>
          <w:b w:val="1"/>
          <w:bCs w:val="1"/>
          <w:color w:val="auto"/>
        </w:rPr>
        <w:t>13. Share based awards</w:t>
      </w:r>
    </w:p>
    <w:p>
      <w:pPr>
        <w:spacing w:after="0" w:line="24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Share Options</w:t>
      </w:r>
    </w:p>
    <w:p>
      <w:pPr>
        <w:spacing w:after="0" w:line="253"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summarizes option activity for the nine months ended September 30, 2025:</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720" w:type="dxa"/>
            <w:vAlign w:val="bottom"/>
            <w:shd w:val="clear" w:color="auto" w:fill="CCEEFF"/>
          </w:tcPr>
          <w:p>
            <w:pPr>
              <w:spacing w:after="0"/>
              <w:rPr>
                <w:sz w:val="14"/>
                <w:szCs w:val="14"/>
                <w:color w:val="auto"/>
              </w:rPr>
            </w:pPr>
          </w:p>
        </w:tc>
        <w:tc>
          <w:tcPr>
            <w:tcW w:w="3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ind w:right="203"/>
              <w:spacing w:after="0"/>
              <w:rPr>
                <w:sz w:val="20"/>
                <w:szCs w:val="20"/>
                <w:color w:val="auto"/>
              </w:rPr>
            </w:pPr>
            <w:r>
              <w:rPr>
                <w:rFonts w:ascii="Arial" w:cs="Arial" w:eastAsia="Arial" w:hAnsi="Arial"/>
                <w:sz w:val="15"/>
                <w:szCs w:val="15"/>
                <w:b w:val="1"/>
                <w:bCs w:val="1"/>
                <w:color w:val="auto"/>
              </w:rPr>
              <w:t>Weighted</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Weighted</w:t>
            </w:r>
          </w:p>
        </w:tc>
        <w:tc>
          <w:tcPr>
            <w:tcW w:w="0" w:type="dxa"/>
            <w:vAlign w:val="bottom"/>
          </w:tcPr>
          <w:p>
            <w:pPr>
              <w:spacing w:after="0"/>
              <w:rPr>
                <w:sz w:val="1"/>
                <w:szCs w:val="1"/>
                <w:color w:val="auto"/>
              </w:rPr>
            </w:pPr>
          </w:p>
        </w:tc>
      </w:tr>
      <w:tr>
        <w:trPr>
          <w:trHeight w:val="155"/>
        </w:trPr>
        <w:tc>
          <w:tcPr>
            <w:tcW w:w="4720" w:type="dxa"/>
            <w:vAlign w:val="bottom"/>
            <w:shd w:val="clear" w:color="auto" w:fill="CCEEFF"/>
          </w:tcPr>
          <w:p>
            <w:pPr>
              <w:spacing w:after="0"/>
              <w:rPr>
                <w:sz w:val="13"/>
                <w:szCs w:val="13"/>
                <w:color w:val="auto"/>
              </w:rPr>
            </w:pPr>
          </w:p>
        </w:tc>
        <w:tc>
          <w:tcPr>
            <w:tcW w:w="3660" w:type="dxa"/>
            <w:vAlign w:val="bottom"/>
            <w:vMerge w:val="restart"/>
            <w:shd w:val="clear" w:color="auto" w:fill="CCEEFF"/>
          </w:tcPr>
          <w:p>
            <w:pPr>
              <w:ind w:left="3040"/>
              <w:spacing w:after="0"/>
              <w:rPr>
                <w:sz w:val="20"/>
                <w:szCs w:val="20"/>
                <w:color w:val="auto"/>
              </w:rPr>
            </w:pPr>
            <w:r>
              <w:rPr>
                <w:rFonts w:ascii="Arial" w:cs="Arial" w:eastAsia="Arial" w:hAnsi="Arial"/>
                <w:sz w:val="15"/>
                <w:szCs w:val="15"/>
                <w:b w:val="1"/>
                <w:bCs w:val="1"/>
                <w:color w:val="auto"/>
              </w:rPr>
              <w:t>Options</w:t>
            </w:r>
          </w:p>
        </w:tc>
        <w:tc>
          <w:tcPr>
            <w:tcW w:w="400" w:type="dxa"/>
            <w:vAlign w:val="bottom"/>
            <w:shd w:val="clear" w:color="auto" w:fill="CCEEFF"/>
          </w:tcPr>
          <w:p>
            <w:pPr>
              <w:spacing w:after="0"/>
              <w:rPr>
                <w:sz w:val="13"/>
                <w:szCs w:val="13"/>
                <w:color w:val="auto"/>
              </w:rPr>
            </w:pPr>
          </w:p>
        </w:tc>
        <w:tc>
          <w:tcPr>
            <w:tcW w:w="1300" w:type="dxa"/>
            <w:vAlign w:val="bottom"/>
            <w:vMerge w:val="continue"/>
            <w:shd w:val="clear" w:color="auto" w:fill="CCEEFF"/>
          </w:tcPr>
          <w:p>
            <w:pPr>
              <w:spacing w:after="0"/>
              <w:rPr>
                <w:sz w:val="13"/>
                <w:szCs w:val="13"/>
                <w:color w:val="auto"/>
              </w:rPr>
            </w:pPr>
          </w:p>
        </w:tc>
        <w:tc>
          <w:tcPr>
            <w:tcW w:w="116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Average</w:t>
            </w:r>
          </w:p>
        </w:tc>
        <w:tc>
          <w:tcPr>
            <w:tcW w:w="0" w:type="dxa"/>
            <w:vAlign w:val="bottom"/>
          </w:tcPr>
          <w:p>
            <w:pPr>
              <w:spacing w:after="0"/>
              <w:rPr>
                <w:sz w:val="1"/>
                <w:szCs w:val="1"/>
                <w:color w:val="auto"/>
              </w:rPr>
            </w:pPr>
          </w:p>
        </w:tc>
      </w:tr>
      <w:tr>
        <w:trPr>
          <w:trHeight w:val="155"/>
        </w:trPr>
        <w:tc>
          <w:tcPr>
            <w:tcW w:w="4720" w:type="dxa"/>
            <w:vAlign w:val="bottom"/>
            <w:shd w:val="clear" w:color="auto" w:fill="CCEEFF"/>
          </w:tcPr>
          <w:p>
            <w:pPr>
              <w:spacing w:after="0"/>
              <w:rPr>
                <w:sz w:val="13"/>
                <w:szCs w:val="13"/>
                <w:color w:val="auto"/>
              </w:rPr>
            </w:pPr>
          </w:p>
        </w:tc>
        <w:tc>
          <w:tcPr>
            <w:tcW w:w="3660" w:type="dxa"/>
            <w:vAlign w:val="bottom"/>
            <w:vMerge w:val="continue"/>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203"/>
              <w:spacing w:after="0" w:line="155" w:lineRule="exact"/>
              <w:rPr>
                <w:sz w:val="20"/>
                <w:szCs w:val="20"/>
                <w:color w:val="auto"/>
              </w:rPr>
            </w:pPr>
            <w:r>
              <w:rPr>
                <w:rFonts w:ascii="Arial" w:cs="Arial" w:eastAsia="Arial" w:hAnsi="Arial"/>
                <w:sz w:val="15"/>
                <w:szCs w:val="15"/>
                <w:b w:val="1"/>
                <w:bCs w:val="1"/>
                <w:color w:val="auto"/>
              </w:rPr>
              <w:t>Average</w:t>
            </w:r>
          </w:p>
        </w:tc>
        <w:tc>
          <w:tcPr>
            <w:tcW w:w="116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Remaining</w:t>
            </w:r>
          </w:p>
        </w:tc>
        <w:tc>
          <w:tcPr>
            <w:tcW w:w="0" w:type="dxa"/>
            <w:vAlign w:val="bottom"/>
          </w:tcPr>
          <w:p>
            <w:pPr>
              <w:spacing w:after="0"/>
              <w:rPr>
                <w:sz w:val="1"/>
                <w:szCs w:val="1"/>
                <w:color w:val="auto"/>
              </w:rPr>
            </w:pPr>
          </w:p>
        </w:tc>
      </w:tr>
      <w:tr>
        <w:trPr>
          <w:trHeight w:val="155"/>
        </w:trPr>
        <w:tc>
          <w:tcPr>
            <w:tcW w:w="4720" w:type="dxa"/>
            <w:vAlign w:val="bottom"/>
            <w:shd w:val="clear" w:color="auto" w:fill="CCEEFF"/>
          </w:tcPr>
          <w:p>
            <w:pPr>
              <w:spacing w:after="0"/>
              <w:rPr>
                <w:sz w:val="13"/>
                <w:szCs w:val="13"/>
                <w:color w:val="auto"/>
              </w:rPr>
            </w:pPr>
          </w:p>
        </w:tc>
        <w:tc>
          <w:tcPr>
            <w:tcW w:w="366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Outstanding</w:t>
            </w: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203"/>
              <w:spacing w:after="0" w:line="155" w:lineRule="exact"/>
              <w:rPr>
                <w:sz w:val="20"/>
                <w:szCs w:val="20"/>
                <w:color w:val="auto"/>
              </w:rPr>
            </w:pPr>
            <w:r>
              <w:rPr>
                <w:rFonts w:ascii="Arial" w:cs="Arial" w:eastAsia="Arial" w:hAnsi="Arial"/>
                <w:sz w:val="15"/>
                <w:szCs w:val="15"/>
                <w:b w:val="1"/>
                <w:bCs w:val="1"/>
                <w:color w:val="auto"/>
              </w:rPr>
              <w:t>Exercise</w:t>
            </w:r>
          </w:p>
        </w:tc>
        <w:tc>
          <w:tcPr>
            <w:tcW w:w="116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Contractual</w:t>
            </w:r>
          </w:p>
        </w:tc>
        <w:tc>
          <w:tcPr>
            <w:tcW w:w="0" w:type="dxa"/>
            <w:vAlign w:val="bottom"/>
          </w:tcPr>
          <w:p>
            <w:pPr>
              <w:spacing w:after="0"/>
              <w:rPr>
                <w:sz w:val="1"/>
                <w:szCs w:val="1"/>
                <w:color w:val="auto"/>
              </w:rPr>
            </w:pPr>
          </w:p>
        </w:tc>
      </w:tr>
      <w:tr>
        <w:trPr>
          <w:trHeight w:val="206"/>
        </w:trPr>
        <w:tc>
          <w:tcPr>
            <w:tcW w:w="4720" w:type="dxa"/>
            <w:vAlign w:val="bottom"/>
            <w:tcBorders>
              <w:bottom w:val="single" w:sz="8" w:color="auto"/>
            </w:tcBorders>
            <w:shd w:val="clear" w:color="auto" w:fill="CCEEFF"/>
          </w:tcPr>
          <w:p>
            <w:pPr>
              <w:spacing w:after="0"/>
              <w:rPr>
                <w:sz w:val="17"/>
                <w:szCs w:val="17"/>
                <w:color w:val="auto"/>
              </w:rPr>
            </w:pPr>
          </w:p>
        </w:tc>
        <w:tc>
          <w:tcPr>
            <w:tcW w:w="3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Number of Shares</w:t>
            </w:r>
          </w:p>
        </w:tc>
        <w:tc>
          <w:tcPr>
            <w:tcW w:w="4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b w:val="1"/>
                <w:bCs w:val="1"/>
                <w:color w:val="auto"/>
              </w:rPr>
              <w:t>Price</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Life</w:t>
            </w:r>
          </w:p>
        </w:tc>
        <w:tc>
          <w:tcPr>
            <w:tcW w:w="0" w:type="dxa"/>
            <w:vAlign w:val="bottom"/>
          </w:tcPr>
          <w:p>
            <w:pPr>
              <w:spacing w:after="0"/>
              <w:rPr>
                <w:sz w:val="1"/>
                <w:szCs w:val="1"/>
                <w:color w:val="auto"/>
              </w:rPr>
            </w:pPr>
          </w:p>
        </w:tc>
      </w:tr>
      <w:tr>
        <w:trPr>
          <w:trHeight w:val="198"/>
        </w:trPr>
        <w:tc>
          <w:tcPr>
            <w:tcW w:w="4720" w:type="dxa"/>
            <w:vAlign w:val="bottom"/>
          </w:tcPr>
          <w:p>
            <w:pPr>
              <w:ind w:left="20"/>
              <w:spacing w:after="0"/>
              <w:rPr>
                <w:sz w:val="20"/>
                <w:szCs w:val="20"/>
                <w:color w:val="auto"/>
              </w:rPr>
            </w:pPr>
            <w:r>
              <w:rPr>
                <w:rFonts w:ascii="Arial" w:cs="Arial" w:eastAsia="Arial" w:hAnsi="Arial"/>
                <w:sz w:val="15"/>
                <w:szCs w:val="15"/>
                <w:color w:val="auto"/>
              </w:rPr>
              <w:t>Outstanding at December 31, 2024</w:t>
            </w:r>
          </w:p>
        </w:tc>
        <w:tc>
          <w:tcPr>
            <w:tcW w:w="3660" w:type="dxa"/>
            <w:vAlign w:val="bottom"/>
          </w:tcPr>
          <w:p>
            <w:pPr>
              <w:jc w:val="right"/>
              <w:ind w:right="3"/>
              <w:spacing w:after="0"/>
              <w:rPr>
                <w:sz w:val="20"/>
                <w:szCs w:val="20"/>
                <w:color w:val="auto"/>
              </w:rPr>
            </w:pPr>
            <w:r>
              <w:rPr>
                <w:rFonts w:ascii="Arial" w:cs="Arial" w:eastAsia="Arial" w:hAnsi="Arial"/>
                <w:sz w:val="15"/>
                <w:szCs w:val="15"/>
                <w:color w:val="auto"/>
              </w:rPr>
              <w:t>622,292</w:t>
            </w: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ind w:right="263"/>
              <w:spacing w:after="0"/>
              <w:rPr>
                <w:sz w:val="20"/>
                <w:szCs w:val="20"/>
                <w:color w:val="auto"/>
              </w:rPr>
            </w:pPr>
            <w:r>
              <w:rPr>
                <w:rFonts w:ascii="Arial" w:cs="Arial" w:eastAsia="Arial" w:hAnsi="Arial"/>
                <w:sz w:val="15"/>
                <w:szCs w:val="15"/>
                <w:color w:val="auto"/>
              </w:rPr>
              <w:t>170.52</w:t>
            </w:r>
          </w:p>
        </w:tc>
        <w:tc>
          <w:tcPr>
            <w:tcW w:w="1160" w:type="dxa"/>
            <w:vAlign w:val="bottom"/>
          </w:tcPr>
          <w:p>
            <w:pPr>
              <w:jc w:val="right"/>
              <w:spacing w:after="0"/>
              <w:rPr>
                <w:sz w:val="20"/>
                <w:szCs w:val="20"/>
                <w:color w:val="auto"/>
              </w:rPr>
            </w:pPr>
            <w:r>
              <w:rPr>
                <w:rFonts w:ascii="Arial" w:cs="Arial" w:eastAsia="Arial" w:hAnsi="Arial"/>
                <w:sz w:val="15"/>
                <w:szCs w:val="15"/>
                <w:color w:val="auto"/>
              </w:rPr>
              <w:t>3.91</w:t>
            </w:r>
          </w:p>
        </w:tc>
        <w:tc>
          <w:tcPr>
            <w:tcW w:w="0" w:type="dxa"/>
            <w:vAlign w:val="bottom"/>
          </w:tcPr>
          <w:p>
            <w:pPr>
              <w:spacing w:after="0"/>
              <w:rPr>
                <w:sz w:val="1"/>
                <w:szCs w:val="1"/>
                <w:color w:val="auto"/>
              </w:rPr>
            </w:pPr>
          </w:p>
        </w:tc>
      </w:tr>
      <w:tr>
        <w:trPr>
          <w:trHeight w:val="207"/>
        </w:trPr>
        <w:tc>
          <w:tcPr>
            <w:tcW w:w="4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Granted</w:t>
            </w:r>
          </w:p>
        </w:tc>
        <w:tc>
          <w:tcPr>
            <w:tcW w:w="36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118,902</w:t>
            </w:r>
          </w:p>
        </w:tc>
        <w:tc>
          <w:tcPr>
            <w:tcW w:w="40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rPr>
              <w:t>185.18</w:t>
            </w: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720" w:type="dxa"/>
            <w:vAlign w:val="bottom"/>
          </w:tcPr>
          <w:p>
            <w:pPr>
              <w:ind w:left="20"/>
              <w:spacing w:after="0"/>
              <w:rPr>
                <w:sz w:val="20"/>
                <w:szCs w:val="20"/>
                <w:color w:val="auto"/>
              </w:rPr>
            </w:pPr>
            <w:r>
              <w:rPr>
                <w:rFonts w:ascii="Arial" w:cs="Arial" w:eastAsia="Arial" w:hAnsi="Arial"/>
                <w:sz w:val="15"/>
                <w:szCs w:val="15"/>
                <w:color w:val="auto"/>
              </w:rPr>
              <w:t>Exercised</w:t>
            </w:r>
          </w:p>
        </w:tc>
        <w:tc>
          <w:tcPr>
            <w:tcW w:w="3660" w:type="dxa"/>
            <w:vAlign w:val="bottom"/>
          </w:tcPr>
          <w:p>
            <w:pPr>
              <w:ind w:left="3040"/>
              <w:spacing w:after="0"/>
              <w:rPr>
                <w:sz w:val="20"/>
                <w:szCs w:val="20"/>
                <w:color w:val="auto"/>
              </w:rPr>
            </w:pPr>
            <w:r>
              <w:rPr>
                <w:rFonts w:ascii="Arial" w:cs="Arial" w:eastAsia="Arial" w:hAnsi="Arial"/>
                <w:sz w:val="15"/>
                <w:szCs w:val="15"/>
                <w:color w:val="auto"/>
              </w:rPr>
              <w:t>(65,894)</w:t>
            </w: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ind w:right="263"/>
              <w:spacing w:after="0"/>
              <w:rPr>
                <w:sz w:val="20"/>
                <w:szCs w:val="20"/>
                <w:color w:val="auto"/>
              </w:rPr>
            </w:pPr>
            <w:r>
              <w:rPr>
                <w:rFonts w:ascii="Arial" w:cs="Arial" w:eastAsia="Arial" w:hAnsi="Arial"/>
                <w:sz w:val="15"/>
                <w:szCs w:val="15"/>
                <w:color w:val="auto"/>
              </w:rPr>
              <w:t>111.04</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Forfeited/Expired</w:t>
            </w:r>
          </w:p>
        </w:tc>
        <w:tc>
          <w:tcPr>
            <w:tcW w:w="3660" w:type="dxa"/>
            <w:vAlign w:val="bottom"/>
            <w:tcBorders>
              <w:bottom w:val="single" w:sz="8" w:color="auto"/>
            </w:tcBorders>
            <w:shd w:val="clear" w:color="auto" w:fill="CCEEFF"/>
          </w:tcPr>
          <w:p>
            <w:pPr>
              <w:ind w:left="3040"/>
              <w:spacing w:after="0"/>
              <w:rPr>
                <w:sz w:val="20"/>
                <w:szCs w:val="20"/>
                <w:color w:val="auto"/>
              </w:rPr>
            </w:pPr>
            <w:r>
              <w:rPr>
                <w:rFonts w:ascii="Arial" w:cs="Arial" w:eastAsia="Arial" w:hAnsi="Arial"/>
                <w:sz w:val="15"/>
                <w:szCs w:val="15"/>
                <w:color w:val="auto"/>
              </w:rPr>
              <w:t>(15,576)</w:t>
            </w:r>
          </w:p>
        </w:tc>
        <w:tc>
          <w:tcPr>
            <w:tcW w:w="40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ind w:right="263"/>
              <w:spacing w:after="0"/>
              <w:rPr>
                <w:sz w:val="20"/>
                <w:szCs w:val="20"/>
                <w:color w:val="auto"/>
              </w:rPr>
            </w:pPr>
            <w:r>
              <w:rPr>
                <w:rFonts w:ascii="Arial" w:cs="Arial" w:eastAsia="Arial" w:hAnsi="Arial"/>
                <w:sz w:val="15"/>
                <w:szCs w:val="15"/>
                <w:color w:val="auto"/>
              </w:rPr>
              <w:t>252.40</w:t>
            </w:r>
          </w:p>
        </w:tc>
        <w:tc>
          <w:tcPr>
            <w:tcW w:w="11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Outstanding at September 30, 2025</w:t>
            </w:r>
          </w:p>
        </w:tc>
        <w:tc>
          <w:tcPr>
            <w:tcW w:w="36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659,724</w:t>
            </w:r>
          </w:p>
        </w:tc>
        <w:tc>
          <w:tcPr>
            <w:tcW w:w="40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color w:val="auto"/>
              </w:rPr>
              <w:t>177.17</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4.10</w:t>
            </w:r>
          </w:p>
        </w:tc>
        <w:tc>
          <w:tcPr>
            <w:tcW w:w="0" w:type="dxa"/>
            <w:vAlign w:val="bottom"/>
          </w:tcPr>
          <w:p>
            <w:pPr>
              <w:spacing w:after="0"/>
              <w:rPr>
                <w:sz w:val="1"/>
                <w:szCs w:val="1"/>
                <w:color w:val="auto"/>
              </w:rPr>
            </w:pPr>
          </w:p>
        </w:tc>
      </w:tr>
      <w:tr>
        <w:trPr>
          <w:trHeight w:val="20"/>
        </w:trPr>
        <w:tc>
          <w:tcPr>
            <w:tcW w:w="4720" w:type="dxa"/>
            <w:vAlign w:val="bottom"/>
            <w:tcBorders>
              <w:bottom w:val="single" w:sz="8" w:color="auto"/>
            </w:tcBorders>
          </w:tcPr>
          <w:p>
            <w:pPr>
              <w:spacing w:after="0" w:line="20" w:lineRule="exact"/>
              <w:rPr>
                <w:sz w:val="1"/>
                <w:szCs w:val="1"/>
                <w:color w:val="auto"/>
              </w:rPr>
            </w:pPr>
          </w:p>
        </w:tc>
        <w:tc>
          <w:tcPr>
            <w:tcW w:w="3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Exercisable at September 30, 2025</w:t>
            </w:r>
          </w:p>
        </w:tc>
        <w:tc>
          <w:tcPr>
            <w:tcW w:w="36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424,978</w:t>
            </w:r>
          </w:p>
        </w:tc>
        <w:tc>
          <w:tcPr>
            <w:tcW w:w="40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ind w:right="263"/>
              <w:spacing w:after="0"/>
              <w:rPr>
                <w:sz w:val="20"/>
                <w:szCs w:val="20"/>
                <w:color w:val="auto"/>
              </w:rPr>
            </w:pPr>
            <w:r>
              <w:rPr>
                <w:rFonts w:ascii="Arial" w:cs="Arial" w:eastAsia="Arial" w:hAnsi="Arial"/>
                <w:sz w:val="15"/>
                <w:szCs w:val="15"/>
                <w:color w:val="auto"/>
              </w:rPr>
              <w:t>152.58</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2.85</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auto"/>
            </w:tcBorders>
          </w:tcPr>
          <w:p>
            <w:pPr>
              <w:spacing w:after="0" w:line="20" w:lineRule="exact"/>
              <w:rPr>
                <w:sz w:val="1"/>
                <w:szCs w:val="1"/>
                <w:color w:val="auto"/>
              </w:rPr>
            </w:pPr>
          </w:p>
        </w:tc>
        <w:tc>
          <w:tcPr>
            <w:tcW w:w="36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The Company issues ordinary shares for all options exercised. The total amount of fully vested share options which remained outstanding at September 30, 2025 was 424,978. Fully vested share options at September 30, 2025 have an average remaining contractual term of 2.85 years and an average exercise price of $152.58.</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Fair value of Stock Options Assumptions</w:t>
      </w:r>
    </w:p>
    <w:p>
      <w:pPr>
        <w:spacing w:after="0" w:line="240"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weighted average fair value of options granted during the nine months ended September 30, 2025 and September 30, 2024 was calculated using the</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Black-Scholes option pricing model. The weighted average grant date fair values and assumptions used were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0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2920" w:type="dxa"/>
            <w:vAlign w:val="bottom"/>
            <w:tcBorders>
              <w:bottom w:val="single" w:sz="8" w:color="auto"/>
            </w:tcBorders>
            <w:gridSpan w:val="3"/>
            <w:shd w:val="clear" w:color="auto" w:fill="CCEEFF"/>
          </w:tcPr>
          <w:p>
            <w:pPr>
              <w:jc w:val="right"/>
              <w:ind w:right="823"/>
              <w:spacing w:after="0"/>
              <w:rPr>
                <w:sz w:val="20"/>
                <w:szCs w:val="20"/>
                <w:color w:val="auto"/>
              </w:rPr>
            </w:pPr>
            <w:r>
              <w:rPr>
                <w:rFonts w:ascii="Arial" w:cs="Arial" w:eastAsia="Arial" w:hAnsi="Arial"/>
                <w:sz w:val="15"/>
                <w:szCs w:val="15"/>
                <w:b w:val="1"/>
                <w:bCs w:val="1"/>
                <w:color w:val="auto"/>
              </w:rPr>
              <w:t>Nine Months Ended</w:t>
            </w:r>
          </w:p>
        </w:tc>
      </w:tr>
      <w:tr>
        <w:trPr>
          <w:trHeight w:val="148"/>
        </w:trPr>
        <w:tc>
          <w:tcPr>
            <w:tcW w:w="8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September 30,</w:t>
            </w:r>
          </w:p>
        </w:tc>
        <w:tc>
          <w:tcPr>
            <w:tcW w:w="320" w:type="dxa"/>
            <w:vAlign w:val="bottom"/>
          </w:tcPr>
          <w:p>
            <w:pPr>
              <w:spacing w:after="0"/>
              <w:rPr>
                <w:sz w:val="12"/>
                <w:szCs w:val="12"/>
                <w:color w:val="auto"/>
              </w:rPr>
            </w:pPr>
          </w:p>
        </w:tc>
        <w:tc>
          <w:tcPr>
            <w:tcW w:w="130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September 30,</w:t>
            </w:r>
          </w:p>
        </w:tc>
      </w:tr>
      <w:tr>
        <w:trPr>
          <w:trHeight w:val="206"/>
        </w:trPr>
        <w:tc>
          <w:tcPr>
            <w:tcW w:w="80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3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r>
      <w:tr>
        <w:trPr>
          <w:trHeight w:val="199"/>
        </w:trPr>
        <w:tc>
          <w:tcPr>
            <w:tcW w:w="8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Weighted average grant date fair value</w:t>
            </w: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64.42</w:t>
            </w: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115.76</w:t>
            </w:r>
          </w:p>
        </w:tc>
      </w:tr>
      <w:tr>
        <w:trPr>
          <w:trHeight w:val="205"/>
        </w:trPr>
        <w:tc>
          <w:tcPr>
            <w:tcW w:w="8000" w:type="dxa"/>
            <w:vAlign w:val="bottom"/>
          </w:tcPr>
          <w:p>
            <w:pPr>
              <w:ind w:left="20"/>
              <w:spacing w:after="0"/>
              <w:rPr>
                <w:sz w:val="20"/>
                <w:szCs w:val="20"/>
                <w:color w:val="auto"/>
              </w:rPr>
            </w:pPr>
            <w:r>
              <w:rPr>
                <w:rFonts w:ascii="Arial" w:cs="Arial" w:eastAsia="Arial" w:hAnsi="Arial"/>
                <w:sz w:val="15"/>
                <w:szCs w:val="15"/>
                <w:color w:val="auto"/>
              </w:rPr>
              <w:t>Assumptions:</w:t>
            </w: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7"/>
        </w:trPr>
        <w:tc>
          <w:tcPr>
            <w:tcW w:w="8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Expected volatility</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35 %</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36 %</w:t>
            </w:r>
          </w:p>
        </w:tc>
      </w:tr>
      <w:tr>
        <w:trPr>
          <w:trHeight w:val="205"/>
        </w:trPr>
        <w:tc>
          <w:tcPr>
            <w:tcW w:w="8000" w:type="dxa"/>
            <w:vAlign w:val="bottom"/>
          </w:tcPr>
          <w:p>
            <w:pPr>
              <w:ind w:left="20"/>
              <w:spacing w:after="0"/>
              <w:rPr>
                <w:sz w:val="20"/>
                <w:szCs w:val="20"/>
                <w:color w:val="auto"/>
              </w:rPr>
            </w:pPr>
            <w:r>
              <w:rPr>
                <w:rFonts w:ascii="Arial" w:cs="Arial" w:eastAsia="Arial" w:hAnsi="Arial"/>
                <w:sz w:val="15"/>
                <w:szCs w:val="15"/>
                <w:color w:val="auto"/>
              </w:rPr>
              <w:t>Dividend yield</w:t>
            </w:r>
          </w:p>
        </w:tc>
        <w:tc>
          <w:tcPr>
            <w:tcW w:w="3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 %</w:t>
            </w:r>
          </w:p>
        </w:tc>
        <w:tc>
          <w:tcPr>
            <w:tcW w:w="3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 %</w:t>
            </w:r>
          </w:p>
        </w:tc>
      </w:tr>
      <w:tr>
        <w:trPr>
          <w:trHeight w:val="207"/>
        </w:trPr>
        <w:tc>
          <w:tcPr>
            <w:tcW w:w="8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Risk-free interest rate</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4.00 %</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4.20 %</w:t>
            </w:r>
          </w:p>
        </w:tc>
      </w:tr>
      <w:tr>
        <w:trPr>
          <w:trHeight w:val="205"/>
        </w:trPr>
        <w:tc>
          <w:tcPr>
            <w:tcW w:w="80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Expected life</w:t>
            </w:r>
          </w:p>
        </w:tc>
        <w:tc>
          <w:tcPr>
            <w:tcW w:w="3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 years</w:t>
            </w:r>
          </w:p>
        </w:tc>
        <w:tc>
          <w:tcPr>
            <w:tcW w:w="3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 years</w:t>
            </w:r>
          </w:p>
        </w:tc>
      </w:tr>
    </w:tbl>
    <w:p>
      <w:pPr>
        <w:spacing w:after="0" w:line="310"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Expected volatility is based on the historical volatility of our common stock over a period equal to the expected term of the options; the expected life represents the weighted average period of time that options granted are expected to be outstanding given consideration to vesting schedules and our historical experience of past vesting and termination patterns. The risk-free rate is based on the U.S. government zero-coupon bonds yield curve in effect at time of the grant for periods corresponding with the expected life of the option.</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 xml:space="preserve">Restricted Share Units ("RSU") and Performance Share Units </w:t>
      </w:r>
      <w:r>
        <w:rPr>
          <w:rFonts w:ascii="Arial" w:cs="Arial" w:eastAsia="Arial" w:hAnsi="Arial"/>
          <w:sz w:val="15"/>
          <w:szCs w:val="15"/>
          <w:color w:val="auto"/>
        </w:rPr>
        <w:t>("PSU")</w:t>
      </w:r>
    </w:p>
    <w:p>
      <w:pPr>
        <w:spacing w:after="0" w:line="240"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5"/>
          <w:szCs w:val="15"/>
          <w:color w:val="auto"/>
        </w:rPr>
        <w:t>On April 23, 2013, the Company adopted the 2013 Employees Restricted Share Unit Plan (the "2013 RSU Plan") pursuant to which the Compensation and Organization Committee of the Company's Board of Directors may make awards under the plan to any employee, Director holding a salaried office or employment with the Company, or a Subsidiary. On May 11, 2015, the 2013 RSU Plan was amended and restated in order to increase the number of shares that can be issued under the RSU Plan by 2.5 million shares. Further, on October 25, 2024, the 2013 RSU Plan was amended and restated effective as of November 6, 2024 in order to increase the number of shares that can be issued under the RSU Plan by a further 2.5 million shares. Accordingly, an aggregate of 6.6 million ordinary shares have been reserved for issuance under the 2013 RSU Plan. The shares are awarded at par value and vest over a service period. Awards under the 2013 RSU Plan may be settled in cash or shares at the option of the Company. No awards may be granted under the 2013 RSU Plan after November 6, 2034.</w:t>
      </w:r>
    </w:p>
    <w:p>
      <w:pPr>
        <w:spacing w:after="0" w:line="198"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On April 30 2019, the Company approved the 2019 Consultants and Directors Restricted Share Unit Plan (the “2019 Consultants RSU Plan”), which was effective as of May 16, 2019, pursuant to which the Compensation and Organization Committee of the Company’s Board of Directors may select any consultant, adviser or non-executive Director retained by the Company, or a Subsidiary to receive an award under the plan. 250,000 ordinary shares have been reserved for issuance under the 2019 Consultants RSU Plan. The awards are at par value and vest over a service period. Awards granted to non-executive directors vest over twelve months. No awards may be granted under the 2019 Consultants RSU Plan after May 16, 2029.</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73660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24" w:name="page25"/>
    <w:bookmarkEnd w:id="24"/>
    <w:p>
      <w:pPr>
        <w:ind w:left="180"/>
        <w:spacing w:after="0"/>
        <w:rPr>
          <w:sz w:val="20"/>
          <w:szCs w:val="20"/>
          <w:color w:val="auto"/>
        </w:rPr>
      </w:pPr>
      <w:r>
        <w:rPr>
          <w:rFonts w:ascii="Arial" w:cs="Arial" w:eastAsia="Arial" w:hAnsi="Arial"/>
          <w:sz w:val="15"/>
          <w:szCs w:val="15"/>
          <w:color w:val="auto"/>
        </w:rPr>
        <w:t>The following table summarizes RSU and PSU activity for the nine months ended September 30, 2025:</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40" w:type="dxa"/>
            <w:vAlign w:val="bottom"/>
            <w:shd w:val="clear" w:color="auto" w:fill="CCEEFF"/>
          </w:tcPr>
          <w:p>
            <w:pPr>
              <w:spacing w:after="0"/>
              <w:rPr>
                <w:sz w:val="14"/>
                <w:szCs w:val="14"/>
                <w:color w:val="auto"/>
              </w:rPr>
            </w:pPr>
          </w:p>
        </w:tc>
        <w:tc>
          <w:tcPr>
            <w:tcW w:w="268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PSU</w:t>
            </w:r>
          </w:p>
        </w:tc>
        <w:tc>
          <w:tcPr>
            <w:tcW w:w="240" w:type="dxa"/>
            <w:vAlign w:val="bottom"/>
            <w:shd w:val="clear" w:color="auto" w:fill="CCEEFF"/>
          </w:tcPr>
          <w:p>
            <w:pPr>
              <w:spacing w:after="0"/>
              <w:rPr>
                <w:sz w:val="14"/>
                <w:szCs w:val="14"/>
                <w:color w:val="auto"/>
              </w:rPr>
            </w:pPr>
          </w:p>
        </w:tc>
        <w:tc>
          <w:tcPr>
            <w:tcW w:w="1460" w:type="dxa"/>
            <w:vAlign w:val="bottom"/>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PSU</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RSU</w:t>
            </w: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RSU</w:t>
            </w:r>
          </w:p>
        </w:tc>
        <w:tc>
          <w:tcPr>
            <w:tcW w:w="0" w:type="dxa"/>
            <w:vAlign w:val="bottom"/>
          </w:tcPr>
          <w:p>
            <w:pPr>
              <w:spacing w:after="0"/>
              <w:rPr>
                <w:sz w:val="1"/>
                <w:szCs w:val="1"/>
                <w:color w:val="auto"/>
              </w:rPr>
            </w:pPr>
          </w:p>
        </w:tc>
      </w:tr>
      <w:tr>
        <w:trPr>
          <w:trHeight w:val="155"/>
        </w:trPr>
        <w:tc>
          <w:tcPr>
            <w:tcW w:w="4240" w:type="dxa"/>
            <w:vAlign w:val="bottom"/>
            <w:shd w:val="clear" w:color="auto" w:fill="CCEEFF"/>
          </w:tcPr>
          <w:p>
            <w:pPr>
              <w:spacing w:after="0"/>
              <w:rPr>
                <w:sz w:val="13"/>
                <w:szCs w:val="13"/>
                <w:color w:val="auto"/>
              </w:rPr>
            </w:pPr>
          </w:p>
        </w:tc>
        <w:tc>
          <w:tcPr>
            <w:tcW w:w="2680" w:type="dxa"/>
            <w:vAlign w:val="bottom"/>
            <w:vMerge w:val="continue"/>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183"/>
              <w:spacing w:after="0" w:line="155" w:lineRule="exact"/>
              <w:rPr>
                <w:sz w:val="20"/>
                <w:szCs w:val="20"/>
                <w:color w:val="auto"/>
              </w:rPr>
            </w:pPr>
            <w:r>
              <w:rPr>
                <w:rFonts w:ascii="Arial" w:cs="Arial" w:eastAsia="Arial" w:hAnsi="Arial"/>
                <w:sz w:val="15"/>
                <w:szCs w:val="15"/>
                <w:b w:val="1"/>
                <w:bCs w:val="1"/>
                <w:color w:val="auto"/>
              </w:rPr>
              <w:t>Weighted</w:t>
            </w:r>
          </w:p>
        </w:tc>
        <w:tc>
          <w:tcPr>
            <w:tcW w:w="1180" w:type="dxa"/>
            <w:vAlign w:val="bottom"/>
            <w:vMerge w:val="continue"/>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Weighted</w:t>
            </w:r>
          </w:p>
        </w:tc>
        <w:tc>
          <w:tcPr>
            <w:tcW w:w="0" w:type="dxa"/>
            <w:vAlign w:val="bottom"/>
          </w:tcPr>
          <w:p>
            <w:pPr>
              <w:spacing w:after="0"/>
              <w:rPr>
                <w:sz w:val="1"/>
                <w:szCs w:val="1"/>
                <w:color w:val="auto"/>
              </w:rPr>
            </w:pPr>
          </w:p>
        </w:tc>
      </w:tr>
      <w:tr>
        <w:trPr>
          <w:trHeight w:val="155"/>
        </w:trPr>
        <w:tc>
          <w:tcPr>
            <w:tcW w:w="4240" w:type="dxa"/>
            <w:vAlign w:val="bottom"/>
            <w:shd w:val="clear" w:color="auto" w:fill="CCEEFF"/>
          </w:tcPr>
          <w:p>
            <w:pPr>
              <w:spacing w:after="0"/>
              <w:rPr>
                <w:sz w:val="13"/>
                <w:szCs w:val="13"/>
                <w:color w:val="auto"/>
              </w:rPr>
            </w:pPr>
          </w:p>
        </w:tc>
        <w:tc>
          <w:tcPr>
            <w:tcW w:w="268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Outstanding</w:t>
            </w:r>
          </w:p>
        </w:tc>
        <w:tc>
          <w:tcPr>
            <w:tcW w:w="24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183"/>
              <w:spacing w:after="0" w:line="155" w:lineRule="exact"/>
              <w:rPr>
                <w:sz w:val="20"/>
                <w:szCs w:val="20"/>
                <w:color w:val="auto"/>
              </w:rPr>
            </w:pPr>
            <w:r>
              <w:rPr>
                <w:rFonts w:ascii="Arial" w:cs="Arial" w:eastAsia="Arial" w:hAnsi="Arial"/>
                <w:sz w:val="15"/>
                <w:szCs w:val="15"/>
                <w:b w:val="1"/>
                <w:bCs w:val="1"/>
                <w:color w:val="auto"/>
              </w:rPr>
              <w:t>Average Grant</w:t>
            </w:r>
          </w:p>
        </w:tc>
        <w:tc>
          <w:tcPr>
            <w:tcW w:w="118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Outstanding</w:t>
            </w:r>
          </w:p>
        </w:tc>
        <w:tc>
          <w:tcPr>
            <w:tcW w:w="2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Average Grant</w:t>
            </w:r>
          </w:p>
        </w:tc>
        <w:tc>
          <w:tcPr>
            <w:tcW w:w="0" w:type="dxa"/>
            <w:vAlign w:val="bottom"/>
          </w:tcPr>
          <w:p>
            <w:pPr>
              <w:spacing w:after="0"/>
              <w:rPr>
                <w:sz w:val="1"/>
                <w:szCs w:val="1"/>
                <w:color w:val="auto"/>
              </w:rPr>
            </w:pPr>
          </w:p>
        </w:tc>
      </w:tr>
      <w:tr>
        <w:trPr>
          <w:trHeight w:val="155"/>
        </w:trPr>
        <w:tc>
          <w:tcPr>
            <w:tcW w:w="4240" w:type="dxa"/>
            <w:vAlign w:val="bottom"/>
            <w:shd w:val="clear" w:color="auto" w:fill="CCEEFF"/>
          </w:tcPr>
          <w:p>
            <w:pPr>
              <w:spacing w:after="0"/>
              <w:rPr>
                <w:sz w:val="13"/>
                <w:szCs w:val="13"/>
                <w:color w:val="auto"/>
              </w:rPr>
            </w:pPr>
          </w:p>
        </w:tc>
        <w:tc>
          <w:tcPr>
            <w:tcW w:w="268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Number of</w:t>
            </w:r>
          </w:p>
        </w:tc>
        <w:tc>
          <w:tcPr>
            <w:tcW w:w="24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183"/>
              <w:spacing w:after="0" w:line="155" w:lineRule="exact"/>
              <w:rPr>
                <w:sz w:val="20"/>
                <w:szCs w:val="20"/>
                <w:color w:val="auto"/>
              </w:rPr>
            </w:pPr>
            <w:r>
              <w:rPr>
                <w:rFonts w:ascii="Arial" w:cs="Arial" w:eastAsia="Arial" w:hAnsi="Arial"/>
                <w:sz w:val="15"/>
                <w:szCs w:val="15"/>
                <w:b w:val="1"/>
                <w:bCs w:val="1"/>
                <w:color w:val="auto"/>
              </w:rPr>
              <w:t>Date</w:t>
            </w:r>
          </w:p>
        </w:tc>
        <w:tc>
          <w:tcPr>
            <w:tcW w:w="118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Number of</w:t>
            </w:r>
          </w:p>
        </w:tc>
        <w:tc>
          <w:tcPr>
            <w:tcW w:w="2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Date</w:t>
            </w:r>
          </w:p>
        </w:tc>
        <w:tc>
          <w:tcPr>
            <w:tcW w:w="0" w:type="dxa"/>
            <w:vAlign w:val="bottom"/>
          </w:tcPr>
          <w:p>
            <w:pPr>
              <w:spacing w:after="0"/>
              <w:rPr>
                <w:sz w:val="1"/>
                <w:szCs w:val="1"/>
                <w:color w:val="auto"/>
              </w:rPr>
            </w:pPr>
          </w:p>
        </w:tc>
      </w:tr>
      <w:tr>
        <w:trPr>
          <w:trHeight w:val="206"/>
        </w:trPr>
        <w:tc>
          <w:tcPr>
            <w:tcW w:w="4240" w:type="dxa"/>
            <w:vAlign w:val="bottom"/>
            <w:tcBorders>
              <w:bottom w:val="single" w:sz="8" w:color="auto"/>
            </w:tcBorders>
            <w:shd w:val="clear" w:color="auto" w:fill="CCEEFF"/>
          </w:tcPr>
          <w:p>
            <w:pPr>
              <w:spacing w:after="0"/>
              <w:rPr>
                <w:sz w:val="17"/>
                <w:szCs w:val="17"/>
                <w:color w:val="auto"/>
              </w:rPr>
            </w:pPr>
          </w:p>
        </w:tc>
        <w:tc>
          <w:tcPr>
            <w:tcW w:w="2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Shares</w:t>
            </w:r>
          </w:p>
        </w:tc>
        <w:tc>
          <w:tcPr>
            <w:tcW w:w="2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Fair Value</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Shares</w:t>
            </w: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Fair Value</w:t>
            </w:r>
          </w:p>
        </w:tc>
        <w:tc>
          <w:tcPr>
            <w:tcW w:w="0" w:type="dxa"/>
            <w:vAlign w:val="bottom"/>
          </w:tcPr>
          <w:p>
            <w:pPr>
              <w:spacing w:after="0"/>
              <w:rPr>
                <w:sz w:val="1"/>
                <w:szCs w:val="1"/>
                <w:color w:val="auto"/>
              </w:rPr>
            </w:pPr>
          </w:p>
        </w:tc>
      </w:tr>
      <w:tr>
        <w:trPr>
          <w:trHeight w:val="198"/>
        </w:trPr>
        <w:tc>
          <w:tcPr>
            <w:tcW w:w="4240" w:type="dxa"/>
            <w:vAlign w:val="bottom"/>
          </w:tcPr>
          <w:p>
            <w:pPr>
              <w:ind w:left="20"/>
              <w:spacing w:after="0"/>
              <w:rPr>
                <w:sz w:val="20"/>
                <w:szCs w:val="20"/>
                <w:color w:val="auto"/>
              </w:rPr>
            </w:pPr>
            <w:r>
              <w:rPr>
                <w:rFonts w:ascii="Arial" w:cs="Arial" w:eastAsia="Arial" w:hAnsi="Arial"/>
                <w:sz w:val="15"/>
                <w:szCs w:val="15"/>
                <w:color w:val="auto"/>
              </w:rPr>
              <w:t>Outstanding at December 31, 2024</w:t>
            </w:r>
          </w:p>
        </w:tc>
        <w:tc>
          <w:tcPr>
            <w:tcW w:w="2680" w:type="dxa"/>
            <w:vAlign w:val="bottom"/>
          </w:tcPr>
          <w:p>
            <w:pPr>
              <w:jc w:val="right"/>
              <w:spacing w:after="0"/>
              <w:rPr>
                <w:sz w:val="20"/>
                <w:szCs w:val="20"/>
                <w:color w:val="auto"/>
              </w:rPr>
            </w:pPr>
            <w:r>
              <w:rPr>
                <w:rFonts w:ascii="Arial" w:cs="Arial" w:eastAsia="Arial" w:hAnsi="Arial"/>
                <w:sz w:val="15"/>
                <w:szCs w:val="15"/>
                <w:color w:val="auto"/>
              </w:rPr>
              <w:t>19,721</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460" w:type="dxa"/>
            <w:vAlign w:val="bottom"/>
          </w:tcPr>
          <w:p>
            <w:pPr>
              <w:jc w:val="right"/>
              <w:ind w:right="243"/>
              <w:spacing w:after="0"/>
              <w:rPr>
                <w:sz w:val="20"/>
                <w:szCs w:val="20"/>
                <w:color w:val="auto"/>
              </w:rPr>
            </w:pPr>
            <w:r>
              <w:rPr>
                <w:rFonts w:ascii="Arial" w:cs="Arial" w:eastAsia="Arial" w:hAnsi="Arial"/>
                <w:sz w:val="15"/>
                <w:szCs w:val="15"/>
                <w:color w:val="auto"/>
              </w:rPr>
              <w:t>280.76</w:t>
            </w:r>
          </w:p>
        </w:tc>
        <w:tc>
          <w:tcPr>
            <w:tcW w:w="1180" w:type="dxa"/>
            <w:vAlign w:val="bottom"/>
          </w:tcPr>
          <w:p>
            <w:pPr>
              <w:jc w:val="right"/>
              <w:spacing w:after="0"/>
              <w:rPr>
                <w:sz w:val="20"/>
                <w:szCs w:val="20"/>
                <w:color w:val="auto"/>
              </w:rPr>
            </w:pPr>
            <w:r>
              <w:rPr>
                <w:rFonts w:ascii="Arial" w:cs="Arial" w:eastAsia="Arial" w:hAnsi="Arial"/>
                <w:sz w:val="15"/>
                <w:szCs w:val="15"/>
                <w:color w:val="auto"/>
              </w:rPr>
              <w:t>647,589</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251.36</w:t>
            </w:r>
          </w:p>
        </w:tc>
        <w:tc>
          <w:tcPr>
            <w:tcW w:w="0" w:type="dxa"/>
            <w:vAlign w:val="bottom"/>
          </w:tcPr>
          <w:p>
            <w:pPr>
              <w:spacing w:after="0"/>
              <w:rPr>
                <w:sz w:val="1"/>
                <w:szCs w:val="1"/>
                <w:color w:val="auto"/>
              </w:rPr>
            </w:pPr>
          </w:p>
        </w:tc>
      </w:tr>
      <w:tr>
        <w:trPr>
          <w:trHeight w:val="207"/>
        </w:trPr>
        <w:tc>
          <w:tcPr>
            <w:tcW w:w="4240" w:type="dxa"/>
            <w:vAlign w:val="bottom"/>
            <w:shd w:val="clear" w:color="auto" w:fill="CCEEFF"/>
          </w:tcPr>
          <w:p>
            <w:pPr>
              <w:ind w:left="20"/>
              <w:spacing w:after="0"/>
              <w:rPr>
                <w:sz w:val="20"/>
                <w:szCs w:val="20"/>
                <w:color w:val="auto"/>
              </w:rPr>
            </w:pPr>
            <w:r>
              <w:rPr>
                <w:rFonts w:ascii="Arial" w:cs="Arial" w:eastAsia="Arial" w:hAnsi="Arial"/>
                <w:sz w:val="15"/>
                <w:szCs w:val="15"/>
                <w:color w:val="auto"/>
              </w:rPr>
              <w:t>Granted</w:t>
            </w:r>
          </w:p>
        </w:tc>
        <w:tc>
          <w:tcPr>
            <w:tcW w:w="2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41,359</w:t>
            </w: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46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rPr>
              <w:t>185.18</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1,160,760</w:t>
            </w: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130.85</w:t>
            </w:r>
          </w:p>
        </w:tc>
        <w:tc>
          <w:tcPr>
            <w:tcW w:w="0" w:type="dxa"/>
            <w:vAlign w:val="bottom"/>
          </w:tcPr>
          <w:p>
            <w:pPr>
              <w:spacing w:after="0"/>
              <w:rPr>
                <w:sz w:val="1"/>
                <w:szCs w:val="1"/>
                <w:color w:val="auto"/>
              </w:rPr>
            </w:pPr>
          </w:p>
        </w:tc>
      </w:tr>
      <w:tr>
        <w:trPr>
          <w:trHeight w:val="205"/>
        </w:trPr>
        <w:tc>
          <w:tcPr>
            <w:tcW w:w="4240" w:type="dxa"/>
            <w:vAlign w:val="bottom"/>
          </w:tcPr>
          <w:p>
            <w:pPr>
              <w:ind w:left="20"/>
              <w:spacing w:after="0"/>
              <w:rPr>
                <w:sz w:val="20"/>
                <w:szCs w:val="20"/>
                <w:color w:val="auto"/>
              </w:rPr>
            </w:pPr>
            <w:r>
              <w:rPr>
                <w:rFonts w:ascii="Arial" w:cs="Arial" w:eastAsia="Arial" w:hAnsi="Arial"/>
                <w:sz w:val="15"/>
                <w:szCs w:val="15"/>
                <w:color w:val="auto"/>
              </w:rPr>
              <w:t>Shares vested</w:t>
            </w:r>
          </w:p>
        </w:tc>
        <w:tc>
          <w:tcPr>
            <w:tcW w:w="2680" w:type="dxa"/>
            <w:vAlign w:val="bottom"/>
          </w:tcPr>
          <w:p>
            <w:pPr>
              <w:jc w:val="right"/>
              <w:spacing w:after="0"/>
              <w:rPr>
                <w:sz w:val="20"/>
                <w:szCs w:val="20"/>
                <w:color w:val="auto"/>
              </w:rPr>
            </w:pPr>
            <w:r>
              <w:rPr>
                <w:rFonts w:ascii="Arial" w:cs="Arial" w:eastAsia="Arial" w:hAnsi="Arial"/>
                <w:sz w:val="15"/>
                <w:szCs w:val="15"/>
                <w:color w:val="auto"/>
              </w:rPr>
              <w:t>(8,191)</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460" w:type="dxa"/>
            <w:vAlign w:val="bottom"/>
          </w:tcPr>
          <w:p>
            <w:pPr>
              <w:jc w:val="right"/>
              <w:ind w:right="243"/>
              <w:spacing w:after="0"/>
              <w:rPr>
                <w:sz w:val="20"/>
                <w:szCs w:val="20"/>
                <w:color w:val="auto"/>
              </w:rPr>
            </w:pPr>
            <w:r>
              <w:rPr>
                <w:rFonts w:ascii="Arial" w:cs="Arial" w:eastAsia="Arial" w:hAnsi="Arial"/>
                <w:sz w:val="15"/>
                <w:szCs w:val="15"/>
                <w:color w:val="auto"/>
              </w:rPr>
              <w:t>231.68</w:t>
            </w:r>
          </w:p>
        </w:tc>
        <w:tc>
          <w:tcPr>
            <w:tcW w:w="1180" w:type="dxa"/>
            <w:vAlign w:val="bottom"/>
          </w:tcPr>
          <w:p>
            <w:pPr>
              <w:jc w:val="right"/>
              <w:spacing w:after="0"/>
              <w:rPr>
                <w:sz w:val="20"/>
                <w:szCs w:val="20"/>
                <w:color w:val="auto"/>
              </w:rPr>
            </w:pPr>
            <w:r>
              <w:rPr>
                <w:rFonts w:ascii="Arial" w:cs="Arial" w:eastAsia="Arial" w:hAnsi="Arial"/>
                <w:sz w:val="15"/>
                <w:szCs w:val="15"/>
                <w:color w:val="auto"/>
              </w:rPr>
              <w:t>(33,317)</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273.99</w:t>
            </w:r>
          </w:p>
        </w:tc>
        <w:tc>
          <w:tcPr>
            <w:tcW w:w="0" w:type="dxa"/>
            <w:vAlign w:val="bottom"/>
          </w:tcPr>
          <w:p>
            <w:pPr>
              <w:spacing w:after="0"/>
              <w:rPr>
                <w:sz w:val="1"/>
                <w:szCs w:val="1"/>
                <w:color w:val="auto"/>
              </w:rPr>
            </w:pPr>
          </w:p>
        </w:tc>
      </w:tr>
      <w:tr>
        <w:trPr>
          <w:trHeight w:val="206"/>
        </w:trPr>
        <w:tc>
          <w:tcPr>
            <w:tcW w:w="4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Forfeited</w:t>
            </w:r>
          </w:p>
        </w:tc>
        <w:tc>
          <w:tcPr>
            <w:tcW w:w="2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(31,255)</w:t>
            </w:r>
          </w:p>
        </w:tc>
        <w:tc>
          <w:tcPr>
            <w:tcW w:w="2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460" w:type="dxa"/>
            <w:vAlign w:val="bottom"/>
            <w:tcBorders>
              <w:bottom w:val="single" w:sz="8" w:color="auto"/>
            </w:tcBorders>
            <w:shd w:val="clear" w:color="auto" w:fill="CCEEFF"/>
          </w:tcPr>
          <w:p>
            <w:pPr>
              <w:jc w:val="right"/>
              <w:ind w:right="243"/>
              <w:spacing w:after="0"/>
              <w:rPr>
                <w:sz w:val="20"/>
                <w:szCs w:val="20"/>
                <w:color w:val="auto"/>
              </w:rPr>
            </w:pPr>
            <w:r>
              <w:rPr>
                <w:rFonts w:ascii="Arial" w:cs="Arial" w:eastAsia="Arial" w:hAnsi="Arial"/>
                <w:sz w:val="15"/>
                <w:szCs w:val="15"/>
                <w:color w:val="auto"/>
              </w:rPr>
              <w:t>232.28</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(125,578)</w:t>
            </w:r>
          </w:p>
        </w:tc>
        <w:tc>
          <w:tcPr>
            <w:tcW w:w="2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216.40</w:t>
            </w:r>
          </w:p>
        </w:tc>
        <w:tc>
          <w:tcPr>
            <w:tcW w:w="0" w:type="dxa"/>
            <w:vAlign w:val="bottom"/>
          </w:tcPr>
          <w:p>
            <w:pPr>
              <w:spacing w:after="0"/>
              <w:rPr>
                <w:sz w:val="1"/>
                <w:szCs w:val="1"/>
                <w:color w:val="auto"/>
              </w:rPr>
            </w:pPr>
          </w:p>
        </w:tc>
      </w:tr>
      <w:tr>
        <w:trPr>
          <w:trHeight w:val="199"/>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Outstanding at September 30, 2025</w:t>
            </w:r>
          </w:p>
        </w:tc>
        <w:tc>
          <w:tcPr>
            <w:tcW w:w="2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21,634</w:t>
            </w: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146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rPr>
              <w:t>186.66</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1,649,454</w:t>
            </w: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168.76</w:t>
            </w:r>
          </w:p>
        </w:tc>
        <w:tc>
          <w:tcPr>
            <w:tcW w:w="0" w:type="dxa"/>
            <w:vAlign w:val="bottom"/>
          </w:tcPr>
          <w:p>
            <w:pPr>
              <w:spacing w:after="0"/>
              <w:rPr>
                <w:sz w:val="1"/>
                <w:szCs w:val="1"/>
                <w:color w:val="auto"/>
              </w:rPr>
            </w:pPr>
          </w:p>
        </w:tc>
      </w:tr>
      <w:tr>
        <w:trPr>
          <w:trHeight w:val="20"/>
        </w:trPr>
        <w:tc>
          <w:tcPr>
            <w:tcW w:w="424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fair value of RSUs vested during the nine months ended September 30, 2025 totaled $9.1 million (September 30, 2024: $25.6 million). The fair value of</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RSUs granted during the nine months ended September 30, 2025 totaled $151.9 million (September 30, 2024: $78.2 million). Of the fair value of RSUs granted</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during the nine months ended September 30, 2025, $73.9 million (September 30, 2024: $1.5 million) vest over 12 months.</w:t>
      </w:r>
    </w:p>
    <w:p>
      <w:pPr>
        <w:spacing w:after="0" w:line="239"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The fair value of PSUs vested during the nine months ended September 30, 2025 totaled $1.9 million (September 30, 2024: $1.8 million). The PSUs vest based on service and specified EPS targets over the periods 2022 - 2024, 2023 - 2025, 2024 - 2026 and 2025 - 2027. Depending on the amount of EPS from 2022 to 2027, up to an additional 62,427 PSUs may also be granted.</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Stock compensation expense</w:t>
      </w:r>
    </w:p>
    <w:p>
      <w:pPr>
        <w:spacing w:after="0" w:line="240" w:lineRule="exact"/>
        <w:rPr>
          <w:sz w:val="20"/>
          <w:szCs w:val="20"/>
          <w:color w:val="auto"/>
        </w:rPr>
      </w:pPr>
    </w:p>
    <w:p>
      <w:pPr>
        <w:ind w:left="620"/>
        <w:spacing w:after="0"/>
        <w:rPr>
          <w:sz w:val="20"/>
          <w:szCs w:val="20"/>
          <w:color w:val="auto"/>
        </w:rPr>
      </w:pPr>
      <w:r>
        <w:rPr>
          <w:rFonts w:ascii="Arial" w:cs="Arial" w:eastAsia="Arial" w:hAnsi="Arial"/>
          <w:sz w:val="15"/>
          <w:szCs w:val="15"/>
          <w:color w:val="auto"/>
        </w:rPr>
        <w:t>Stock compensation expense for the three and nine months ended September 30, 2025 and September 30, 2024 has been allocated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74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3080" w:type="dxa"/>
            <w:vAlign w:val="bottom"/>
            <w:tcBorders>
              <w:bottom w:val="single" w:sz="8" w:color="auto"/>
            </w:tcBorders>
            <w:gridSpan w:val="3"/>
            <w:shd w:val="clear" w:color="auto" w:fill="CCEEFF"/>
          </w:tcPr>
          <w:p>
            <w:pPr>
              <w:jc w:val="right"/>
              <w:ind w:right="903"/>
              <w:spacing w:after="0"/>
              <w:rPr>
                <w:sz w:val="20"/>
                <w:szCs w:val="20"/>
                <w:color w:val="auto"/>
              </w:rPr>
            </w:pPr>
            <w:r>
              <w:rPr>
                <w:rFonts w:ascii="Arial" w:cs="Arial" w:eastAsia="Arial" w:hAnsi="Arial"/>
                <w:sz w:val="15"/>
                <w:szCs w:val="15"/>
                <w:b w:val="1"/>
                <w:bCs w:val="1"/>
                <w:color w:val="auto"/>
              </w:rPr>
              <w:t>Three Months Ended</w:t>
            </w:r>
          </w:p>
        </w:tc>
        <w:tc>
          <w:tcPr>
            <w:tcW w:w="420" w:type="dxa"/>
            <w:vAlign w:val="bottom"/>
            <w:tcBorders>
              <w:bottom w:val="single" w:sz="8" w:color="auto"/>
            </w:tcBorders>
            <w:shd w:val="clear" w:color="auto" w:fill="CCEEFF"/>
          </w:tcPr>
          <w:p>
            <w:pPr>
              <w:spacing w:after="0"/>
              <w:rPr>
                <w:sz w:val="17"/>
                <w:szCs w:val="17"/>
                <w:color w:val="auto"/>
              </w:rPr>
            </w:pPr>
          </w:p>
        </w:tc>
        <w:tc>
          <w:tcPr>
            <w:tcW w:w="2640" w:type="dxa"/>
            <w:vAlign w:val="bottom"/>
            <w:tcBorders>
              <w:bottom w:val="single" w:sz="8" w:color="auto"/>
            </w:tcBorders>
            <w:gridSpan w:val="3"/>
            <w:shd w:val="clear" w:color="auto" w:fill="CCEEFF"/>
          </w:tcPr>
          <w:p>
            <w:pPr>
              <w:jc w:val="right"/>
              <w:ind w:right="703"/>
              <w:spacing w:after="0"/>
              <w:rPr>
                <w:sz w:val="20"/>
                <w:szCs w:val="20"/>
                <w:color w:val="auto"/>
              </w:rPr>
            </w:pPr>
            <w:r>
              <w:rPr>
                <w:rFonts w:ascii="Arial" w:cs="Arial" w:eastAsia="Arial" w:hAnsi="Arial"/>
                <w:sz w:val="15"/>
                <w:szCs w:val="15"/>
                <w:b w:val="1"/>
                <w:bCs w:val="1"/>
                <w:color w:val="auto"/>
              </w:rPr>
              <w:t>Nine Months Ended</w:t>
            </w:r>
          </w:p>
        </w:tc>
      </w:tr>
      <w:tr>
        <w:trPr>
          <w:trHeight w:val="148"/>
        </w:trPr>
        <w:tc>
          <w:tcPr>
            <w:tcW w:w="4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September 30,</w:t>
            </w:r>
          </w:p>
        </w:tc>
        <w:tc>
          <w:tcPr>
            <w:tcW w:w="360" w:type="dxa"/>
            <w:vAlign w:val="bottom"/>
          </w:tcPr>
          <w:p>
            <w:pPr>
              <w:spacing w:after="0"/>
              <w:rPr>
                <w:sz w:val="12"/>
                <w:szCs w:val="12"/>
                <w:color w:val="auto"/>
              </w:rPr>
            </w:pPr>
          </w:p>
        </w:tc>
        <w:tc>
          <w:tcPr>
            <w:tcW w:w="138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September 30,</w:t>
            </w:r>
          </w:p>
        </w:tc>
        <w:tc>
          <w:tcPr>
            <w:tcW w:w="420" w:type="dxa"/>
            <w:vAlign w:val="bottom"/>
          </w:tcPr>
          <w:p>
            <w:pPr>
              <w:spacing w:after="0"/>
              <w:rPr>
                <w:sz w:val="12"/>
                <w:szCs w:val="12"/>
                <w:color w:val="auto"/>
              </w:rPr>
            </w:pPr>
          </w:p>
        </w:tc>
        <w:tc>
          <w:tcPr>
            <w:tcW w:w="114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September 30,</w:t>
            </w:r>
          </w:p>
        </w:tc>
        <w:tc>
          <w:tcPr>
            <w:tcW w:w="260" w:type="dxa"/>
            <w:vAlign w:val="bottom"/>
          </w:tcPr>
          <w:p>
            <w:pPr>
              <w:spacing w:after="0"/>
              <w:rPr>
                <w:sz w:val="12"/>
                <w:szCs w:val="12"/>
                <w:color w:val="auto"/>
              </w:rPr>
            </w:pPr>
          </w:p>
        </w:tc>
        <w:tc>
          <w:tcPr>
            <w:tcW w:w="124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September 30,</w:t>
            </w:r>
          </w:p>
        </w:tc>
      </w:tr>
      <w:tr>
        <w:trPr>
          <w:trHeight w:val="206"/>
        </w:trPr>
        <w:tc>
          <w:tcPr>
            <w:tcW w:w="47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3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4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r>
      <w:tr>
        <w:trPr>
          <w:trHeight w:val="199"/>
        </w:trPr>
        <w:tc>
          <w:tcPr>
            <w:tcW w:w="4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(in thousands)</w:t>
            </w: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5"/>
        </w:trPr>
        <w:tc>
          <w:tcPr>
            <w:tcW w:w="4740" w:type="dxa"/>
            <w:vAlign w:val="bottom"/>
          </w:tcPr>
          <w:p>
            <w:pPr>
              <w:ind w:left="20"/>
              <w:spacing w:after="0"/>
              <w:rPr>
                <w:sz w:val="20"/>
                <w:szCs w:val="20"/>
                <w:color w:val="auto"/>
              </w:rPr>
            </w:pPr>
            <w:r>
              <w:rPr>
                <w:rFonts w:ascii="Arial" w:cs="Arial" w:eastAsia="Arial" w:hAnsi="Arial"/>
                <w:sz w:val="15"/>
                <w:szCs w:val="15"/>
                <w:color w:val="auto"/>
              </w:rPr>
              <w:t>Direct costs</w:t>
            </w: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ind w:right="3"/>
              <w:spacing w:after="0"/>
              <w:rPr>
                <w:sz w:val="20"/>
                <w:szCs w:val="20"/>
                <w:color w:val="auto"/>
              </w:rPr>
            </w:pPr>
            <w:r>
              <w:rPr>
                <w:rFonts w:ascii="Arial" w:cs="Arial" w:eastAsia="Arial" w:hAnsi="Arial"/>
                <w:sz w:val="15"/>
                <w:szCs w:val="15"/>
                <w:color w:val="auto"/>
              </w:rPr>
              <w:t>21,479</w:t>
            </w: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ind w:right="43"/>
              <w:spacing w:after="0"/>
              <w:rPr>
                <w:sz w:val="20"/>
                <w:szCs w:val="20"/>
                <w:color w:val="auto"/>
              </w:rPr>
            </w:pPr>
            <w:r>
              <w:rPr>
                <w:rFonts w:ascii="Arial" w:cs="Arial" w:eastAsia="Arial" w:hAnsi="Arial"/>
                <w:sz w:val="15"/>
                <w:szCs w:val="15"/>
                <w:color w:val="auto"/>
              </w:rPr>
              <w:t>7,745</w:t>
            </w:r>
          </w:p>
        </w:tc>
        <w:tc>
          <w:tcPr>
            <w:tcW w:w="420" w:type="dxa"/>
            <w:vAlign w:val="bottom"/>
          </w:tcPr>
          <w:p>
            <w:pPr>
              <w:jc w:val="right"/>
              <w:ind w:right="183"/>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3"/>
              <w:spacing w:after="0"/>
              <w:rPr>
                <w:sz w:val="20"/>
                <w:szCs w:val="20"/>
                <w:color w:val="auto"/>
              </w:rPr>
            </w:pPr>
            <w:r>
              <w:rPr>
                <w:rFonts w:ascii="Arial" w:cs="Arial" w:eastAsia="Arial" w:hAnsi="Arial"/>
                <w:sz w:val="15"/>
                <w:szCs w:val="15"/>
                <w:color w:val="auto"/>
              </w:rPr>
              <w:t>36,150</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21,765</w:t>
            </w:r>
          </w:p>
        </w:tc>
      </w:tr>
      <w:tr>
        <w:trPr>
          <w:trHeight w:val="206"/>
        </w:trPr>
        <w:tc>
          <w:tcPr>
            <w:tcW w:w="4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Selling, general and administrative</w:t>
            </w:r>
          </w:p>
        </w:tc>
        <w:tc>
          <w:tcPr>
            <w:tcW w:w="3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24,712</w:t>
            </w:r>
          </w:p>
        </w:tc>
        <w:tc>
          <w:tcPr>
            <w:tcW w:w="36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5,293</w:t>
            </w:r>
          </w:p>
        </w:tc>
        <w:tc>
          <w:tcPr>
            <w:tcW w:w="4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37,768</w:t>
            </w:r>
          </w:p>
        </w:tc>
        <w:tc>
          <w:tcPr>
            <w:tcW w:w="2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19,418</w:t>
            </w:r>
          </w:p>
        </w:tc>
      </w:tr>
      <w:tr>
        <w:trPr>
          <w:trHeight w:val="199"/>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Total</w:t>
            </w: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46,191</w:t>
            </w: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13,038</w:t>
            </w:r>
          </w:p>
        </w:tc>
        <w:tc>
          <w:tcPr>
            <w:tcW w:w="42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73,918</w:t>
            </w:r>
          </w:p>
        </w:tc>
        <w:tc>
          <w:tcPr>
            <w:tcW w:w="2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41,183</w:t>
            </w:r>
          </w:p>
        </w:tc>
      </w:tr>
      <w:tr>
        <w:trPr>
          <w:trHeight w:val="20"/>
        </w:trPr>
        <w:tc>
          <w:tcPr>
            <w:tcW w:w="4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73660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25" w:name="page26"/>
    <w:bookmarkEnd w:id="25"/>
    <w:p>
      <w:pPr>
        <w:spacing w:after="0"/>
        <w:rPr>
          <w:sz w:val="20"/>
          <w:szCs w:val="20"/>
          <w:color w:val="auto"/>
        </w:rPr>
      </w:pPr>
      <w:r>
        <w:rPr>
          <w:rFonts w:ascii="Arial" w:cs="Arial" w:eastAsia="Arial" w:hAnsi="Arial"/>
          <w:sz w:val="15"/>
          <w:szCs w:val="15"/>
          <w:b w:val="1"/>
          <w:bCs w:val="1"/>
          <w:color w:val="auto"/>
        </w:rPr>
        <w:t>14. Share capital</w:t>
      </w:r>
    </w:p>
    <w:p>
      <w:pPr>
        <w:spacing w:after="0" w:line="200" w:lineRule="exact"/>
        <w:rPr>
          <w:sz w:val="20"/>
          <w:szCs w:val="20"/>
          <w:color w:val="auto"/>
        </w:rPr>
      </w:pPr>
    </w:p>
    <w:p>
      <w:pPr>
        <w:spacing w:after="0" w:line="274"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On February 18, 2025, the Company's Board of Directors authorized an additional share repurchase program under which the Company may repurchase up to $750.0 million of the outstanding ordinary shares of the Company by way of redemption. Along with unutilized amounts under previous authorizations, this authorized the Company as of February 18, 2025 to repurchase up to $1.0 billion worth of ordinary shares.</w:t>
      </w:r>
    </w:p>
    <w:p>
      <w:pPr>
        <w:spacing w:after="0" w:line="191"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During March 2025, 1,360,537 shares were redeemed by the Company under our repurchase program for a total consideration of $250.0 million. During June 2025, a further 1,717,181 shares were redeemed by the Company under our repurchase program for a total consideration of $250.0 million.</w:t>
      </w:r>
    </w:p>
    <w:p>
      <w:pPr>
        <w:spacing w:after="0" w:line="170"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On July 22, 2025, the Company's Board of Directors authorized a further additional share repurchase program under which the Company could repurchase up to $500.0 million of the outstanding ordinary shares of the Company by way of redemption.</w:t>
      </w:r>
    </w:p>
    <w:p>
      <w:pPr>
        <w:spacing w:after="0" w:line="15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During August and September 2025, 1,426,612 shares were redeemed by the Company under our repurchase program for a total consideration of $250.0</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million.</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As of October 23, 2025, the Company has remaining authorization to repurchase up to $750.0 million of ordinary shares under the repurchase program.</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920" w:type="dxa"/>
            <w:vAlign w:val="bottom"/>
            <w:shd w:val="clear" w:color="auto" w:fill="CCEEFF"/>
          </w:tcPr>
          <w:p>
            <w:pPr>
              <w:spacing w:after="0"/>
              <w:rPr>
                <w:sz w:val="14"/>
                <w:szCs w:val="14"/>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Total number</w:t>
            </w:r>
          </w:p>
        </w:tc>
        <w:tc>
          <w:tcPr>
            <w:tcW w:w="1940" w:type="dxa"/>
            <w:vAlign w:val="bottom"/>
            <w:shd w:val="clear" w:color="auto" w:fill="CCEEFF"/>
          </w:tcPr>
          <w:p>
            <w:pPr>
              <w:jc w:val="right"/>
              <w:ind w:right="163"/>
              <w:spacing w:after="0"/>
              <w:rPr>
                <w:sz w:val="20"/>
                <w:szCs w:val="20"/>
                <w:color w:val="auto"/>
              </w:rPr>
            </w:pPr>
            <w:r>
              <w:rPr>
                <w:rFonts w:ascii="Arial" w:cs="Arial" w:eastAsia="Arial" w:hAnsi="Arial"/>
                <w:sz w:val="15"/>
                <w:szCs w:val="15"/>
                <w:b w:val="1"/>
                <w:bCs w:val="1"/>
                <w:color w:val="auto"/>
              </w:rPr>
              <w:t>Average price paid per</w:t>
            </w:r>
          </w:p>
        </w:tc>
        <w:tc>
          <w:tcPr>
            <w:tcW w:w="19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Total number</w:t>
            </w:r>
          </w:p>
        </w:tc>
        <w:tc>
          <w:tcPr>
            <w:tcW w:w="22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Approximate dollar value of</w:t>
            </w:r>
          </w:p>
        </w:tc>
      </w:tr>
      <w:tr>
        <w:trPr>
          <w:trHeight w:val="155"/>
        </w:trPr>
        <w:tc>
          <w:tcPr>
            <w:tcW w:w="2920" w:type="dxa"/>
            <w:vAlign w:val="bottom"/>
            <w:shd w:val="clear" w:color="auto" w:fill="CCEEFF"/>
          </w:tcPr>
          <w:p>
            <w:pPr>
              <w:spacing w:after="0"/>
              <w:rPr>
                <w:sz w:val="13"/>
                <w:szCs w:val="13"/>
                <w:color w:val="auto"/>
              </w:rPr>
            </w:pPr>
          </w:p>
        </w:tc>
        <w:tc>
          <w:tcPr>
            <w:tcW w:w="216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of shares purchased</w:t>
            </w:r>
          </w:p>
        </w:tc>
        <w:tc>
          <w:tcPr>
            <w:tcW w:w="388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share of shares purchased as part</w:t>
            </w:r>
          </w:p>
        </w:tc>
        <w:tc>
          <w:tcPr>
            <w:tcW w:w="228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shares that may yet be</w:t>
            </w:r>
          </w:p>
        </w:tc>
      </w:tr>
      <w:tr>
        <w:trPr>
          <w:trHeight w:val="155"/>
        </w:trPr>
        <w:tc>
          <w:tcPr>
            <w:tcW w:w="2920" w:type="dxa"/>
            <w:vAlign w:val="bottom"/>
            <w:shd w:val="clear" w:color="auto" w:fill="CCEEFF"/>
          </w:tcPr>
          <w:p>
            <w:pPr>
              <w:spacing w:after="0"/>
              <w:rPr>
                <w:sz w:val="13"/>
                <w:szCs w:val="13"/>
                <w:color w:val="auto"/>
              </w:rPr>
            </w:pPr>
          </w:p>
        </w:tc>
        <w:tc>
          <w:tcPr>
            <w:tcW w:w="216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194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of publicly announced</w:t>
            </w:r>
          </w:p>
        </w:tc>
        <w:tc>
          <w:tcPr>
            <w:tcW w:w="228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purchased under the program</w:t>
            </w:r>
          </w:p>
        </w:tc>
      </w:tr>
      <w:tr>
        <w:trPr>
          <w:trHeight w:val="206"/>
        </w:trPr>
        <w:tc>
          <w:tcPr>
            <w:tcW w:w="2920" w:type="dxa"/>
            <w:vAlign w:val="bottom"/>
            <w:tcBorders>
              <w:bottom w:val="single" w:sz="8" w:color="auto"/>
            </w:tcBorders>
            <w:shd w:val="clear" w:color="auto" w:fill="CCEEFF"/>
          </w:tcPr>
          <w:p>
            <w:pPr>
              <w:spacing w:after="0"/>
              <w:rPr>
                <w:sz w:val="17"/>
                <w:szCs w:val="17"/>
                <w:color w:val="auto"/>
              </w:rPr>
            </w:pPr>
          </w:p>
        </w:tc>
        <w:tc>
          <w:tcPr>
            <w:tcW w:w="2160" w:type="dxa"/>
            <w:vAlign w:val="bottom"/>
            <w:tcBorders>
              <w:bottom w:val="single" w:sz="8" w:color="auto"/>
            </w:tcBorders>
            <w:shd w:val="clear" w:color="auto" w:fill="CCEEFF"/>
          </w:tcPr>
          <w:p>
            <w:pPr>
              <w:spacing w:after="0"/>
              <w:rPr>
                <w:sz w:val="17"/>
                <w:szCs w:val="17"/>
                <w:color w:val="auto"/>
              </w:rPr>
            </w:pPr>
          </w:p>
        </w:tc>
        <w:tc>
          <w:tcPr>
            <w:tcW w:w="1940" w:type="dxa"/>
            <w:vAlign w:val="bottom"/>
            <w:tcBorders>
              <w:bottom w:val="single" w:sz="8" w:color="auto"/>
            </w:tcBorders>
            <w:shd w:val="clear" w:color="auto" w:fill="CCEEFF"/>
          </w:tcPr>
          <w:p>
            <w:pPr>
              <w:spacing w:after="0"/>
              <w:rPr>
                <w:sz w:val="17"/>
                <w:szCs w:val="17"/>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program</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(in millions)</w:t>
            </w:r>
          </w:p>
        </w:tc>
      </w:tr>
      <w:tr>
        <w:trPr>
          <w:trHeight w:val="198"/>
        </w:trPr>
        <w:tc>
          <w:tcPr>
            <w:tcW w:w="2920" w:type="dxa"/>
            <w:vAlign w:val="bottom"/>
          </w:tcPr>
          <w:p>
            <w:pPr>
              <w:ind w:left="20"/>
              <w:spacing w:after="0"/>
              <w:rPr>
                <w:sz w:val="20"/>
                <w:szCs w:val="20"/>
                <w:color w:val="auto"/>
              </w:rPr>
            </w:pPr>
            <w:r>
              <w:rPr>
                <w:rFonts w:ascii="Arial" w:cs="Arial" w:eastAsia="Arial" w:hAnsi="Arial"/>
                <w:sz w:val="15"/>
                <w:szCs w:val="15"/>
                <w:color w:val="auto"/>
              </w:rPr>
              <w:t>March 3/12/2025 - 3/19/2025</w:t>
            </w:r>
          </w:p>
        </w:tc>
        <w:tc>
          <w:tcPr>
            <w:tcW w:w="2160" w:type="dxa"/>
            <w:vAlign w:val="bottom"/>
          </w:tcPr>
          <w:p>
            <w:pPr>
              <w:jc w:val="right"/>
              <w:ind w:right="23"/>
              <w:spacing w:after="0"/>
              <w:rPr>
                <w:sz w:val="20"/>
                <w:szCs w:val="20"/>
                <w:color w:val="auto"/>
              </w:rPr>
            </w:pPr>
            <w:r>
              <w:rPr>
                <w:rFonts w:ascii="Arial" w:cs="Arial" w:eastAsia="Arial" w:hAnsi="Arial"/>
                <w:sz w:val="15"/>
                <w:szCs w:val="15"/>
                <w:color w:val="auto"/>
              </w:rPr>
              <w:t>1,360,537</w:t>
            </w:r>
          </w:p>
        </w:tc>
        <w:tc>
          <w:tcPr>
            <w:tcW w:w="1940" w:type="dxa"/>
            <w:vAlign w:val="bottom"/>
          </w:tcPr>
          <w:p>
            <w:pPr>
              <w:jc w:val="right"/>
              <w:ind w:right="223"/>
              <w:spacing w:after="0"/>
              <w:rPr>
                <w:sz w:val="20"/>
                <w:szCs w:val="20"/>
                <w:color w:val="auto"/>
              </w:rPr>
            </w:pPr>
            <w:r>
              <w:rPr>
                <w:rFonts w:ascii="Arial" w:cs="Arial" w:eastAsia="Arial" w:hAnsi="Arial"/>
                <w:sz w:val="15"/>
                <w:szCs w:val="15"/>
                <w:color w:val="auto"/>
              </w:rPr>
              <w:t>$183.75</w:t>
            </w:r>
          </w:p>
        </w:tc>
        <w:tc>
          <w:tcPr>
            <w:tcW w:w="1940" w:type="dxa"/>
            <w:vAlign w:val="bottom"/>
          </w:tcPr>
          <w:p>
            <w:pPr>
              <w:jc w:val="right"/>
              <w:ind w:right="43"/>
              <w:spacing w:after="0"/>
              <w:rPr>
                <w:sz w:val="20"/>
                <w:szCs w:val="20"/>
                <w:color w:val="auto"/>
              </w:rPr>
            </w:pPr>
            <w:r>
              <w:rPr>
                <w:rFonts w:ascii="Arial" w:cs="Arial" w:eastAsia="Arial" w:hAnsi="Arial"/>
                <w:sz w:val="15"/>
                <w:szCs w:val="15"/>
                <w:color w:val="auto"/>
              </w:rPr>
              <w:t>1,360,537</w:t>
            </w:r>
          </w:p>
        </w:tc>
        <w:tc>
          <w:tcPr>
            <w:tcW w:w="2280" w:type="dxa"/>
            <w:vAlign w:val="bottom"/>
          </w:tcPr>
          <w:p>
            <w:pPr>
              <w:jc w:val="right"/>
              <w:spacing w:after="0"/>
              <w:rPr>
                <w:sz w:val="20"/>
                <w:szCs w:val="20"/>
                <w:color w:val="auto"/>
              </w:rPr>
            </w:pPr>
            <w:r>
              <w:rPr>
                <w:rFonts w:ascii="Arial" w:cs="Arial" w:eastAsia="Arial" w:hAnsi="Arial"/>
                <w:sz w:val="15"/>
                <w:szCs w:val="15"/>
                <w:color w:val="auto"/>
              </w:rPr>
              <w:t>$750.0</w:t>
            </w:r>
          </w:p>
        </w:tc>
      </w:tr>
      <w:tr>
        <w:trPr>
          <w:trHeight w:val="207"/>
        </w:trPr>
        <w:tc>
          <w:tcPr>
            <w:tcW w:w="2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June 6/13/2025 - 6/23/2025</w:t>
            </w:r>
          </w:p>
        </w:tc>
        <w:tc>
          <w:tcPr>
            <w:tcW w:w="21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1,717,181</w:t>
            </w:r>
          </w:p>
        </w:tc>
        <w:tc>
          <w:tcPr>
            <w:tcW w:w="194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rPr>
              <w:t>$145.59</w:t>
            </w:r>
          </w:p>
        </w:tc>
        <w:tc>
          <w:tcPr>
            <w:tcW w:w="19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1,717,181</w:t>
            </w:r>
          </w:p>
        </w:tc>
        <w:tc>
          <w:tcPr>
            <w:tcW w:w="2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$500.0</w:t>
            </w:r>
          </w:p>
        </w:tc>
      </w:tr>
      <w:tr>
        <w:trPr>
          <w:trHeight w:val="205"/>
        </w:trPr>
        <w:tc>
          <w:tcPr>
            <w:tcW w:w="2920" w:type="dxa"/>
            <w:vAlign w:val="bottom"/>
          </w:tcPr>
          <w:p>
            <w:pPr>
              <w:ind w:left="20"/>
              <w:spacing w:after="0"/>
              <w:rPr>
                <w:sz w:val="20"/>
                <w:szCs w:val="20"/>
                <w:color w:val="auto"/>
              </w:rPr>
            </w:pPr>
            <w:r>
              <w:rPr>
                <w:rFonts w:ascii="Arial" w:cs="Arial" w:eastAsia="Arial" w:hAnsi="Arial"/>
                <w:sz w:val="15"/>
                <w:szCs w:val="15"/>
                <w:color w:val="auto"/>
              </w:rPr>
              <w:t>August 8/15/2025 - 8/20/2025</w:t>
            </w:r>
          </w:p>
        </w:tc>
        <w:tc>
          <w:tcPr>
            <w:tcW w:w="2160" w:type="dxa"/>
            <w:vAlign w:val="bottom"/>
          </w:tcPr>
          <w:p>
            <w:pPr>
              <w:jc w:val="right"/>
              <w:ind w:right="23"/>
              <w:spacing w:after="0"/>
              <w:rPr>
                <w:sz w:val="20"/>
                <w:szCs w:val="20"/>
                <w:color w:val="auto"/>
              </w:rPr>
            </w:pPr>
            <w:r>
              <w:rPr>
                <w:rFonts w:ascii="Arial" w:cs="Arial" w:eastAsia="Arial" w:hAnsi="Arial"/>
                <w:sz w:val="15"/>
                <w:szCs w:val="15"/>
                <w:color w:val="auto"/>
              </w:rPr>
              <w:t>560,100</w:t>
            </w:r>
          </w:p>
        </w:tc>
        <w:tc>
          <w:tcPr>
            <w:tcW w:w="1940" w:type="dxa"/>
            <w:vAlign w:val="bottom"/>
          </w:tcPr>
          <w:p>
            <w:pPr>
              <w:jc w:val="right"/>
              <w:ind w:right="223"/>
              <w:spacing w:after="0"/>
              <w:rPr>
                <w:sz w:val="20"/>
                <w:szCs w:val="20"/>
                <w:color w:val="auto"/>
              </w:rPr>
            </w:pPr>
            <w:r>
              <w:rPr>
                <w:rFonts w:ascii="Arial" w:cs="Arial" w:eastAsia="Arial" w:hAnsi="Arial"/>
                <w:sz w:val="15"/>
                <w:szCs w:val="15"/>
                <w:color w:val="auto"/>
              </w:rPr>
              <w:t>$178.20</w:t>
            </w:r>
          </w:p>
        </w:tc>
        <w:tc>
          <w:tcPr>
            <w:tcW w:w="1940" w:type="dxa"/>
            <w:vAlign w:val="bottom"/>
          </w:tcPr>
          <w:p>
            <w:pPr>
              <w:jc w:val="right"/>
              <w:ind w:right="43"/>
              <w:spacing w:after="0"/>
              <w:rPr>
                <w:sz w:val="20"/>
                <w:szCs w:val="20"/>
                <w:color w:val="auto"/>
              </w:rPr>
            </w:pPr>
            <w:r>
              <w:rPr>
                <w:rFonts w:ascii="Arial" w:cs="Arial" w:eastAsia="Arial" w:hAnsi="Arial"/>
                <w:sz w:val="15"/>
                <w:szCs w:val="15"/>
                <w:color w:val="auto"/>
              </w:rPr>
              <w:t>560,100</w:t>
            </w:r>
          </w:p>
        </w:tc>
        <w:tc>
          <w:tcPr>
            <w:tcW w:w="2280" w:type="dxa"/>
            <w:vAlign w:val="bottom"/>
          </w:tcPr>
          <w:p>
            <w:pPr>
              <w:jc w:val="right"/>
              <w:spacing w:after="0"/>
              <w:rPr>
                <w:sz w:val="20"/>
                <w:szCs w:val="20"/>
                <w:color w:val="auto"/>
              </w:rPr>
            </w:pPr>
            <w:r>
              <w:rPr>
                <w:rFonts w:ascii="Arial" w:cs="Arial" w:eastAsia="Arial" w:hAnsi="Arial"/>
                <w:sz w:val="15"/>
                <w:szCs w:val="15"/>
                <w:color w:val="auto"/>
              </w:rPr>
              <w:t>$900.2</w:t>
            </w:r>
          </w:p>
        </w:tc>
      </w:tr>
      <w:tr>
        <w:trPr>
          <w:trHeight w:val="206"/>
        </w:trPr>
        <w:tc>
          <w:tcPr>
            <w:tcW w:w="2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September 9/10/2025 - 9/19/2025</w:t>
            </w:r>
          </w:p>
        </w:tc>
        <w:tc>
          <w:tcPr>
            <w:tcW w:w="21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866,512</w:t>
            </w:r>
          </w:p>
        </w:tc>
        <w:tc>
          <w:tcPr>
            <w:tcW w:w="194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5"/>
                <w:szCs w:val="15"/>
                <w:color w:val="auto"/>
              </w:rPr>
              <w:t>$173.33</w:t>
            </w:r>
          </w:p>
        </w:tc>
        <w:tc>
          <w:tcPr>
            <w:tcW w:w="19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866,512</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$750.0</w:t>
            </w:r>
          </w:p>
        </w:tc>
      </w:tr>
      <w:tr>
        <w:trPr>
          <w:trHeight w:val="199"/>
        </w:trPr>
        <w:tc>
          <w:tcPr>
            <w:tcW w:w="292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4,504,330</w:t>
            </w:r>
          </w:p>
        </w:tc>
        <w:tc>
          <w:tcPr>
            <w:tcW w:w="194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color w:val="auto"/>
              </w:rPr>
              <w:t>$166.51</w:t>
            </w:r>
          </w:p>
        </w:tc>
        <w:tc>
          <w:tcPr>
            <w:tcW w:w="19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4,504,330</w:t>
            </w:r>
          </w:p>
        </w:tc>
        <w:tc>
          <w:tcPr>
            <w:tcW w:w="2280" w:type="dxa"/>
            <w:vAlign w:val="bottom"/>
            <w:tcBorders>
              <w:bottom w:val="single" w:sz="8" w:color="auto"/>
            </w:tcBorders>
          </w:tcPr>
          <w:p>
            <w:pPr>
              <w:spacing w:after="0"/>
              <w:rPr>
                <w:sz w:val="17"/>
                <w:szCs w:val="17"/>
                <w:color w:val="auto"/>
              </w:rPr>
            </w:pPr>
          </w:p>
        </w:tc>
      </w:tr>
      <w:tr>
        <w:trPr>
          <w:trHeight w:val="20"/>
        </w:trPr>
        <w:tc>
          <w:tcPr>
            <w:tcW w:w="29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During the year ended December 31, 2024, 2,179,699 ordinary shares were redeemed by the Company under this repurchase program for a total consideration of $500.0 million.</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20" w:type="dxa"/>
            <w:vAlign w:val="bottom"/>
            <w:shd w:val="clear" w:color="auto" w:fill="CCEEFF"/>
          </w:tcPr>
          <w:p>
            <w:pPr>
              <w:spacing w:after="0"/>
              <w:rPr>
                <w:sz w:val="15"/>
                <w:szCs w:val="15"/>
                <w:color w:val="auto"/>
              </w:rPr>
            </w:pPr>
          </w:p>
        </w:tc>
        <w:tc>
          <w:tcPr>
            <w:tcW w:w="4000" w:type="dxa"/>
            <w:vAlign w:val="bottom"/>
            <w:gridSpan w:val="2"/>
            <w:shd w:val="clear" w:color="auto" w:fill="CCEEFF"/>
          </w:tcPr>
          <w:p>
            <w:pPr>
              <w:jc w:val="right"/>
              <w:ind w:right="163"/>
              <w:spacing w:after="0"/>
              <w:rPr>
                <w:sz w:val="20"/>
                <w:szCs w:val="20"/>
                <w:color w:val="auto"/>
              </w:rPr>
            </w:pPr>
            <w:r>
              <w:rPr>
                <w:rFonts w:ascii="Arial" w:cs="Arial" w:eastAsia="Arial" w:hAnsi="Arial"/>
                <w:sz w:val="15"/>
                <w:szCs w:val="15"/>
                <w:b w:val="1"/>
                <w:bCs w:val="1"/>
                <w:color w:val="auto"/>
              </w:rPr>
              <w:t>Total number Average price paid per</w:t>
            </w:r>
          </w:p>
        </w:tc>
        <w:tc>
          <w:tcPr>
            <w:tcW w:w="19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Total number</w:t>
            </w:r>
          </w:p>
        </w:tc>
        <w:tc>
          <w:tcPr>
            <w:tcW w:w="22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Approximate dollar value of</w:t>
            </w:r>
          </w:p>
        </w:tc>
      </w:tr>
      <w:tr>
        <w:trPr>
          <w:trHeight w:val="155"/>
        </w:trPr>
        <w:tc>
          <w:tcPr>
            <w:tcW w:w="3020" w:type="dxa"/>
            <w:vAlign w:val="bottom"/>
            <w:shd w:val="clear" w:color="auto" w:fill="CCEEFF"/>
          </w:tcPr>
          <w:p>
            <w:pPr>
              <w:spacing w:after="0"/>
              <w:rPr>
                <w:sz w:val="13"/>
                <w:szCs w:val="13"/>
                <w:color w:val="auto"/>
              </w:rPr>
            </w:pPr>
          </w:p>
        </w:tc>
        <w:tc>
          <w:tcPr>
            <w:tcW w:w="2600" w:type="dxa"/>
            <w:vAlign w:val="bottom"/>
            <w:shd w:val="clear" w:color="auto" w:fill="CCEEFF"/>
          </w:tcPr>
          <w:p>
            <w:pPr>
              <w:jc w:val="right"/>
              <w:ind w:right="483"/>
              <w:spacing w:after="0" w:line="155" w:lineRule="exact"/>
              <w:rPr>
                <w:sz w:val="20"/>
                <w:szCs w:val="20"/>
                <w:color w:val="auto"/>
              </w:rPr>
            </w:pPr>
            <w:r>
              <w:rPr>
                <w:rFonts w:ascii="Arial" w:cs="Arial" w:eastAsia="Arial" w:hAnsi="Arial"/>
                <w:sz w:val="15"/>
                <w:szCs w:val="15"/>
                <w:b w:val="1"/>
                <w:bCs w:val="1"/>
                <w:color w:val="auto"/>
              </w:rPr>
              <w:t>of shares purchased</w:t>
            </w:r>
          </w:p>
        </w:tc>
        <w:tc>
          <w:tcPr>
            <w:tcW w:w="334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share of shares purchased as part</w:t>
            </w:r>
          </w:p>
        </w:tc>
        <w:tc>
          <w:tcPr>
            <w:tcW w:w="228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shares that may yet be</w:t>
            </w:r>
          </w:p>
        </w:tc>
      </w:tr>
      <w:tr>
        <w:trPr>
          <w:trHeight w:val="155"/>
        </w:trPr>
        <w:tc>
          <w:tcPr>
            <w:tcW w:w="3020" w:type="dxa"/>
            <w:vAlign w:val="bottom"/>
            <w:shd w:val="clear" w:color="auto" w:fill="CCEEFF"/>
          </w:tcPr>
          <w:p>
            <w:pPr>
              <w:spacing w:after="0"/>
              <w:rPr>
                <w:sz w:val="13"/>
                <w:szCs w:val="13"/>
                <w:color w:val="auto"/>
              </w:rPr>
            </w:pPr>
          </w:p>
        </w:tc>
        <w:tc>
          <w:tcPr>
            <w:tcW w:w="26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94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of publicly announced</w:t>
            </w:r>
          </w:p>
        </w:tc>
        <w:tc>
          <w:tcPr>
            <w:tcW w:w="228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purchased under the program</w:t>
            </w:r>
          </w:p>
        </w:tc>
      </w:tr>
      <w:tr>
        <w:trPr>
          <w:trHeight w:val="206"/>
        </w:trPr>
        <w:tc>
          <w:tcPr>
            <w:tcW w:w="3020" w:type="dxa"/>
            <w:vAlign w:val="bottom"/>
            <w:tcBorders>
              <w:bottom w:val="single" w:sz="8" w:color="auto"/>
            </w:tcBorders>
            <w:shd w:val="clear" w:color="auto" w:fill="CCEEFF"/>
          </w:tcPr>
          <w:p>
            <w:pPr>
              <w:spacing w:after="0"/>
              <w:rPr>
                <w:sz w:val="17"/>
                <w:szCs w:val="17"/>
                <w:color w:val="auto"/>
              </w:rPr>
            </w:pPr>
          </w:p>
        </w:tc>
        <w:tc>
          <w:tcPr>
            <w:tcW w:w="26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spacing w:after="0"/>
              <w:rPr>
                <w:sz w:val="17"/>
                <w:szCs w:val="17"/>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program</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(in millions)</w:t>
            </w:r>
          </w:p>
        </w:tc>
      </w:tr>
      <w:tr>
        <w:trPr>
          <w:trHeight w:val="198"/>
        </w:trPr>
        <w:tc>
          <w:tcPr>
            <w:tcW w:w="3020" w:type="dxa"/>
            <w:vAlign w:val="bottom"/>
          </w:tcPr>
          <w:p>
            <w:pPr>
              <w:ind w:left="20"/>
              <w:spacing w:after="0"/>
              <w:rPr>
                <w:sz w:val="20"/>
                <w:szCs w:val="20"/>
                <w:color w:val="auto"/>
              </w:rPr>
            </w:pPr>
            <w:r>
              <w:rPr>
                <w:rFonts w:ascii="Arial" w:cs="Arial" w:eastAsia="Arial" w:hAnsi="Arial"/>
                <w:sz w:val="15"/>
                <w:szCs w:val="15"/>
                <w:color w:val="auto"/>
              </w:rPr>
              <w:t>September 09/18/2024 - 09/25/2024</w:t>
            </w:r>
          </w:p>
        </w:tc>
        <w:tc>
          <w:tcPr>
            <w:tcW w:w="2600" w:type="dxa"/>
            <w:vAlign w:val="bottom"/>
          </w:tcPr>
          <w:p>
            <w:pPr>
              <w:jc w:val="right"/>
              <w:ind w:right="543"/>
              <w:spacing w:after="0"/>
              <w:rPr>
                <w:sz w:val="20"/>
                <w:szCs w:val="20"/>
                <w:color w:val="auto"/>
              </w:rPr>
            </w:pPr>
            <w:r>
              <w:rPr>
                <w:rFonts w:ascii="Arial" w:cs="Arial" w:eastAsia="Arial" w:hAnsi="Arial"/>
                <w:sz w:val="15"/>
                <w:szCs w:val="15"/>
                <w:color w:val="auto"/>
              </w:rPr>
              <w:t>337,070</w:t>
            </w:r>
          </w:p>
        </w:tc>
        <w:tc>
          <w:tcPr>
            <w:tcW w:w="1400" w:type="dxa"/>
            <w:vAlign w:val="bottom"/>
          </w:tcPr>
          <w:p>
            <w:pPr>
              <w:jc w:val="right"/>
              <w:ind w:right="223"/>
              <w:spacing w:after="0"/>
              <w:rPr>
                <w:sz w:val="20"/>
                <w:szCs w:val="20"/>
                <w:color w:val="auto"/>
              </w:rPr>
            </w:pPr>
            <w:r>
              <w:rPr>
                <w:rFonts w:ascii="Arial" w:cs="Arial" w:eastAsia="Arial" w:hAnsi="Arial"/>
                <w:sz w:val="15"/>
                <w:szCs w:val="15"/>
                <w:color w:val="auto"/>
              </w:rPr>
              <w:t>$296.67</w:t>
            </w:r>
          </w:p>
        </w:tc>
        <w:tc>
          <w:tcPr>
            <w:tcW w:w="1940" w:type="dxa"/>
            <w:vAlign w:val="bottom"/>
          </w:tcPr>
          <w:p>
            <w:pPr>
              <w:jc w:val="right"/>
              <w:ind w:right="43"/>
              <w:spacing w:after="0"/>
              <w:rPr>
                <w:sz w:val="20"/>
                <w:szCs w:val="20"/>
                <w:color w:val="auto"/>
              </w:rPr>
            </w:pPr>
            <w:r>
              <w:rPr>
                <w:rFonts w:ascii="Arial" w:cs="Arial" w:eastAsia="Arial" w:hAnsi="Arial"/>
                <w:sz w:val="15"/>
                <w:szCs w:val="15"/>
                <w:color w:val="auto"/>
              </w:rPr>
              <w:t>337,070</w:t>
            </w:r>
          </w:p>
        </w:tc>
        <w:tc>
          <w:tcPr>
            <w:tcW w:w="2280" w:type="dxa"/>
            <w:vAlign w:val="bottom"/>
          </w:tcPr>
          <w:p>
            <w:pPr>
              <w:jc w:val="right"/>
              <w:spacing w:after="0"/>
              <w:rPr>
                <w:sz w:val="20"/>
                <w:szCs w:val="20"/>
                <w:color w:val="auto"/>
              </w:rPr>
            </w:pPr>
            <w:r>
              <w:rPr>
                <w:rFonts w:ascii="Arial" w:cs="Arial" w:eastAsia="Arial" w:hAnsi="Arial"/>
                <w:sz w:val="15"/>
                <w:szCs w:val="15"/>
                <w:color w:val="auto"/>
              </w:rPr>
              <w:t>$400.0</w:t>
            </w:r>
          </w:p>
        </w:tc>
      </w:tr>
      <w:tr>
        <w:trPr>
          <w:trHeight w:val="207"/>
        </w:trPr>
        <w:tc>
          <w:tcPr>
            <w:tcW w:w="3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October 10/28/2024 - 10/31/2024</w:t>
            </w:r>
          </w:p>
        </w:tc>
        <w:tc>
          <w:tcPr>
            <w:tcW w:w="2600" w:type="dxa"/>
            <w:vAlign w:val="bottom"/>
            <w:shd w:val="clear" w:color="auto" w:fill="CCEEFF"/>
          </w:tcPr>
          <w:p>
            <w:pPr>
              <w:jc w:val="right"/>
              <w:ind w:right="543"/>
              <w:spacing w:after="0"/>
              <w:rPr>
                <w:sz w:val="20"/>
                <w:szCs w:val="20"/>
                <w:color w:val="auto"/>
              </w:rPr>
            </w:pPr>
            <w:r>
              <w:rPr>
                <w:rFonts w:ascii="Arial" w:cs="Arial" w:eastAsia="Arial" w:hAnsi="Arial"/>
                <w:sz w:val="15"/>
                <w:szCs w:val="15"/>
                <w:color w:val="auto"/>
              </w:rPr>
              <w:t>409,512</w:t>
            </w:r>
          </w:p>
        </w:tc>
        <w:tc>
          <w:tcPr>
            <w:tcW w:w="140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rPr>
              <w:t>$228.57</w:t>
            </w:r>
          </w:p>
        </w:tc>
        <w:tc>
          <w:tcPr>
            <w:tcW w:w="19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409,512</w:t>
            </w:r>
          </w:p>
        </w:tc>
        <w:tc>
          <w:tcPr>
            <w:tcW w:w="2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$556.4</w:t>
            </w:r>
          </w:p>
        </w:tc>
      </w:tr>
      <w:tr>
        <w:trPr>
          <w:trHeight w:val="205"/>
        </w:trPr>
        <w:tc>
          <w:tcPr>
            <w:tcW w:w="3020" w:type="dxa"/>
            <w:vAlign w:val="bottom"/>
          </w:tcPr>
          <w:p>
            <w:pPr>
              <w:ind w:left="20"/>
              <w:spacing w:after="0"/>
              <w:rPr>
                <w:sz w:val="20"/>
                <w:szCs w:val="20"/>
                <w:color w:val="auto"/>
              </w:rPr>
            </w:pPr>
            <w:r>
              <w:rPr>
                <w:rFonts w:ascii="Arial" w:cs="Arial" w:eastAsia="Arial" w:hAnsi="Arial"/>
                <w:sz w:val="15"/>
                <w:szCs w:val="15"/>
                <w:color w:val="auto"/>
              </w:rPr>
              <w:t>November 11/01/2024 - 11/07/2024</w:t>
            </w:r>
          </w:p>
        </w:tc>
        <w:tc>
          <w:tcPr>
            <w:tcW w:w="2600" w:type="dxa"/>
            <w:vAlign w:val="bottom"/>
          </w:tcPr>
          <w:p>
            <w:pPr>
              <w:jc w:val="right"/>
              <w:ind w:right="543"/>
              <w:spacing w:after="0"/>
              <w:rPr>
                <w:sz w:val="20"/>
                <w:szCs w:val="20"/>
                <w:color w:val="auto"/>
              </w:rPr>
            </w:pPr>
            <w:r>
              <w:rPr>
                <w:rFonts w:ascii="Arial" w:cs="Arial" w:eastAsia="Arial" w:hAnsi="Arial"/>
                <w:sz w:val="15"/>
                <w:szCs w:val="15"/>
                <w:color w:val="auto"/>
              </w:rPr>
              <w:t>479,524</w:t>
            </w:r>
          </w:p>
        </w:tc>
        <w:tc>
          <w:tcPr>
            <w:tcW w:w="1400" w:type="dxa"/>
            <w:vAlign w:val="bottom"/>
          </w:tcPr>
          <w:p>
            <w:pPr>
              <w:jc w:val="right"/>
              <w:ind w:right="223"/>
              <w:spacing w:after="0"/>
              <w:rPr>
                <w:sz w:val="20"/>
                <w:szCs w:val="20"/>
                <w:color w:val="auto"/>
              </w:rPr>
            </w:pPr>
            <w:r>
              <w:rPr>
                <w:rFonts w:ascii="Arial" w:cs="Arial" w:eastAsia="Arial" w:hAnsi="Arial"/>
                <w:sz w:val="15"/>
                <w:szCs w:val="15"/>
                <w:color w:val="auto"/>
              </w:rPr>
              <w:t>$221.87</w:t>
            </w:r>
          </w:p>
        </w:tc>
        <w:tc>
          <w:tcPr>
            <w:tcW w:w="1940" w:type="dxa"/>
            <w:vAlign w:val="bottom"/>
          </w:tcPr>
          <w:p>
            <w:pPr>
              <w:jc w:val="right"/>
              <w:ind w:right="43"/>
              <w:spacing w:after="0"/>
              <w:rPr>
                <w:sz w:val="20"/>
                <w:szCs w:val="20"/>
                <w:color w:val="auto"/>
              </w:rPr>
            </w:pPr>
            <w:r>
              <w:rPr>
                <w:rFonts w:ascii="Arial" w:cs="Arial" w:eastAsia="Arial" w:hAnsi="Arial"/>
                <w:sz w:val="15"/>
                <w:szCs w:val="15"/>
                <w:color w:val="auto"/>
              </w:rPr>
              <w:t>479,524</w:t>
            </w:r>
          </w:p>
        </w:tc>
        <w:tc>
          <w:tcPr>
            <w:tcW w:w="2280" w:type="dxa"/>
            <w:vAlign w:val="bottom"/>
          </w:tcPr>
          <w:p>
            <w:pPr>
              <w:jc w:val="right"/>
              <w:spacing w:after="0"/>
              <w:rPr>
                <w:sz w:val="20"/>
                <w:szCs w:val="20"/>
                <w:color w:val="auto"/>
              </w:rPr>
            </w:pPr>
            <w:r>
              <w:rPr>
                <w:rFonts w:ascii="Arial" w:cs="Arial" w:eastAsia="Arial" w:hAnsi="Arial"/>
                <w:sz w:val="15"/>
                <w:szCs w:val="15"/>
                <w:color w:val="auto"/>
              </w:rPr>
              <w:t>$450.0</w:t>
            </w:r>
          </w:p>
        </w:tc>
      </w:tr>
      <w:tr>
        <w:trPr>
          <w:trHeight w:val="206"/>
        </w:trPr>
        <w:tc>
          <w:tcPr>
            <w:tcW w:w="3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December 12/02/2024 - 12/19/2024</w:t>
            </w:r>
          </w:p>
        </w:tc>
        <w:tc>
          <w:tcPr>
            <w:tcW w:w="2600" w:type="dxa"/>
            <w:vAlign w:val="bottom"/>
            <w:tcBorders>
              <w:bottom w:val="single" w:sz="8" w:color="auto"/>
            </w:tcBorders>
            <w:shd w:val="clear" w:color="auto" w:fill="CCEEFF"/>
          </w:tcPr>
          <w:p>
            <w:pPr>
              <w:jc w:val="right"/>
              <w:ind w:right="543"/>
              <w:spacing w:after="0"/>
              <w:rPr>
                <w:sz w:val="20"/>
                <w:szCs w:val="20"/>
                <w:color w:val="auto"/>
              </w:rPr>
            </w:pPr>
            <w:r>
              <w:rPr>
                <w:rFonts w:ascii="Arial" w:cs="Arial" w:eastAsia="Arial" w:hAnsi="Arial"/>
                <w:sz w:val="15"/>
                <w:szCs w:val="15"/>
                <w:color w:val="auto"/>
              </w:rPr>
              <w:t>953,593</w:t>
            </w:r>
          </w:p>
        </w:tc>
        <w:tc>
          <w:tcPr>
            <w:tcW w:w="140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5"/>
                <w:szCs w:val="15"/>
                <w:color w:val="auto"/>
              </w:rPr>
              <w:t>$209.73</w:t>
            </w:r>
          </w:p>
        </w:tc>
        <w:tc>
          <w:tcPr>
            <w:tcW w:w="19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953,593</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$250.0</w:t>
            </w:r>
          </w:p>
        </w:tc>
      </w:tr>
      <w:tr>
        <w:trPr>
          <w:trHeight w:val="199"/>
        </w:trPr>
        <w:tc>
          <w:tcPr>
            <w:tcW w:w="302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tcPr>
          <w:p>
            <w:pPr>
              <w:jc w:val="right"/>
              <w:ind w:right="543"/>
              <w:spacing w:after="0"/>
              <w:rPr>
                <w:sz w:val="20"/>
                <w:szCs w:val="20"/>
                <w:color w:val="auto"/>
              </w:rPr>
            </w:pPr>
            <w:r>
              <w:rPr>
                <w:rFonts w:ascii="Arial" w:cs="Arial" w:eastAsia="Arial" w:hAnsi="Arial"/>
                <w:sz w:val="15"/>
                <w:szCs w:val="15"/>
                <w:color w:val="auto"/>
              </w:rPr>
              <w:t>2,179,699</w:t>
            </w:r>
          </w:p>
        </w:tc>
        <w:tc>
          <w:tcPr>
            <w:tcW w:w="140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color w:val="auto"/>
              </w:rPr>
              <w:t>$229.39</w:t>
            </w:r>
          </w:p>
        </w:tc>
        <w:tc>
          <w:tcPr>
            <w:tcW w:w="19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2,179,699</w:t>
            </w:r>
          </w:p>
        </w:tc>
        <w:tc>
          <w:tcPr>
            <w:tcW w:w="2280" w:type="dxa"/>
            <w:vAlign w:val="bottom"/>
            <w:tcBorders>
              <w:bottom w:val="single" w:sz="8" w:color="auto"/>
            </w:tcBorders>
          </w:tcPr>
          <w:p>
            <w:pPr>
              <w:spacing w:after="0"/>
              <w:rPr>
                <w:sz w:val="17"/>
                <w:szCs w:val="17"/>
                <w:color w:val="auto"/>
              </w:rPr>
            </w:pPr>
          </w:p>
        </w:tc>
      </w:tr>
      <w:tr>
        <w:trPr>
          <w:trHeight w:val="20"/>
        </w:trPr>
        <w:tc>
          <w:tcPr>
            <w:tcW w:w="302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All ordinary shares redeemed under the repurchase program were canceled in accordance with the constitution of the Company and the nominal value of these shares transferred to other undenominated capital as required by Irish Company law. Repurchases under the repurchase program may be effected from time to time in open market or privately negotiated transactions in accordance with agreed terms and limitations. The timing and amount of the repurchase transactions under this program will depend on a variety of factors, including market conditions and corporate and regulatory considerations. Depending upon results of operations, market conditions and the development of the economy, as well as other factors, generally we will consider share repurchases on an opportunistic basis from time to time.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73660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26" w:name="page27"/>
    <w:bookmarkEnd w:id="26"/>
    <w:p>
      <w:pPr>
        <w:spacing w:after="0"/>
        <w:rPr>
          <w:sz w:val="20"/>
          <w:szCs w:val="20"/>
          <w:color w:val="auto"/>
        </w:rPr>
      </w:pPr>
      <w:r>
        <w:rPr>
          <w:rFonts w:ascii="Arial" w:cs="Arial" w:eastAsia="Arial" w:hAnsi="Arial"/>
          <w:sz w:val="15"/>
          <w:szCs w:val="15"/>
          <w:b w:val="1"/>
          <w:bCs w:val="1"/>
          <w:color w:val="auto"/>
        </w:rPr>
        <w:t>15. Business Segment and Geographical Information</w:t>
      </w:r>
    </w:p>
    <w:p>
      <w:pPr>
        <w:spacing w:after="0" w:line="242"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The Company is a CRO providing outsourced services on a global basis to pharmaceutical, biotechnology, medical device and government and public health organizations. It specializes in the strategic development, management and analysis of programs that support all stages of the clinical development process, from compound selection to Phase I-IV clinical studies. 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"full-service" or a “blended-service” solution. The Company has expanded through organic growth, together with a number of strategic acquisitions to enhance its capabilities and expertise in certain areas of the clinical development process.</w:t>
      </w:r>
    </w:p>
    <w:p>
      <w:pPr>
        <w:spacing w:after="0" w:line="202"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color w:val="auto"/>
        </w:rPr>
        <w:t>The Company operates as one reportable segment, which is the provision of outsourced development services on a global basis to the pharmaceutical, biotechnology and medical devices industries. Effective January 1, 2025 and during the nine months ended September 30, 2025, the Company determined that the Chief Operating Decision Maker ("CODM") was comprised of the Chief Executive Officer, the Chief Financial Officer and the Chief Operating Officer (nine months ended September 30, 2024 the Chief Executive Officer and the Chief Financial Officer). As the Company is managed on a consolidated basis, the CODM evaluates performance and allocates resources based on consolidated net income. The CODM uses consolidated net income, as reported on the Condensed Consolidated Statements of Operations, to evaluate income generated from segment assets and for decisions related to the deployment of operating and capital resources. The measure of segment assets is reported on the Condensed Consolidated Balance Sheets as total consolidated assets.</w:t>
      </w:r>
    </w:p>
    <w:p>
      <w:pPr>
        <w:spacing w:after="0" w:line="193"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 xml:space="preserve">The accounting policies of the reportable segment are the same as those described in ICON’s Form 20-F for the year ended December 31, 2024 (see </w:t>
      </w:r>
      <w:r>
        <w:rPr>
          <w:rFonts w:ascii="Arial" w:cs="Arial" w:eastAsia="Arial" w:hAnsi="Arial"/>
          <w:sz w:val="15"/>
          <w:szCs w:val="15"/>
          <w:i w:val="1"/>
          <w:iCs w:val="1"/>
          <w:color w:val="auto"/>
        </w:rPr>
        <w:t>note</w:t>
      </w:r>
      <w:r>
        <w:rPr>
          <w:rFonts w:ascii="Arial" w:cs="Arial" w:eastAsia="Arial" w:hAnsi="Arial"/>
          <w:sz w:val="15"/>
          <w:szCs w:val="15"/>
          <w:color w:val="auto"/>
        </w:rPr>
        <w:t xml:space="preserve"> </w:t>
      </w:r>
      <w:r>
        <w:rPr>
          <w:rFonts w:ascii="Arial" w:cs="Arial" w:eastAsia="Arial" w:hAnsi="Arial"/>
          <w:sz w:val="15"/>
          <w:szCs w:val="15"/>
          <w:i w:val="1"/>
          <w:iCs w:val="1"/>
          <w:color w:val="auto"/>
        </w:rPr>
        <w:t>2 - Summary of significant accounting policies</w:t>
      </w:r>
      <w:r>
        <w:rPr>
          <w:rFonts w:ascii="Arial" w:cs="Arial" w:eastAsia="Arial" w:hAnsi="Arial"/>
          <w:sz w:val="15"/>
          <w:szCs w:val="15"/>
          <w:color w:val="auto"/>
        </w:rPr>
        <w:t>). In the context of considerations around significant segment expenses, as the expense information that is regularly</w:t>
      </w:r>
      <w:r>
        <w:rPr>
          <w:rFonts w:ascii="Arial" w:cs="Arial" w:eastAsia="Arial" w:hAnsi="Arial"/>
          <w:sz w:val="15"/>
          <w:szCs w:val="15"/>
          <w:i w:val="1"/>
          <w:iCs w:val="1"/>
          <w:color w:val="auto"/>
        </w:rPr>
        <w:t xml:space="preserve"> </w:t>
      </w:r>
      <w:r>
        <w:rPr>
          <w:rFonts w:ascii="Arial" w:cs="Arial" w:eastAsia="Arial" w:hAnsi="Arial"/>
          <w:sz w:val="15"/>
          <w:szCs w:val="15"/>
          <w:color w:val="auto"/>
        </w:rPr>
        <w:t>provided to the CODM is aligned with the respective consolidated expenses for direct costs and selling, general, and administrative expenses, as presented on the Condensed Consolidated Statement of Operations, such expense disclosures are not replicated here. Furthermore, as the Company consists of a single reportable segment, other quantitative disclosures, as required by Topic 280, are as presented on the Consolidated Statement of Operations.</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5"/>
          <w:szCs w:val="15"/>
          <w:color w:val="auto"/>
        </w:rPr>
        <w:t>Revenues are allocated to individual entities based on where the work is performed in accordance with the Company's global transfer pricing model.</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Revenues and income from operations in Ireland are a function of our global contracting model and the ICON Group’s transfer pricing model.</w:t>
      </w:r>
    </w:p>
    <w:p>
      <w:pPr>
        <w:spacing w:after="0" w:line="229"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ICON Ireland acts as the ICON Group entrepreneur under the Company’s global transfer pricing model given its role in the development and management of the ICON Group, its ownership of key intellectual property and customer relationships, its key role in the mitigation of risks faced by the ICON Group and its responsibility for maintaining the Company’s global network. ICON Ireland enters into the majority of the Company’s customer contracts.</w:t>
      </w:r>
    </w:p>
    <w:p>
      <w:pPr>
        <w:spacing w:after="0" w:line="178"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5"/>
          <w:szCs w:val="15"/>
          <w:color w:val="auto"/>
        </w:rPr>
        <w:t>ICON Ireland remunerates other operating entities in the ICON Group on the basis of an arm’s length return for the services they perform in each of their local territories. The arm’s length return for each ICON entity is established to ensure that each of ICON Ireland and the ICON entities that are involved in the conduct of services for customers, earn an appropriate return having regard to their respective functions performed, assets owned, and risks assumed in these intercompany transactions. The arm’s length return is reviewed annually to ensure that it is market appropriate.</w:t>
      </w:r>
    </w:p>
    <w:p>
      <w:pPr>
        <w:spacing w:after="0" w:line="183"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 geographic split of revenue disclosed for each region outside Ireland is the arm’s length revenue attributable to these entities. The residual revenues of the ICON Group, once each ICON entity has been paid its respective intercompany service fee, generally fall to be retained by ICON Ireland. As such, revenues and income from operations in Ireland are a function of this global transfer pricing model and comprise revenues of the ICON Group after deducting the arm’s length revenues attributable to the activities performed outside Ireland.</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There have been no changes to the overall basis of segmentation or the measurement basis for the segment results since the prior year.</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27" w:name="page28"/>
    <w:bookmarkEnd w:id="27"/>
    <w:p>
      <w:pPr>
        <w:ind w:firstLine="619"/>
        <w:spacing w:after="0" w:line="294" w:lineRule="auto"/>
        <w:rPr>
          <w:sz w:val="20"/>
          <w:szCs w:val="20"/>
          <w:color w:val="auto"/>
        </w:rPr>
      </w:pPr>
      <w:r>
        <w:rPr>
          <w:rFonts w:ascii="Arial" w:cs="Arial" w:eastAsia="Arial" w:hAnsi="Arial"/>
          <w:sz w:val="15"/>
          <w:szCs w:val="15"/>
          <w:color w:val="auto"/>
        </w:rPr>
        <w:t>The geographical distribution of the Company’s segment measures for the three and nine months ended September 30, 2025 and September 30, 2024 and as at September 30, 2025 and December 31, 2024 is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20" w:type="dxa"/>
            <w:vAlign w:val="bottom"/>
          </w:tcPr>
          <w:p>
            <w:pPr>
              <w:spacing w:after="0"/>
              <w:rPr>
                <w:sz w:val="20"/>
                <w:szCs w:val="20"/>
                <w:color w:val="auto"/>
              </w:rPr>
            </w:pPr>
            <w:r>
              <w:rPr>
                <w:rFonts w:ascii="Arial" w:cs="Arial" w:eastAsia="Arial" w:hAnsi="Arial"/>
                <w:sz w:val="15"/>
                <w:szCs w:val="15"/>
                <w:color w:val="auto"/>
              </w:rPr>
              <w:t>a) The distribution of revenue by geographical area was as follows:</w:t>
            </w: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05"/>
        </w:trPr>
        <w:tc>
          <w:tcPr>
            <w:tcW w:w="5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0" w:type="dxa"/>
            <w:vAlign w:val="bottom"/>
            <w:gridSpan w:val="3"/>
          </w:tcPr>
          <w:p>
            <w:pPr>
              <w:spacing w:after="0"/>
              <w:rPr>
                <w:sz w:val="9"/>
                <w:szCs w:val="9"/>
                <w:color w:val="auto"/>
              </w:rPr>
            </w:pPr>
          </w:p>
        </w:tc>
        <w:tc>
          <w:tcPr>
            <w:tcW w:w="320" w:type="dxa"/>
            <w:vAlign w:val="bottom"/>
          </w:tcPr>
          <w:p>
            <w:pPr>
              <w:spacing w:after="0"/>
              <w:rPr>
                <w:sz w:val="9"/>
                <w:szCs w:val="9"/>
                <w:color w:val="auto"/>
              </w:rPr>
            </w:pPr>
          </w:p>
        </w:tc>
        <w:tc>
          <w:tcPr>
            <w:tcW w:w="2740" w:type="dxa"/>
            <w:vAlign w:val="bottom"/>
            <w:gridSpan w:val="3"/>
          </w:tcPr>
          <w:p>
            <w:pPr>
              <w:spacing w:after="0"/>
              <w:rPr>
                <w:sz w:val="9"/>
                <w:szCs w:val="9"/>
                <w:color w:val="auto"/>
              </w:rPr>
            </w:pPr>
          </w:p>
        </w:tc>
      </w:tr>
      <w:tr>
        <w:trPr>
          <w:trHeight w:val="206"/>
        </w:trPr>
        <w:tc>
          <w:tcPr>
            <w:tcW w:w="5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2800" w:type="dxa"/>
            <w:vAlign w:val="bottom"/>
            <w:tcBorders>
              <w:bottom w:val="single" w:sz="8" w:color="auto"/>
            </w:tcBorders>
            <w:gridSpan w:val="3"/>
            <w:shd w:val="clear" w:color="auto" w:fill="CCEEFF"/>
          </w:tcPr>
          <w:p>
            <w:pPr>
              <w:jc w:val="right"/>
              <w:ind w:right="703"/>
              <w:spacing w:after="0"/>
              <w:rPr>
                <w:sz w:val="20"/>
                <w:szCs w:val="20"/>
                <w:color w:val="auto"/>
              </w:rPr>
            </w:pPr>
            <w:r>
              <w:rPr>
                <w:rFonts w:ascii="Arial" w:cs="Arial" w:eastAsia="Arial" w:hAnsi="Arial"/>
                <w:sz w:val="15"/>
                <w:szCs w:val="15"/>
                <w:b w:val="1"/>
                <w:bCs w:val="1"/>
                <w:color w:val="auto"/>
              </w:rPr>
              <w:t>Three Months Ended</w:t>
            </w:r>
          </w:p>
        </w:tc>
        <w:tc>
          <w:tcPr>
            <w:tcW w:w="320" w:type="dxa"/>
            <w:vAlign w:val="bottom"/>
            <w:tcBorders>
              <w:bottom w:val="single" w:sz="8" w:color="auto"/>
            </w:tcBorders>
            <w:shd w:val="clear" w:color="auto" w:fill="CCEEFF"/>
          </w:tcPr>
          <w:p>
            <w:pPr>
              <w:spacing w:after="0"/>
              <w:rPr>
                <w:sz w:val="17"/>
                <w:szCs w:val="17"/>
                <w:color w:val="auto"/>
              </w:rPr>
            </w:pPr>
          </w:p>
        </w:tc>
        <w:tc>
          <w:tcPr>
            <w:tcW w:w="2740" w:type="dxa"/>
            <w:vAlign w:val="bottom"/>
            <w:tcBorders>
              <w:bottom w:val="single" w:sz="8" w:color="auto"/>
            </w:tcBorders>
            <w:gridSpan w:val="3"/>
            <w:shd w:val="clear" w:color="auto" w:fill="CCEEFF"/>
          </w:tcPr>
          <w:p>
            <w:pPr>
              <w:jc w:val="right"/>
              <w:ind w:right="703"/>
              <w:spacing w:after="0"/>
              <w:rPr>
                <w:sz w:val="20"/>
                <w:szCs w:val="20"/>
                <w:color w:val="auto"/>
              </w:rPr>
            </w:pPr>
            <w:r>
              <w:rPr>
                <w:rFonts w:ascii="Arial" w:cs="Arial" w:eastAsia="Arial" w:hAnsi="Arial"/>
                <w:sz w:val="15"/>
                <w:szCs w:val="15"/>
                <w:b w:val="1"/>
                <w:bCs w:val="1"/>
                <w:color w:val="auto"/>
              </w:rPr>
              <w:t>Nine Months Ended</w:t>
            </w:r>
          </w:p>
        </w:tc>
      </w:tr>
      <w:tr>
        <w:trPr>
          <w:trHeight w:val="148"/>
        </w:trPr>
        <w:tc>
          <w:tcPr>
            <w:tcW w:w="5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September 30,</w:t>
            </w:r>
          </w:p>
        </w:tc>
        <w:tc>
          <w:tcPr>
            <w:tcW w:w="280" w:type="dxa"/>
            <w:vAlign w:val="bottom"/>
          </w:tcPr>
          <w:p>
            <w:pPr>
              <w:spacing w:after="0"/>
              <w:rPr>
                <w:sz w:val="12"/>
                <w:szCs w:val="12"/>
                <w:color w:val="auto"/>
              </w:rPr>
            </w:pPr>
          </w:p>
        </w:tc>
        <w:tc>
          <w:tcPr>
            <w:tcW w:w="128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September 30,</w:t>
            </w:r>
          </w:p>
        </w:tc>
        <w:tc>
          <w:tcPr>
            <w:tcW w:w="320" w:type="dxa"/>
            <w:vAlign w:val="bottom"/>
          </w:tcPr>
          <w:p>
            <w:pPr>
              <w:spacing w:after="0"/>
              <w:rPr>
                <w:sz w:val="12"/>
                <w:szCs w:val="12"/>
                <w:color w:val="auto"/>
              </w:rPr>
            </w:pPr>
          </w:p>
        </w:tc>
        <w:tc>
          <w:tcPr>
            <w:tcW w:w="124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September 30,</w:t>
            </w:r>
          </w:p>
        </w:tc>
        <w:tc>
          <w:tcPr>
            <w:tcW w:w="260" w:type="dxa"/>
            <w:vAlign w:val="bottom"/>
          </w:tcPr>
          <w:p>
            <w:pPr>
              <w:spacing w:after="0"/>
              <w:rPr>
                <w:sz w:val="12"/>
                <w:szCs w:val="12"/>
                <w:color w:val="auto"/>
              </w:rPr>
            </w:pPr>
          </w:p>
        </w:tc>
        <w:tc>
          <w:tcPr>
            <w:tcW w:w="124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September 30,</w:t>
            </w:r>
          </w:p>
        </w:tc>
      </w:tr>
      <w:tr>
        <w:trPr>
          <w:trHeight w:val="206"/>
        </w:trPr>
        <w:tc>
          <w:tcPr>
            <w:tcW w:w="5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r>
      <w:tr>
        <w:trPr>
          <w:trHeight w:val="199"/>
        </w:trPr>
        <w:tc>
          <w:tcPr>
            <w:tcW w:w="5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40" w:type="dxa"/>
            <w:vAlign w:val="bottom"/>
            <w:gridSpan w:val="3"/>
            <w:shd w:val="clear" w:color="auto" w:fill="CCEEFF"/>
          </w:tcPr>
          <w:p>
            <w:pPr>
              <w:jc w:val="right"/>
              <w:ind w:right="943"/>
              <w:spacing w:after="0"/>
              <w:rPr>
                <w:sz w:val="20"/>
                <w:szCs w:val="20"/>
                <w:color w:val="auto"/>
              </w:rPr>
            </w:pPr>
            <w:r>
              <w:rPr>
                <w:rFonts w:ascii="Arial" w:cs="Arial" w:eastAsia="Arial" w:hAnsi="Arial"/>
                <w:sz w:val="15"/>
                <w:szCs w:val="15"/>
                <w:b w:val="1"/>
                <w:bCs w:val="1"/>
                <w:color w:val="auto"/>
              </w:rPr>
              <w:t>(in thousands)</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5"/>
        </w:trPr>
        <w:tc>
          <w:tcPr>
            <w:tcW w:w="5120" w:type="dxa"/>
            <w:vAlign w:val="bottom"/>
          </w:tcPr>
          <w:p>
            <w:pPr>
              <w:ind w:left="20"/>
              <w:spacing w:after="0"/>
              <w:rPr>
                <w:sz w:val="20"/>
                <w:szCs w:val="20"/>
                <w:color w:val="auto"/>
              </w:rPr>
            </w:pPr>
            <w:r>
              <w:rPr>
                <w:rFonts w:ascii="Arial" w:cs="Arial" w:eastAsia="Arial" w:hAnsi="Arial"/>
                <w:sz w:val="15"/>
                <w:szCs w:val="15"/>
                <w:color w:val="auto"/>
              </w:rPr>
              <w:t>Ireland</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758,530</w:t>
            </w:r>
          </w:p>
        </w:tc>
        <w:tc>
          <w:tcPr>
            <w:tcW w:w="2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43"/>
              <w:spacing w:after="0"/>
              <w:rPr>
                <w:sz w:val="20"/>
                <w:szCs w:val="20"/>
                <w:color w:val="auto"/>
              </w:rPr>
            </w:pPr>
            <w:r>
              <w:rPr>
                <w:rFonts w:ascii="Arial" w:cs="Arial" w:eastAsia="Arial" w:hAnsi="Arial"/>
                <w:sz w:val="15"/>
                <w:szCs w:val="15"/>
                <w:color w:val="auto"/>
              </w:rPr>
              <w:t>615,957</w:t>
            </w:r>
          </w:p>
        </w:tc>
        <w:tc>
          <w:tcPr>
            <w:tcW w:w="32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3"/>
              <w:spacing w:after="0"/>
              <w:rPr>
                <w:sz w:val="20"/>
                <w:szCs w:val="20"/>
                <w:color w:val="auto"/>
              </w:rPr>
            </w:pPr>
            <w:r>
              <w:rPr>
                <w:rFonts w:ascii="Arial" w:cs="Arial" w:eastAsia="Arial" w:hAnsi="Arial"/>
                <w:sz w:val="15"/>
                <w:szCs w:val="15"/>
                <w:color w:val="auto"/>
              </w:rPr>
              <w:t>2,365,689</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1,971,502</w:t>
            </w:r>
          </w:p>
        </w:tc>
      </w:tr>
      <w:tr>
        <w:trPr>
          <w:trHeight w:val="207"/>
        </w:trPr>
        <w:tc>
          <w:tcPr>
            <w:tcW w:w="5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Rest of Europe</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402,435</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420,605</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1,133,638</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1,195,033</w:t>
            </w:r>
          </w:p>
        </w:tc>
      </w:tr>
      <w:tr>
        <w:trPr>
          <w:trHeight w:val="205"/>
        </w:trPr>
        <w:tc>
          <w:tcPr>
            <w:tcW w:w="5120" w:type="dxa"/>
            <w:vAlign w:val="bottom"/>
          </w:tcPr>
          <w:p>
            <w:pPr>
              <w:ind w:left="20"/>
              <w:spacing w:after="0"/>
              <w:rPr>
                <w:sz w:val="20"/>
                <w:szCs w:val="20"/>
                <w:color w:val="auto"/>
              </w:rPr>
            </w:pPr>
            <w:r>
              <w:rPr>
                <w:rFonts w:ascii="Arial" w:cs="Arial" w:eastAsia="Arial" w:hAnsi="Arial"/>
                <w:sz w:val="15"/>
                <w:szCs w:val="15"/>
                <w:color w:val="auto"/>
              </w:rPr>
              <w:t>U.S.</w:t>
            </w: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647,278</w:t>
            </w:r>
          </w:p>
        </w:tc>
        <w:tc>
          <w:tcPr>
            <w:tcW w:w="280" w:type="dxa"/>
            <w:vAlign w:val="bottom"/>
          </w:tcPr>
          <w:p>
            <w:pPr>
              <w:spacing w:after="0"/>
              <w:rPr>
                <w:sz w:val="17"/>
                <w:szCs w:val="17"/>
                <w:color w:val="auto"/>
              </w:rPr>
            </w:pPr>
          </w:p>
        </w:tc>
        <w:tc>
          <w:tcPr>
            <w:tcW w:w="1280" w:type="dxa"/>
            <w:vAlign w:val="bottom"/>
          </w:tcPr>
          <w:p>
            <w:pPr>
              <w:jc w:val="right"/>
              <w:ind w:right="43"/>
              <w:spacing w:after="0"/>
              <w:rPr>
                <w:sz w:val="20"/>
                <w:szCs w:val="20"/>
                <w:color w:val="auto"/>
              </w:rPr>
            </w:pPr>
            <w:r>
              <w:rPr>
                <w:rFonts w:ascii="Arial" w:cs="Arial" w:eastAsia="Arial" w:hAnsi="Arial"/>
                <w:sz w:val="15"/>
                <w:szCs w:val="15"/>
                <w:color w:val="auto"/>
              </w:rPr>
              <w:t>755,100</w:t>
            </w:r>
          </w:p>
        </w:tc>
        <w:tc>
          <w:tcPr>
            <w:tcW w:w="32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5"/>
                <w:szCs w:val="15"/>
                <w:color w:val="auto"/>
              </w:rPr>
              <w:t>1,891,317</w:t>
            </w: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2,356,954</w:t>
            </w:r>
          </w:p>
        </w:tc>
      </w:tr>
      <w:tr>
        <w:trPr>
          <w:trHeight w:val="206"/>
        </w:trPr>
        <w:tc>
          <w:tcPr>
            <w:tcW w:w="5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Rest of World</w:t>
            </w:r>
          </w:p>
        </w:tc>
        <w:tc>
          <w:tcPr>
            <w:tcW w:w="2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234,569</w:t>
            </w:r>
          </w:p>
        </w:tc>
        <w:tc>
          <w:tcPr>
            <w:tcW w:w="2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238,368</w:t>
            </w:r>
          </w:p>
        </w:tc>
        <w:tc>
          <w:tcPr>
            <w:tcW w:w="3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670,857</w:t>
            </w:r>
          </w:p>
        </w:tc>
        <w:tc>
          <w:tcPr>
            <w:tcW w:w="2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717,086</w:t>
            </w:r>
          </w:p>
        </w:tc>
      </w:tr>
      <w:tr>
        <w:trPr>
          <w:trHeight w:val="199"/>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Total</w:t>
            </w:r>
          </w:p>
        </w:tc>
        <w:tc>
          <w:tcPr>
            <w:tcW w:w="2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2,042,812</w:t>
            </w:r>
          </w:p>
        </w:tc>
        <w:tc>
          <w:tcPr>
            <w:tcW w:w="2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2,030,030</w:t>
            </w:r>
          </w:p>
        </w:tc>
        <w:tc>
          <w:tcPr>
            <w:tcW w:w="3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6,061,501</w:t>
            </w:r>
          </w:p>
        </w:tc>
        <w:tc>
          <w:tcPr>
            <w:tcW w:w="2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6,240,575</w:t>
            </w:r>
          </w:p>
        </w:tc>
      </w:tr>
      <w:tr>
        <w:trPr>
          <w:trHeight w:val="20"/>
        </w:trPr>
        <w:tc>
          <w:tcPr>
            <w:tcW w:w="5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spacing w:after="0"/>
        <w:rPr>
          <w:sz w:val="20"/>
          <w:szCs w:val="20"/>
          <w:color w:val="auto"/>
        </w:rPr>
      </w:pPr>
      <w:r>
        <w:rPr>
          <w:rFonts w:ascii="Arial" w:cs="Arial" w:eastAsia="Arial" w:hAnsi="Arial"/>
          <w:sz w:val="15"/>
          <w:szCs w:val="15"/>
          <w:color w:val="auto"/>
        </w:rPr>
        <w:t>b) The distribution of income from operations by geographical area was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2800" w:type="dxa"/>
            <w:vAlign w:val="bottom"/>
            <w:tcBorders>
              <w:bottom w:val="single" w:sz="8" w:color="auto"/>
            </w:tcBorders>
            <w:gridSpan w:val="3"/>
            <w:shd w:val="clear" w:color="auto" w:fill="CCEEFF"/>
          </w:tcPr>
          <w:p>
            <w:pPr>
              <w:jc w:val="right"/>
              <w:ind w:right="703"/>
              <w:spacing w:after="0"/>
              <w:rPr>
                <w:sz w:val="20"/>
                <w:szCs w:val="20"/>
                <w:color w:val="auto"/>
              </w:rPr>
            </w:pPr>
            <w:r>
              <w:rPr>
                <w:rFonts w:ascii="Arial" w:cs="Arial" w:eastAsia="Arial" w:hAnsi="Arial"/>
                <w:sz w:val="15"/>
                <w:szCs w:val="15"/>
                <w:b w:val="1"/>
                <w:bCs w:val="1"/>
                <w:color w:val="auto"/>
              </w:rPr>
              <w:t>Three Months Ended</w:t>
            </w:r>
          </w:p>
        </w:tc>
        <w:tc>
          <w:tcPr>
            <w:tcW w:w="320" w:type="dxa"/>
            <w:vAlign w:val="bottom"/>
            <w:tcBorders>
              <w:bottom w:val="single" w:sz="8" w:color="auto"/>
            </w:tcBorders>
            <w:shd w:val="clear" w:color="auto" w:fill="CCEEFF"/>
          </w:tcPr>
          <w:p>
            <w:pPr>
              <w:spacing w:after="0"/>
              <w:rPr>
                <w:sz w:val="17"/>
                <w:szCs w:val="17"/>
                <w:color w:val="auto"/>
              </w:rPr>
            </w:pPr>
          </w:p>
        </w:tc>
        <w:tc>
          <w:tcPr>
            <w:tcW w:w="2740" w:type="dxa"/>
            <w:vAlign w:val="bottom"/>
            <w:tcBorders>
              <w:bottom w:val="single" w:sz="8" w:color="auto"/>
            </w:tcBorders>
            <w:gridSpan w:val="3"/>
            <w:shd w:val="clear" w:color="auto" w:fill="CCEEFF"/>
          </w:tcPr>
          <w:p>
            <w:pPr>
              <w:jc w:val="right"/>
              <w:ind w:right="703"/>
              <w:spacing w:after="0"/>
              <w:rPr>
                <w:sz w:val="20"/>
                <w:szCs w:val="20"/>
                <w:color w:val="auto"/>
              </w:rPr>
            </w:pPr>
            <w:r>
              <w:rPr>
                <w:rFonts w:ascii="Arial" w:cs="Arial" w:eastAsia="Arial" w:hAnsi="Arial"/>
                <w:sz w:val="15"/>
                <w:szCs w:val="15"/>
                <w:b w:val="1"/>
                <w:bCs w:val="1"/>
                <w:color w:val="auto"/>
              </w:rPr>
              <w:t>Nine Months Ended</w:t>
            </w:r>
          </w:p>
        </w:tc>
      </w:tr>
      <w:tr>
        <w:trPr>
          <w:trHeight w:val="148"/>
        </w:trPr>
        <w:tc>
          <w:tcPr>
            <w:tcW w:w="5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September 30,</w:t>
            </w:r>
          </w:p>
        </w:tc>
        <w:tc>
          <w:tcPr>
            <w:tcW w:w="280" w:type="dxa"/>
            <w:vAlign w:val="bottom"/>
          </w:tcPr>
          <w:p>
            <w:pPr>
              <w:spacing w:after="0"/>
              <w:rPr>
                <w:sz w:val="12"/>
                <w:szCs w:val="12"/>
                <w:color w:val="auto"/>
              </w:rPr>
            </w:pPr>
          </w:p>
        </w:tc>
        <w:tc>
          <w:tcPr>
            <w:tcW w:w="128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September 30,</w:t>
            </w:r>
          </w:p>
        </w:tc>
        <w:tc>
          <w:tcPr>
            <w:tcW w:w="320" w:type="dxa"/>
            <w:vAlign w:val="bottom"/>
          </w:tcPr>
          <w:p>
            <w:pPr>
              <w:spacing w:after="0"/>
              <w:rPr>
                <w:sz w:val="12"/>
                <w:szCs w:val="12"/>
                <w:color w:val="auto"/>
              </w:rPr>
            </w:pPr>
          </w:p>
        </w:tc>
        <w:tc>
          <w:tcPr>
            <w:tcW w:w="124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September 30,</w:t>
            </w:r>
          </w:p>
        </w:tc>
        <w:tc>
          <w:tcPr>
            <w:tcW w:w="260" w:type="dxa"/>
            <w:vAlign w:val="bottom"/>
          </w:tcPr>
          <w:p>
            <w:pPr>
              <w:spacing w:after="0"/>
              <w:rPr>
                <w:sz w:val="12"/>
                <w:szCs w:val="12"/>
                <w:color w:val="auto"/>
              </w:rPr>
            </w:pPr>
          </w:p>
        </w:tc>
        <w:tc>
          <w:tcPr>
            <w:tcW w:w="124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September 30,</w:t>
            </w:r>
          </w:p>
        </w:tc>
      </w:tr>
      <w:tr>
        <w:trPr>
          <w:trHeight w:val="206"/>
        </w:trPr>
        <w:tc>
          <w:tcPr>
            <w:tcW w:w="5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r>
      <w:tr>
        <w:trPr>
          <w:trHeight w:val="199"/>
        </w:trPr>
        <w:tc>
          <w:tcPr>
            <w:tcW w:w="5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40" w:type="dxa"/>
            <w:vAlign w:val="bottom"/>
            <w:gridSpan w:val="3"/>
            <w:shd w:val="clear" w:color="auto" w:fill="CCEEFF"/>
          </w:tcPr>
          <w:p>
            <w:pPr>
              <w:jc w:val="right"/>
              <w:ind w:right="943"/>
              <w:spacing w:after="0"/>
              <w:rPr>
                <w:sz w:val="20"/>
                <w:szCs w:val="20"/>
                <w:color w:val="auto"/>
              </w:rPr>
            </w:pPr>
            <w:r>
              <w:rPr>
                <w:rFonts w:ascii="Arial" w:cs="Arial" w:eastAsia="Arial" w:hAnsi="Arial"/>
                <w:sz w:val="15"/>
                <w:szCs w:val="15"/>
                <w:b w:val="1"/>
                <w:bCs w:val="1"/>
                <w:color w:val="auto"/>
              </w:rPr>
              <w:t>(in thousands)</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5"/>
        </w:trPr>
        <w:tc>
          <w:tcPr>
            <w:tcW w:w="5120" w:type="dxa"/>
            <w:vAlign w:val="bottom"/>
          </w:tcPr>
          <w:p>
            <w:pPr>
              <w:ind w:left="20"/>
              <w:spacing w:after="0"/>
              <w:rPr>
                <w:sz w:val="20"/>
                <w:szCs w:val="20"/>
                <w:color w:val="auto"/>
              </w:rPr>
            </w:pPr>
            <w:r>
              <w:rPr>
                <w:rFonts w:ascii="Arial" w:cs="Arial" w:eastAsia="Arial" w:hAnsi="Arial"/>
                <w:sz w:val="15"/>
                <w:szCs w:val="15"/>
                <w:color w:val="auto"/>
              </w:rPr>
              <w:t>Ireland</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172,766</w:t>
            </w:r>
          </w:p>
        </w:tc>
        <w:tc>
          <w:tcPr>
            <w:tcW w:w="2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43"/>
              <w:spacing w:after="0"/>
              <w:rPr>
                <w:sz w:val="20"/>
                <w:szCs w:val="20"/>
                <w:color w:val="auto"/>
              </w:rPr>
            </w:pPr>
            <w:r>
              <w:rPr>
                <w:rFonts w:ascii="Arial" w:cs="Arial" w:eastAsia="Arial" w:hAnsi="Arial"/>
                <w:sz w:val="15"/>
                <w:szCs w:val="15"/>
                <w:color w:val="auto"/>
              </w:rPr>
              <w:t>211,855</w:t>
            </w:r>
          </w:p>
        </w:tc>
        <w:tc>
          <w:tcPr>
            <w:tcW w:w="32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3"/>
              <w:spacing w:after="0"/>
              <w:rPr>
                <w:sz w:val="20"/>
                <w:szCs w:val="20"/>
                <w:color w:val="auto"/>
              </w:rPr>
            </w:pPr>
            <w:r>
              <w:rPr>
                <w:rFonts w:ascii="Arial" w:cs="Arial" w:eastAsia="Arial" w:hAnsi="Arial"/>
                <w:sz w:val="15"/>
                <w:szCs w:val="15"/>
                <w:color w:val="auto"/>
              </w:rPr>
              <w:t>511,921</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687,137</w:t>
            </w:r>
          </w:p>
        </w:tc>
      </w:tr>
      <w:tr>
        <w:trPr>
          <w:trHeight w:val="207"/>
        </w:trPr>
        <w:tc>
          <w:tcPr>
            <w:tcW w:w="5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Rest of Europe</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51,515</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55,040</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94,884</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148,774</w:t>
            </w:r>
          </w:p>
        </w:tc>
      </w:tr>
      <w:tr>
        <w:trPr>
          <w:trHeight w:val="205"/>
        </w:trPr>
        <w:tc>
          <w:tcPr>
            <w:tcW w:w="5120" w:type="dxa"/>
            <w:vAlign w:val="bottom"/>
          </w:tcPr>
          <w:p>
            <w:pPr>
              <w:ind w:left="20"/>
              <w:spacing w:after="0"/>
              <w:rPr>
                <w:sz w:val="20"/>
                <w:szCs w:val="20"/>
                <w:color w:val="auto"/>
              </w:rPr>
            </w:pPr>
            <w:r>
              <w:rPr>
                <w:rFonts w:ascii="Arial" w:cs="Arial" w:eastAsia="Arial" w:hAnsi="Arial"/>
                <w:sz w:val="15"/>
                <w:szCs w:val="15"/>
                <w:color w:val="auto"/>
              </w:rPr>
              <w:t>U.S.</w:t>
            </w: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69,443</w:t>
            </w:r>
          </w:p>
        </w:tc>
        <w:tc>
          <w:tcPr>
            <w:tcW w:w="280" w:type="dxa"/>
            <w:vAlign w:val="bottom"/>
          </w:tcPr>
          <w:p>
            <w:pPr>
              <w:spacing w:after="0"/>
              <w:rPr>
                <w:sz w:val="17"/>
                <w:szCs w:val="17"/>
                <w:color w:val="auto"/>
              </w:rPr>
            </w:pPr>
          </w:p>
        </w:tc>
        <w:tc>
          <w:tcPr>
            <w:tcW w:w="1280" w:type="dxa"/>
            <w:vAlign w:val="bottom"/>
          </w:tcPr>
          <w:p>
            <w:pPr>
              <w:jc w:val="right"/>
              <w:ind w:right="43"/>
              <w:spacing w:after="0"/>
              <w:rPr>
                <w:sz w:val="20"/>
                <w:szCs w:val="20"/>
                <w:color w:val="auto"/>
              </w:rPr>
            </w:pPr>
            <w:r>
              <w:rPr>
                <w:rFonts w:ascii="Arial" w:cs="Arial" w:eastAsia="Arial" w:hAnsi="Arial"/>
                <w:sz w:val="15"/>
                <w:szCs w:val="15"/>
                <w:color w:val="auto"/>
              </w:rPr>
              <w:t>59,326</w:t>
            </w:r>
          </w:p>
        </w:tc>
        <w:tc>
          <w:tcPr>
            <w:tcW w:w="32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5"/>
                <w:szCs w:val="15"/>
                <w:color w:val="auto"/>
              </w:rPr>
              <w:t>206,303</w:t>
            </w: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201,015</w:t>
            </w:r>
          </w:p>
        </w:tc>
      </w:tr>
      <w:tr>
        <w:trPr>
          <w:trHeight w:val="206"/>
        </w:trPr>
        <w:tc>
          <w:tcPr>
            <w:tcW w:w="5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Rest of World</w:t>
            </w:r>
          </w:p>
        </w:tc>
        <w:tc>
          <w:tcPr>
            <w:tcW w:w="2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16,848</w:t>
            </w:r>
          </w:p>
        </w:tc>
        <w:tc>
          <w:tcPr>
            <w:tcW w:w="2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17,239</w:t>
            </w:r>
          </w:p>
        </w:tc>
        <w:tc>
          <w:tcPr>
            <w:tcW w:w="3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44,236</w:t>
            </w:r>
          </w:p>
        </w:tc>
        <w:tc>
          <w:tcPr>
            <w:tcW w:w="2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54,875</w:t>
            </w:r>
          </w:p>
        </w:tc>
      </w:tr>
      <w:tr>
        <w:trPr>
          <w:trHeight w:val="199"/>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Sub-total</w:t>
            </w:r>
          </w:p>
        </w:tc>
        <w:tc>
          <w:tcPr>
            <w:tcW w:w="2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310,572</w:t>
            </w:r>
          </w:p>
        </w:tc>
        <w:tc>
          <w:tcPr>
            <w:tcW w:w="2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343,460</w:t>
            </w:r>
          </w:p>
        </w:tc>
        <w:tc>
          <w:tcPr>
            <w:tcW w:w="3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857,344</w:t>
            </w:r>
          </w:p>
        </w:tc>
        <w:tc>
          <w:tcPr>
            <w:tcW w:w="2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1,091,801</w:t>
            </w:r>
          </w:p>
        </w:tc>
      </w:tr>
      <w:tr>
        <w:trPr>
          <w:trHeight w:val="200"/>
        </w:trPr>
        <w:tc>
          <w:tcPr>
            <w:tcW w:w="5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Amortization of intangible assets</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(58,688)</w:t>
            </w: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(58,026)</w:t>
            </w: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(176,691)</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(291,013)</w:t>
            </w:r>
          </w:p>
        </w:tc>
      </w:tr>
      <w:tr>
        <w:trPr>
          <w:trHeight w:val="205"/>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Goodwill impairment</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(165,300)</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(165,300)</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224"/>
        </w:trPr>
        <w:tc>
          <w:tcPr>
            <w:tcW w:w="5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86,584</w:t>
            </w:r>
          </w:p>
        </w:tc>
        <w:tc>
          <w:tcPr>
            <w:tcW w:w="2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285,434</w:t>
            </w:r>
          </w:p>
        </w:tc>
        <w:tc>
          <w:tcPr>
            <w:tcW w:w="3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515,353</w:t>
            </w: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800,788</w:t>
            </w:r>
          </w:p>
        </w:tc>
      </w:tr>
      <w:tr>
        <w:trPr>
          <w:trHeight w:val="20"/>
        </w:trPr>
        <w:tc>
          <w:tcPr>
            <w:tcW w:w="5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spacing w:after="0"/>
        <w:rPr>
          <w:sz w:val="20"/>
          <w:szCs w:val="20"/>
          <w:color w:val="auto"/>
        </w:rPr>
      </w:pPr>
      <w:r>
        <w:rPr>
          <w:rFonts w:ascii="Arial" w:cs="Arial" w:eastAsia="Arial" w:hAnsi="Arial"/>
          <w:sz w:val="15"/>
          <w:szCs w:val="15"/>
          <w:color w:val="auto"/>
        </w:rPr>
        <w:t>c) The distribution of long-lived assets (property, plant and equipment and operating right-of-use assets), net, by geographical area was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40" w:type="dxa"/>
            <w:vAlign w:val="bottom"/>
            <w:shd w:val="clear" w:color="auto" w:fill="CCEEFF"/>
          </w:tcPr>
          <w:p>
            <w:pPr>
              <w:spacing w:after="0"/>
              <w:rPr>
                <w:sz w:val="15"/>
                <w:szCs w:val="15"/>
                <w:color w:val="auto"/>
              </w:rPr>
            </w:pPr>
          </w:p>
        </w:tc>
        <w:tc>
          <w:tcPr>
            <w:tcW w:w="38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September 30,</w:t>
            </w:r>
          </w:p>
        </w:tc>
        <w:tc>
          <w:tcPr>
            <w:tcW w:w="150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December 31, 2024</w:t>
            </w:r>
          </w:p>
        </w:tc>
        <w:tc>
          <w:tcPr>
            <w:tcW w:w="0" w:type="dxa"/>
            <w:vAlign w:val="bottom"/>
          </w:tcPr>
          <w:p>
            <w:pPr>
              <w:spacing w:after="0"/>
              <w:rPr>
                <w:sz w:val="1"/>
                <w:szCs w:val="1"/>
                <w:color w:val="auto"/>
              </w:rPr>
            </w:pPr>
          </w:p>
        </w:tc>
      </w:tr>
      <w:tr>
        <w:trPr>
          <w:trHeight w:val="206"/>
        </w:trPr>
        <w:tc>
          <w:tcPr>
            <w:tcW w:w="4640" w:type="dxa"/>
            <w:vAlign w:val="bottom"/>
            <w:tcBorders>
              <w:bottom w:val="single" w:sz="8" w:color="auto"/>
            </w:tcBorders>
            <w:shd w:val="clear" w:color="auto" w:fill="CCEEFF"/>
          </w:tcPr>
          <w:p>
            <w:pPr>
              <w:spacing w:after="0"/>
              <w:rPr>
                <w:sz w:val="17"/>
                <w:szCs w:val="17"/>
                <w:color w:val="auto"/>
              </w:rPr>
            </w:pPr>
          </w:p>
        </w:tc>
        <w:tc>
          <w:tcPr>
            <w:tcW w:w="38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2025</w:t>
            </w:r>
          </w:p>
        </w:tc>
        <w:tc>
          <w:tcPr>
            <w:tcW w:w="1500" w:type="dxa"/>
            <w:vAlign w:val="bottom"/>
            <w:tcBorders>
              <w:bottom w:val="single" w:sz="8" w:color="auto"/>
            </w:tcBorders>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64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940" w:type="dxa"/>
            <w:vAlign w:val="bottom"/>
            <w:gridSpan w:val="2"/>
          </w:tcPr>
          <w:p>
            <w:pPr>
              <w:jc w:val="right"/>
              <w:ind w:right="103"/>
              <w:spacing w:after="0"/>
              <w:rPr>
                <w:sz w:val="20"/>
                <w:szCs w:val="20"/>
                <w:color w:val="auto"/>
              </w:rPr>
            </w:pPr>
            <w:r>
              <w:rPr>
                <w:rFonts w:ascii="Arial" w:cs="Arial" w:eastAsia="Arial" w:hAnsi="Arial"/>
                <w:sz w:val="15"/>
                <w:szCs w:val="15"/>
                <w:b w:val="1"/>
                <w:bCs w:val="1"/>
                <w:color w:val="auto"/>
              </w:rPr>
              <w:t>(in thousands)</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Ireland</w:t>
            </w:r>
          </w:p>
        </w:tc>
        <w:tc>
          <w:tcPr>
            <w:tcW w:w="38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238,817</w:t>
            </w:r>
          </w:p>
        </w:tc>
        <w:tc>
          <w:tcPr>
            <w:tcW w:w="700" w:type="dxa"/>
            <w:vAlign w:val="bottom"/>
            <w:shd w:val="clear" w:color="auto" w:fill="CCEEFF"/>
          </w:tcPr>
          <w:p>
            <w:pPr>
              <w:jc w:val="right"/>
              <w:ind w:right="523"/>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234,175</w:t>
            </w:r>
          </w:p>
        </w:tc>
        <w:tc>
          <w:tcPr>
            <w:tcW w:w="0" w:type="dxa"/>
            <w:vAlign w:val="bottom"/>
          </w:tcPr>
          <w:p>
            <w:pPr>
              <w:spacing w:after="0"/>
              <w:rPr>
                <w:sz w:val="1"/>
                <w:szCs w:val="1"/>
                <w:color w:val="auto"/>
              </w:rPr>
            </w:pPr>
          </w:p>
        </w:tc>
      </w:tr>
      <w:tr>
        <w:trPr>
          <w:trHeight w:val="205"/>
        </w:trPr>
        <w:tc>
          <w:tcPr>
            <w:tcW w:w="4640" w:type="dxa"/>
            <w:vAlign w:val="bottom"/>
          </w:tcPr>
          <w:p>
            <w:pPr>
              <w:ind w:left="20"/>
              <w:spacing w:after="0"/>
              <w:rPr>
                <w:sz w:val="20"/>
                <w:szCs w:val="20"/>
                <w:color w:val="auto"/>
              </w:rPr>
            </w:pPr>
            <w:r>
              <w:rPr>
                <w:rFonts w:ascii="Arial" w:cs="Arial" w:eastAsia="Arial" w:hAnsi="Arial"/>
                <w:sz w:val="15"/>
                <w:szCs w:val="15"/>
                <w:color w:val="auto"/>
              </w:rPr>
              <w:t>Rest of Europe</w:t>
            </w:r>
          </w:p>
        </w:tc>
        <w:tc>
          <w:tcPr>
            <w:tcW w:w="386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5"/>
                <w:szCs w:val="15"/>
                <w:color w:val="auto"/>
              </w:rPr>
              <w:t>93,847</w:t>
            </w:r>
          </w:p>
        </w:tc>
        <w:tc>
          <w:tcPr>
            <w:tcW w:w="7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88,556</w:t>
            </w:r>
          </w:p>
        </w:tc>
        <w:tc>
          <w:tcPr>
            <w:tcW w:w="0" w:type="dxa"/>
            <w:vAlign w:val="bottom"/>
          </w:tcPr>
          <w:p>
            <w:pPr>
              <w:spacing w:after="0"/>
              <w:rPr>
                <w:sz w:val="1"/>
                <w:szCs w:val="1"/>
                <w:color w:val="auto"/>
              </w:rPr>
            </w:pPr>
          </w:p>
        </w:tc>
      </w:tr>
      <w:tr>
        <w:trPr>
          <w:trHeight w:val="207"/>
        </w:trPr>
        <w:tc>
          <w:tcPr>
            <w:tcW w:w="4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U.S.</w:t>
            </w:r>
          </w:p>
        </w:tc>
        <w:tc>
          <w:tcPr>
            <w:tcW w:w="38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134,221</w:t>
            </w: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145,391</w:t>
            </w:r>
          </w:p>
        </w:tc>
        <w:tc>
          <w:tcPr>
            <w:tcW w:w="0" w:type="dxa"/>
            <w:vAlign w:val="bottom"/>
          </w:tcPr>
          <w:p>
            <w:pPr>
              <w:spacing w:after="0"/>
              <w:rPr>
                <w:sz w:val="1"/>
                <w:szCs w:val="1"/>
                <w:color w:val="auto"/>
              </w:rPr>
            </w:pPr>
          </w:p>
        </w:tc>
      </w:tr>
      <w:tr>
        <w:trPr>
          <w:trHeight w:val="205"/>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Rest of World</w:t>
            </w:r>
          </w:p>
        </w:tc>
        <w:tc>
          <w:tcPr>
            <w:tcW w:w="38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58,293</w:t>
            </w:r>
          </w:p>
        </w:tc>
        <w:tc>
          <w:tcPr>
            <w:tcW w:w="7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62,359</w:t>
            </w:r>
          </w:p>
        </w:tc>
        <w:tc>
          <w:tcPr>
            <w:tcW w:w="0" w:type="dxa"/>
            <w:vAlign w:val="bottom"/>
          </w:tcPr>
          <w:p>
            <w:pPr>
              <w:spacing w:after="0"/>
              <w:rPr>
                <w:sz w:val="1"/>
                <w:szCs w:val="1"/>
                <w:color w:val="auto"/>
              </w:rPr>
            </w:pPr>
          </w:p>
        </w:tc>
      </w:tr>
      <w:tr>
        <w:trPr>
          <w:trHeight w:val="224"/>
        </w:trPr>
        <w:tc>
          <w:tcPr>
            <w:tcW w:w="4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38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525,178</w:t>
            </w:r>
          </w:p>
        </w:tc>
        <w:tc>
          <w:tcPr>
            <w:tcW w:w="700" w:type="dxa"/>
            <w:vAlign w:val="bottom"/>
            <w:tcBorders>
              <w:bottom w:val="single" w:sz="8" w:color="auto"/>
            </w:tcBorders>
            <w:shd w:val="clear" w:color="auto" w:fill="CCEEFF"/>
          </w:tcPr>
          <w:p>
            <w:pPr>
              <w:jc w:val="right"/>
              <w:ind w:right="523"/>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530,481</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auto"/>
            </w:tcBorders>
          </w:tcPr>
          <w:p>
            <w:pPr>
              <w:spacing w:after="0" w:line="20" w:lineRule="exact"/>
              <w:rPr>
                <w:sz w:val="1"/>
                <w:szCs w:val="1"/>
                <w:color w:val="auto"/>
              </w:rPr>
            </w:pPr>
          </w:p>
        </w:tc>
        <w:tc>
          <w:tcPr>
            <w:tcW w:w="38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28" w:name="page29"/>
    <w:bookmarkEnd w:id="28"/>
    <w:p>
      <w:pPr>
        <w:spacing w:after="0"/>
        <w:rPr>
          <w:sz w:val="20"/>
          <w:szCs w:val="20"/>
          <w:color w:val="auto"/>
        </w:rPr>
      </w:pPr>
      <w:r>
        <w:rPr>
          <w:rFonts w:ascii="Arial" w:cs="Arial" w:eastAsia="Arial" w:hAnsi="Arial"/>
          <w:sz w:val="15"/>
          <w:szCs w:val="15"/>
          <w:b w:val="1"/>
          <w:bCs w:val="1"/>
          <w:color w:val="auto"/>
        </w:rPr>
        <w:t>16. Commitments and contingencies</w:t>
      </w:r>
    </w:p>
    <w:p>
      <w:pPr>
        <w:spacing w:after="0" w:line="229" w:lineRule="exact"/>
        <w:rPr>
          <w:sz w:val="20"/>
          <w:szCs w:val="20"/>
          <w:color w:val="auto"/>
        </w:rPr>
      </w:pPr>
    </w:p>
    <w:p>
      <w:pPr>
        <w:jc w:val="both"/>
        <w:ind w:firstLine="619"/>
        <w:spacing w:after="0" w:line="253" w:lineRule="auto"/>
        <w:rPr>
          <w:sz w:val="20"/>
          <w:szCs w:val="20"/>
          <w:color w:val="auto"/>
        </w:rPr>
      </w:pPr>
      <w:r>
        <w:rPr>
          <w:rFonts w:ascii="Arial" w:cs="Arial" w:eastAsia="Arial" w:hAnsi="Arial"/>
          <w:sz w:val="15"/>
          <w:szCs w:val="15"/>
          <w:color w:val="auto"/>
        </w:rPr>
        <w:t>We do not expect any current litigation to have a materially adverse effect on our financial condition or results of operations. However, from time to time, we may become involved in various lawsuits and legal proceedings which arise in the ordinary course of business. Litigation is subject to inherent uncertainties, and an adverse result in these or other matters may arise from time to time that may harm our business, and one or more unfavorable outcomes could adversely affect us for the period in which they are resolved. In addition, regardless of their merits or their ultimate outcomes, lawsuits and legal proceedings are costly, divert management attention, and may adversely affect our reputation, even if they are resolved in our favor.</w:t>
      </w:r>
    </w:p>
    <w:p>
      <w:pPr>
        <w:spacing w:after="0" w:line="212" w:lineRule="exact"/>
        <w:rPr>
          <w:sz w:val="20"/>
          <w:szCs w:val="20"/>
          <w:color w:val="auto"/>
        </w:rPr>
      </w:pPr>
    </w:p>
    <w:p>
      <w:pPr>
        <w:jc w:val="both"/>
        <w:ind w:firstLine="619"/>
        <w:spacing w:after="0" w:line="247" w:lineRule="auto"/>
        <w:rPr>
          <w:sz w:val="20"/>
          <w:szCs w:val="20"/>
          <w:color w:val="auto"/>
        </w:rPr>
      </w:pPr>
      <w:r>
        <w:rPr>
          <w:rFonts w:ascii="Arial" w:cs="Arial" w:eastAsia="Arial" w:hAnsi="Arial"/>
          <w:sz w:val="15"/>
          <w:szCs w:val="15"/>
          <w:color w:val="auto"/>
        </w:rPr>
        <w:t xml:space="preserve">The Company, its now-former Chief Executive Officer, and its former Chief Financial Officer were named as defendants in two class action lawsuits involving similar claims, filed in the United States District Court for the Eastern District of New York on February 10, 2025 (Shing v. ICON plc, et al.) and April 2, 2025 (Police and Fire Retirement System of the City of Detroit v. ICON plc), respectively, alleging that defendants made misleading statements regarding the Company’s financial performance and future business prospects in violation of Sections 10(b) and 20(a) of the Securities Exchange Act of 1934. The two cases have been consolidated and are proceeding under the caption </w:t>
      </w:r>
      <w:r>
        <w:rPr>
          <w:rFonts w:ascii="Arial" w:cs="Arial" w:eastAsia="Arial" w:hAnsi="Arial"/>
          <w:sz w:val="15"/>
          <w:szCs w:val="15"/>
          <w:i w:val="1"/>
          <w:iCs w:val="1"/>
          <w:color w:val="auto"/>
        </w:rPr>
        <w:t>In re ICON plc Securities Litigation</w:t>
      </w:r>
      <w:r>
        <w:rPr>
          <w:rFonts w:ascii="Arial" w:cs="Arial" w:eastAsia="Arial" w:hAnsi="Arial"/>
          <w:sz w:val="15"/>
          <w:szCs w:val="15"/>
          <w:color w:val="auto"/>
        </w:rPr>
        <w:t>, No. 2:25-cv-00763. Lead plaintiffs and lead counsel for the putative class were appointed on June 10, 2025. On September 12, 2025, the lead plaintiffs filed an amended complaint that names the Company’s current Chief Executive Officer in addition to the original defendants. The Company intends to defend the action vigorously and is preparing a motion to dismiss, which is due by November 12, 2025.</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17. Subsequent events</w:t>
      </w:r>
    </w:p>
    <w:p>
      <w:pPr>
        <w:spacing w:after="0" w:line="24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 has evaluated subsequent events from the Balance Sheet date through to the date at which the financial statements were available to be</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issued.</w:t>
      </w:r>
    </w:p>
    <w:p>
      <w:pPr>
        <w:spacing w:after="0" w:line="226"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 has determined that there are no items to disclose.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73660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29" w:name="page30"/>
    <w:bookmarkEnd w:id="29"/>
    <w:p>
      <w:pPr>
        <w:spacing w:after="0"/>
        <w:rPr>
          <w:sz w:val="20"/>
          <w:szCs w:val="20"/>
          <w:color w:val="auto"/>
        </w:rPr>
      </w:pPr>
      <w:r>
        <w:rPr>
          <w:rFonts w:ascii="Arial" w:cs="Arial" w:eastAsia="Arial" w:hAnsi="Arial"/>
          <w:sz w:val="15"/>
          <w:szCs w:val="15"/>
          <w:b w:val="1"/>
          <w:bCs w:val="1"/>
          <w:color w:val="auto"/>
        </w:rPr>
        <w:t>ICON plc</w:t>
      </w: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55"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The following discussion and analysis should be read in conjunction with the unaudited condensed consolidated financial statements and accompanying notes included elsewhere herein and the consolidated financial statements and related notes thereto included in our Form 20-F for the year ended December 31, 2024. The consolidated financial statements have been prepared in accordance with accounting principles generally accepted in the United States.</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w:t>
      </w:r>
    </w:p>
    <w:p>
      <w:pPr>
        <w:spacing w:after="0" w:line="242"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5"/>
          <w:szCs w:val="15"/>
          <w:color w:val="auto"/>
        </w:rPr>
        <w:t>We are a CRO providing outsourced services on a global basis to pharmaceutical, biotechnology, medical device and government and public health organizations. We specialize in the strategic development, management and analysis of programs that support all stages of the clinical development process, from compound selection to Phase I-IV clinical studies. Our vision is to be the healthcare intelligence partner of choice by delivering industry leading solutions and best in class performance in clinical development.</w:t>
      </w:r>
    </w:p>
    <w:p>
      <w:pPr>
        <w:spacing w:after="0" w:line="18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"full-service" or a “blended-service” solution. At September 30, 2025 we had approximately 39,800 employees in 95 locations in 55 countries. During the three months ended September 30, 2025 we derived 31.7%, 56.8% and 11.5% of our revenue in the United States, Europe and other regions ("Rest of World") respectively (during the three months ended September 30, 2024: 37.2%, 51.1% and 11.7% respectively).</w:t>
      </w:r>
    </w:p>
    <w:p>
      <w:pPr>
        <w:spacing w:after="0" w:line="204"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color w:val="auto"/>
        </w:rPr>
        <w:t>Revenue consists of fees earned under contracts with third-party clients. In most cases, a portion of the contract fee is paid at the time the study or trial is started, with the balance of the contract fee generally payable in installments over the study or trial duration, based on the delivery of certain performance targets or milestones. Revenue from long term contracts is recognized on a proportional performance method based on the relationship between cost incurred and the total estimated costs of the trial or on a fee-for-service basis according to the particular circumstances of the contract. As is customary in the CRO industry, we contract with third party investigators in connection with clinical trials. Investigator costs and certain other third party costs are included in our assessment of progress towards completion and costs incurred in measuring revenue. Where these costs are reimbursed by clients, they are included in the total contract value recognized over time, based on our assessment of progress towards completion.</w:t>
      </w:r>
    </w:p>
    <w:p>
      <w:pPr>
        <w:spacing w:after="0" w:line="206"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As the nature of our business involves the management of projects, the majority of which have a duration of one to four years, the commencement or completion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such clients from year to year.</w:t>
      </w:r>
    </w:p>
    <w:p>
      <w:pPr>
        <w:spacing w:after="0" w:line="188"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Termination or delay in the performance of an individual contract may occur for various reasons, including, but not limited to, unexpected or undesired results, production problems resulting in shortages of the drug, adverse patient reactions to the drug, the client’s decision to de-emphasize a particular trial or inadequate patient enrollment or investigator recruitment. In the event of termination, the Company is usually entitled to all sums owed for work performed through the notice of termination and certain costs associated with the termination of the study. In addition, contracts generally contain provisions for renegotiation in the event of changes in the scope, nature, duration, or volume of services of the contract.</w:t>
      </w:r>
    </w:p>
    <w:p>
      <w:pPr>
        <w:spacing w:after="0" w:line="186"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 xml:space="preserve">Our unsatisfied performance obligation comprises our assessment of contracted revenue yet to be earned from projects awarded by clients. At September 30, 2025 we had unsatisfied performance obligations of approximately $14.0 billion </w:t>
      </w:r>
      <w:r>
        <w:rPr>
          <w:rFonts w:ascii="Arial" w:cs="Arial" w:eastAsia="Arial" w:hAnsi="Arial"/>
          <w:sz w:val="15"/>
          <w:szCs w:val="15"/>
          <w:i w:val="1"/>
          <w:iCs w:val="1"/>
          <w:color w:val="auto"/>
        </w:rPr>
        <w:t>(</w:t>
      </w:r>
      <w:r>
        <w:rPr>
          <w:rFonts w:ascii="Arial" w:cs="Arial" w:eastAsia="Arial" w:hAnsi="Arial"/>
          <w:sz w:val="15"/>
          <w:szCs w:val="15"/>
          <w:color w:val="auto"/>
        </w:rPr>
        <w:t xml:space="preserve">see </w:t>
      </w:r>
      <w:r>
        <w:rPr>
          <w:rFonts w:ascii="Arial" w:cs="Arial" w:eastAsia="Arial" w:hAnsi="Arial"/>
          <w:sz w:val="15"/>
          <w:szCs w:val="15"/>
          <w:i w:val="1"/>
          <w:iCs w:val="1"/>
          <w:color w:val="auto"/>
        </w:rPr>
        <w:t>note 4 - Accounts receivable, unbilled revenue (contract assets)</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and unearned revenue or payments on account (contract liabilities) </w:t>
      </w:r>
      <w:r>
        <w:rPr>
          <w:rFonts w:ascii="Arial" w:cs="Arial" w:eastAsia="Arial" w:hAnsi="Arial"/>
          <w:sz w:val="15"/>
          <w:szCs w:val="15"/>
          <w:color w:val="auto"/>
        </w:rPr>
        <w:t>for further details). We believe that our unsatisfied performance obligation as of any date is not</w:t>
      </w:r>
      <w:r>
        <w:rPr>
          <w:rFonts w:ascii="Arial" w:cs="Arial" w:eastAsia="Arial" w:hAnsi="Arial"/>
          <w:sz w:val="15"/>
          <w:szCs w:val="15"/>
          <w:i w:val="1"/>
          <w:iCs w:val="1"/>
          <w:color w:val="auto"/>
        </w:rPr>
        <w:t xml:space="preserve"> </w:t>
      </w:r>
      <w:r>
        <w:rPr>
          <w:rFonts w:ascii="Arial" w:cs="Arial" w:eastAsia="Arial" w:hAnsi="Arial"/>
          <w:sz w:val="15"/>
          <w:szCs w:val="15"/>
          <w:color w:val="auto"/>
        </w:rPr>
        <w:t>necessarily a meaningful predictor of future results, due to the potential for cancellation or delay of the projects included in the unsatisfied performance obligation, and no assurances can be given on the extent to which we will be able to realize the unsatisfied performance obligation.</w:t>
      </w:r>
    </w:p>
    <w:p>
      <w:pPr>
        <w:spacing w:after="0" w:line="186"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Although we are domiciled in Ireland, we report our results in U.S. dollars. As a consequence, the results of our non-U.S. based operations, when translated into U.S. dollars, could be materially affected by fluctuations in exchange rates between the U.S. dollar and the currencies of those operations.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73660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30" w:name="page31"/>
    <w:bookmarkEnd w:id="30"/>
    <w:p>
      <w:pPr>
        <w:jc w:val="both"/>
        <w:ind w:firstLine="619"/>
        <w:spacing w:after="0" w:line="264" w:lineRule="auto"/>
        <w:rPr>
          <w:sz w:val="20"/>
          <w:szCs w:val="20"/>
          <w:color w:val="auto"/>
        </w:rPr>
      </w:pPr>
      <w:r>
        <w:rPr>
          <w:rFonts w:ascii="Arial" w:cs="Arial" w:eastAsia="Arial" w:hAnsi="Arial"/>
          <w:sz w:val="15"/>
          <w:szCs w:val="15"/>
          <w:color w:val="auto"/>
        </w:rPr>
        <w:t>In addition to translation exposures, we are also subject to transaction exposures where the currency in which contracts are priced can be different from the currencies in which costs relating to those contracts are incurred. Our operations in the U.S. are not materially exposed to such currency differences as the majority of our revenues and costs are in U.S. dollars. However, outside of the U.S. the multinational nature of our activities means that contracts are usually priced in a single currency, most often U.S. dollars or euro,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We regularly review our currency exposures.</w:t>
      </w:r>
    </w:p>
    <w:p>
      <w:pPr>
        <w:spacing w:after="0" w:line="206"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As we conduct operations on a global basis, our effective tax rate has depended, and will depend, on the geographic distribution of our revenue and earnings among locations with varying tax rates. Our results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Operating Results</w:t>
      </w:r>
    </w:p>
    <w:p>
      <w:pPr>
        <w:spacing w:after="0" w:line="242"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The following tables sets forth for the periods indicated certain financial data as a percentage of revenue and the percentage change in these items compared to the prior comparable period. The trends illustrated in the following table may not be indicative of future results.</w:t>
      </w:r>
    </w:p>
    <w:p>
      <w:pPr>
        <w:spacing w:after="0" w:line="38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Three Months Ended September 30, 2025</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580" w:type="dxa"/>
            <w:vAlign w:val="bottom"/>
            <w:shd w:val="clear" w:color="auto" w:fill="CCEEFF"/>
          </w:tcPr>
          <w:p>
            <w:pPr>
              <w:spacing w:after="0"/>
              <w:rPr>
                <w:sz w:val="14"/>
                <w:szCs w:val="14"/>
                <w:color w:val="auto"/>
              </w:rPr>
            </w:pPr>
          </w:p>
        </w:tc>
        <w:tc>
          <w:tcPr>
            <w:tcW w:w="2460" w:type="dxa"/>
            <w:vAlign w:val="bottom"/>
            <w:shd w:val="clear" w:color="auto" w:fill="CCEEFF"/>
          </w:tcPr>
          <w:p>
            <w:pPr>
              <w:jc w:val="center"/>
              <w:ind w:left="563"/>
              <w:spacing w:after="0"/>
              <w:rPr>
                <w:sz w:val="20"/>
                <w:szCs w:val="20"/>
                <w:color w:val="auto"/>
              </w:rPr>
            </w:pPr>
            <w:r>
              <w:rPr>
                <w:rFonts w:ascii="Arial" w:cs="Arial" w:eastAsia="Arial" w:hAnsi="Arial"/>
                <w:sz w:val="15"/>
                <w:szCs w:val="15"/>
                <w:b w:val="1"/>
                <w:bCs w:val="1"/>
                <w:color w:val="auto"/>
              </w:rPr>
              <w:t>Three Months Ended</w:t>
            </w:r>
          </w:p>
        </w:tc>
        <w:tc>
          <w:tcPr>
            <w:tcW w:w="8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r>
      <w:tr>
        <w:trPr>
          <w:trHeight w:val="206"/>
        </w:trPr>
        <w:tc>
          <w:tcPr>
            <w:tcW w:w="6580" w:type="dxa"/>
            <w:vAlign w:val="bottom"/>
            <w:shd w:val="clear" w:color="auto" w:fill="CCEEFF"/>
          </w:tcPr>
          <w:p>
            <w:pPr>
              <w:spacing w:after="0"/>
              <w:rPr>
                <w:sz w:val="17"/>
                <w:szCs w:val="17"/>
                <w:color w:val="auto"/>
              </w:rPr>
            </w:pPr>
          </w:p>
        </w:tc>
        <w:tc>
          <w:tcPr>
            <w:tcW w:w="2460" w:type="dxa"/>
            <w:vAlign w:val="bottom"/>
            <w:tcBorders>
              <w:bottom w:val="single" w:sz="8" w:color="auto"/>
            </w:tcBorders>
            <w:shd w:val="clear" w:color="auto" w:fill="CCEEFF"/>
          </w:tcPr>
          <w:p>
            <w:pPr>
              <w:jc w:val="center"/>
              <w:ind w:left="563"/>
              <w:spacing w:after="0"/>
              <w:rPr>
                <w:sz w:val="20"/>
                <w:szCs w:val="20"/>
                <w:color w:val="auto"/>
              </w:rPr>
            </w:pPr>
            <w:r>
              <w:rPr>
                <w:rFonts w:ascii="Arial" w:cs="Arial" w:eastAsia="Arial" w:hAnsi="Arial"/>
                <w:sz w:val="15"/>
                <w:szCs w:val="15"/>
                <w:b w:val="1"/>
                <w:bCs w:val="1"/>
                <w:color w:val="auto"/>
              </w:rPr>
              <w:t>September 30,</w:t>
            </w:r>
          </w:p>
        </w:tc>
        <w:tc>
          <w:tcPr>
            <w:tcW w:w="8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spacing w:after="0"/>
              <w:rPr>
                <w:sz w:val="17"/>
                <w:szCs w:val="17"/>
                <w:color w:val="auto"/>
              </w:rPr>
            </w:pPr>
          </w:p>
        </w:tc>
      </w:tr>
      <w:tr>
        <w:trPr>
          <w:trHeight w:val="199"/>
        </w:trPr>
        <w:tc>
          <w:tcPr>
            <w:tcW w:w="658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tcPr>
          <w:p>
            <w:pPr>
              <w:jc w:val="right"/>
              <w:ind w:right="863"/>
              <w:spacing w:after="0"/>
              <w:rPr>
                <w:sz w:val="20"/>
                <w:szCs w:val="20"/>
                <w:color w:val="auto"/>
              </w:rPr>
            </w:pPr>
            <w:r>
              <w:rPr>
                <w:rFonts w:ascii="Arial" w:cs="Arial" w:eastAsia="Arial" w:hAnsi="Arial"/>
                <w:sz w:val="15"/>
                <w:szCs w:val="15"/>
                <w:b w:val="1"/>
                <w:bCs w:val="1"/>
                <w:color w:val="auto"/>
              </w:rPr>
              <w:t>2025</w:t>
            </w:r>
          </w:p>
        </w:tc>
        <w:tc>
          <w:tcPr>
            <w:tcW w:w="80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2024</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 to 2025</w:t>
            </w:r>
          </w:p>
        </w:tc>
      </w:tr>
      <w:tr>
        <w:trPr>
          <w:trHeight w:val="148"/>
        </w:trPr>
        <w:tc>
          <w:tcPr>
            <w:tcW w:w="6580" w:type="dxa"/>
            <w:vAlign w:val="bottom"/>
            <w:shd w:val="clear" w:color="auto" w:fill="CCEEFF"/>
          </w:tcPr>
          <w:p>
            <w:pPr>
              <w:spacing w:after="0"/>
              <w:rPr>
                <w:sz w:val="12"/>
                <w:szCs w:val="12"/>
                <w:color w:val="auto"/>
              </w:rPr>
            </w:pPr>
          </w:p>
        </w:tc>
        <w:tc>
          <w:tcPr>
            <w:tcW w:w="2460" w:type="dxa"/>
            <w:vAlign w:val="bottom"/>
            <w:shd w:val="clear" w:color="auto" w:fill="CCEEFF"/>
          </w:tcPr>
          <w:p>
            <w:pPr>
              <w:jc w:val="center"/>
              <w:ind w:left="543"/>
              <w:spacing w:after="0" w:line="148" w:lineRule="exact"/>
              <w:rPr>
                <w:sz w:val="20"/>
                <w:szCs w:val="20"/>
                <w:color w:val="auto"/>
              </w:rPr>
            </w:pPr>
            <w:r>
              <w:rPr>
                <w:rFonts w:ascii="Arial" w:cs="Arial" w:eastAsia="Arial" w:hAnsi="Arial"/>
                <w:sz w:val="15"/>
                <w:szCs w:val="15"/>
                <w:b w:val="1"/>
                <w:bCs w:val="1"/>
                <w:color w:val="auto"/>
              </w:rPr>
              <w:t>Percentage of Revenue</w:t>
            </w:r>
          </w:p>
        </w:tc>
        <w:tc>
          <w:tcPr>
            <w:tcW w:w="800" w:type="dxa"/>
            <w:vAlign w:val="bottom"/>
            <w:shd w:val="clear" w:color="auto" w:fill="CCEEFF"/>
          </w:tcPr>
          <w:p>
            <w:pPr>
              <w:spacing w:after="0"/>
              <w:rPr>
                <w:sz w:val="12"/>
                <w:szCs w:val="12"/>
                <w:color w:val="auto"/>
              </w:rPr>
            </w:pPr>
          </w:p>
        </w:tc>
        <w:tc>
          <w:tcPr>
            <w:tcW w:w="1400" w:type="dxa"/>
            <w:vAlign w:val="bottom"/>
            <w:shd w:val="clear" w:color="auto" w:fill="CCEEFF"/>
          </w:tcPr>
          <w:p>
            <w:pPr>
              <w:jc w:val="center"/>
              <w:ind w:right="83"/>
              <w:spacing w:after="0" w:line="148" w:lineRule="exact"/>
              <w:rPr>
                <w:sz w:val="20"/>
                <w:szCs w:val="20"/>
                <w:color w:val="auto"/>
              </w:rPr>
            </w:pPr>
            <w:r>
              <w:rPr>
                <w:rFonts w:ascii="Arial" w:cs="Arial" w:eastAsia="Arial" w:hAnsi="Arial"/>
                <w:sz w:val="15"/>
                <w:szCs w:val="15"/>
                <w:b w:val="1"/>
                <w:bCs w:val="1"/>
                <w:color w:val="auto"/>
              </w:rPr>
              <w:t>Percentage</w:t>
            </w:r>
          </w:p>
        </w:tc>
      </w:tr>
      <w:tr>
        <w:trPr>
          <w:trHeight w:val="155"/>
        </w:trPr>
        <w:tc>
          <w:tcPr>
            <w:tcW w:w="6580" w:type="dxa"/>
            <w:vAlign w:val="bottom"/>
            <w:shd w:val="clear" w:color="auto" w:fill="CCEEFF"/>
          </w:tcPr>
          <w:p>
            <w:pPr>
              <w:spacing w:after="0"/>
              <w:rPr>
                <w:sz w:val="13"/>
                <w:szCs w:val="13"/>
                <w:color w:val="auto"/>
              </w:rPr>
            </w:pPr>
          </w:p>
        </w:tc>
        <w:tc>
          <w:tcPr>
            <w:tcW w:w="24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0" w:type="dxa"/>
            <w:vAlign w:val="bottom"/>
            <w:shd w:val="clear" w:color="auto" w:fill="CCEEFF"/>
          </w:tcPr>
          <w:p>
            <w:pPr>
              <w:jc w:val="center"/>
              <w:ind w:right="43"/>
              <w:spacing w:after="0" w:line="155" w:lineRule="exact"/>
              <w:rPr>
                <w:sz w:val="20"/>
                <w:szCs w:val="20"/>
                <w:color w:val="auto"/>
              </w:rPr>
            </w:pPr>
            <w:r>
              <w:rPr>
                <w:rFonts w:ascii="Arial" w:cs="Arial" w:eastAsia="Arial" w:hAnsi="Arial"/>
                <w:sz w:val="15"/>
                <w:szCs w:val="15"/>
                <w:b w:val="1"/>
                <w:bCs w:val="1"/>
                <w:color w:val="auto"/>
              </w:rPr>
              <w:t>Increase/</w:t>
            </w:r>
          </w:p>
        </w:tc>
      </w:tr>
      <w:tr>
        <w:trPr>
          <w:trHeight w:val="206"/>
        </w:trPr>
        <w:tc>
          <w:tcPr>
            <w:tcW w:w="6580" w:type="dxa"/>
            <w:vAlign w:val="bottom"/>
            <w:shd w:val="clear" w:color="auto" w:fill="CCEEFF"/>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0" w:type="dxa"/>
            <w:vAlign w:val="bottom"/>
            <w:shd w:val="clear" w:color="auto" w:fill="CCEEFF"/>
          </w:tcPr>
          <w:p>
            <w:pPr>
              <w:jc w:val="center"/>
              <w:ind w:right="83"/>
              <w:spacing w:after="0"/>
              <w:rPr>
                <w:sz w:val="20"/>
                <w:szCs w:val="20"/>
                <w:color w:val="auto"/>
              </w:rPr>
            </w:pPr>
            <w:r>
              <w:rPr>
                <w:rFonts w:ascii="Arial" w:cs="Arial" w:eastAsia="Arial" w:hAnsi="Arial"/>
                <w:sz w:val="15"/>
                <w:szCs w:val="15"/>
                <w:b w:val="1"/>
                <w:bCs w:val="1"/>
                <w:color w:val="auto"/>
              </w:rPr>
              <w:t>(Decrease)</w:t>
            </w:r>
          </w:p>
        </w:tc>
      </w:tr>
      <w:tr>
        <w:trPr>
          <w:trHeight w:val="205"/>
        </w:trPr>
        <w:tc>
          <w:tcPr>
            <w:tcW w:w="6580" w:type="dxa"/>
            <w:vAlign w:val="bottom"/>
          </w:tcPr>
          <w:p>
            <w:pPr>
              <w:ind w:left="20"/>
              <w:spacing w:after="0"/>
              <w:rPr>
                <w:sz w:val="20"/>
                <w:szCs w:val="20"/>
                <w:color w:val="auto"/>
              </w:rPr>
            </w:pPr>
            <w:r>
              <w:rPr>
                <w:rFonts w:ascii="Arial" w:cs="Arial" w:eastAsia="Arial" w:hAnsi="Arial"/>
                <w:sz w:val="15"/>
                <w:szCs w:val="15"/>
                <w:color w:val="auto"/>
              </w:rPr>
              <w:t>Revenue</w:t>
            </w:r>
          </w:p>
        </w:tc>
        <w:tc>
          <w:tcPr>
            <w:tcW w:w="2460" w:type="dxa"/>
            <w:vAlign w:val="bottom"/>
          </w:tcPr>
          <w:p>
            <w:pPr>
              <w:jc w:val="right"/>
              <w:ind w:right="863"/>
              <w:spacing w:after="0"/>
              <w:rPr>
                <w:sz w:val="20"/>
                <w:szCs w:val="20"/>
                <w:color w:val="auto"/>
              </w:rPr>
            </w:pPr>
            <w:r>
              <w:rPr>
                <w:rFonts w:ascii="Arial" w:cs="Arial" w:eastAsia="Arial" w:hAnsi="Arial"/>
                <w:sz w:val="15"/>
                <w:szCs w:val="15"/>
                <w:color w:val="auto"/>
              </w:rPr>
              <w:t>100.0 %</w:t>
            </w:r>
          </w:p>
        </w:tc>
        <w:tc>
          <w:tcPr>
            <w:tcW w:w="800" w:type="dxa"/>
            <w:vAlign w:val="bottom"/>
          </w:tcPr>
          <w:p>
            <w:pPr>
              <w:jc w:val="right"/>
              <w:ind w:right="103"/>
              <w:spacing w:after="0"/>
              <w:rPr>
                <w:sz w:val="20"/>
                <w:szCs w:val="20"/>
                <w:color w:val="auto"/>
              </w:rPr>
            </w:pPr>
            <w:r>
              <w:rPr>
                <w:rFonts w:ascii="Arial" w:cs="Arial" w:eastAsia="Arial" w:hAnsi="Arial"/>
                <w:sz w:val="15"/>
                <w:szCs w:val="15"/>
                <w:color w:val="auto"/>
              </w:rPr>
              <w:t>100.0 %</w:t>
            </w:r>
          </w:p>
        </w:tc>
        <w:tc>
          <w:tcPr>
            <w:tcW w:w="1400" w:type="dxa"/>
            <w:vAlign w:val="bottom"/>
          </w:tcPr>
          <w:p>
            <w:pPr>
              <w:jc w:val="right"/>
              <w:spacing w:after="0"/>
              <w:rPr>
                <w:sz w:val="20"/>
                <w:szCs w:val="20"/>
                <w:color w:val="auto"/>
              </w:rPr>
            </w:pPr>
            <w:r>
              <w:rPr>
                <w:rFonts w:ascii="Arial" w:cs="Arial" w:eastAsia="Arial" w:hAnsi="Arial"/>
                <w:sz w:val="15"/>
                <w:szCs w:val="15"/>
                <w:color w:val="auto"/>
              </w:rPr>
              <w:t>0.6 %</w:t>
            </w:r>
          </w:p>
        </w:tc>
      </w:tr>
      <w:tr>
        <w:trPr>
          <w:trHeight w:val="207"/>
        </w:trPr>
        <w:tc>
          <w:tcPr>
            <w:tcW w:w="6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Costs and expenses:</w:t>
            </w:r>
          </w:p>
        </w:tc>
        <w:tc>
          <w:tcPr>
            <w:tcW w:w="2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05"/>
        </w:trPr>
        <w:tc>
          <w:tcPr>
            <w:tcW w:w="6580" w:type="dxa"/>
            <w:vAlign w:val="bottom"/>
          </w:tcPr>
          <w:p>
            <w:pPr>
              <w:ind w:left="320"/>
              <w:spacing w:after="0"/>
              <w:rPr>
                <w:sz w:val="20"/>
                <w:szCs w:val="20"/>
                <w:color w:val="auto"/>
              </w:rPr>
            </w:pPr>
            <w:r>
              <w:rPr>
                <w:rFonts w:ascii="Arial" w:cs="Arial" w:eastAsia="Arial" w:hAnsi="Arial"/>
                <w:sz w:val="15"/>
                <w:szCs w:val="15"/>
                <w:color w:val="auto"/>
              </w:rPr>
              <w:t>Direct costs</w:t>
            </w:r>
          </w:p>
        </w:tc>
        <w:tc>
          <w:tcPr>
            <w:tcW w:w="2460" w:type="dxa"/>
            <w:vAlign w:val="bottom"/>
          </w:tcPr>
          <w:p>
            <w:pPr>
              <w:jc w:val="right"/>
              <w:ind w:right="863"/>
              <w:spacing w:after="0"/>
              <w:rPr>
                <w:sz w:val="20"/>
                <w:szCs w:val="20"/>
                <w:color w:val="auto"/>
              </w:rPr>
            </w:pPr>
            <w:r>
              <w:rPr>
                <w:rFonts w:ascii="Arial" w:cs="Arial" w:eastAsia="Arial" w:hAnsi="Arial"/>
                <w:sz w:val="15"/>
                <w:szCs w:val="15"/>
                <w:color w:val="auto"/>
              </w:rPr>
              <w:t>72.9 %</w:t>
            </w:r>
          </w:p>
        </w:tc>
        <w:tc>
          <w:tcPr>
            <w:tcW w:w="800" w:type="dxa"/>
            <w:vAlign w:val="bottom"/>
          </w:tcPr>
          <w:p>
            <w:pPr>
              <w:jc w:val="right"/>
              <w:ind w:right="103"/>
              <w:spacing w:after="0"/>
              <w:rPr>
                <w:sz w:val="20"/>
                <w:szCs w:val="20"/>
                <w:color w:val="auto"/>
              </w:rPr>
            </w:pPr>
            <w:r>
              <w:rPr>
                <w:rFonts w:ascii="Arial" w:cs="Arial" w:eastAsia="Arial" w:hAnsi="Arial"/>
                <w:sz w:val="15"/>
                <w:szCs w:val="15"/>
                <w:color w:val="auto"/>
              </w:rPr>
              <w:t>70.9 %</w:t>
            </w:r>
          </w:p>
        </w:tc>
        <w:tc>
          <w:tcPr>
            <w:tcW w:w="1400" w:type="dxa"/>
            <w:vAlign w:val="bottom"/>
          </w:tcPr>
          <w:p>
            <w:pPr>
              <w:jc w:val="right"/>
              <w:spacing w:after="0"/>
              <w:rPr>
                <w:sz w:val="20"/>
                <w:szCs w:val="20"/>
                <w:color w:val="auto"/>
              </w:rPr>
            </w:pPr>
            <w:r>
              <w:rPr>
                <w:rFonts w:ascii="Arial" w:cs="Arial" w:eastAsia="Arial" w:hAnsi="Arial"/>
                <w:sz w:val="15"/>
                <w:szCs w:val="15"/>
                <w:color w:val="auto"/>
              </w:rPr>
              <w:t>3.5 %</w:t>
            </w:r>
          </w:p>
        </w:tc>
      </w:tr>
      <w:tr>
        <w:trPr>
          <w:trHeight w:val="207"/>
        </w:trPr>
        <w:tc>
          <w:tcPr>
            <w:tcW w:w="65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Selling, general and administrative</w:t>
            </w:r>
          </w:p>
        </w:tc>
        <w:tc>
          <w:tcPr>
            <w:tcW w:w="2460" w:type="dxa"/>
            <w:vAlign w:val="bottom"/>
            <w:shd w:val="clear" w:color="auto" w:fill="CCEEFF"/>
          </w:tcPr>
          <w:p>
            <w:pPr>
              <w:jc w:val="right"/>
              <w:ind w:right="863"/>
              <w:spacing w:after="0"/>
              <w:rPr>
                <w:sz w:val="20"/>
                <w:szCs w:val="20"/>
                <w:color w:val="auto"/>
              </w:rPr>
            </w:pPr>
            <w:r>
              <w:rPr>
                <w:rFonts w:ascii="Arial" w:cs="Arial" w:eastAsia="Arial" w:hAnsi="Arial"/>
                <w:sz w:val="15"/>
                <w:szCs w:val="15"/>
                <w:color w:val="auto"/>
              </w:rPr>
              <w:t>9.7 %</w:t>
            </w:r>
          </w:p>
        </w:tc>
        <w:tc>
          <w:tcPr>
            <w:tcW w:w="80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10.1 %</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w:t>
            </w:r>
          </w:p>
        </w:tc>
      </w:tr>
      <w:tr>
        <w:trPr>
          <w:trHeight w:val="205"/>
        </w:trPr>
        <w:tc>
          <w:tcPr>
            <w:tcW w:w="6580" w:type="dxa"/>
            <w:vAlign w:val="bottom"/>
          </w:tcPr>
          <w:p>
            <w:pPr>
              <w:ind w:left="320"/>
              <w:spacing w:after="0"/>
              <w:rPr>
                <w:sz w:val="20"/>
                <w:szCs w:val="20"/>
                <w:color w:val="auto"/>
              </w:rPr>
            </w:pPr>
            <w:r>
              <w:rPr>
                <w:rFonts w:ascii="Arial" w:cs="Arial" w:eastAsia="Arial" w:hAnsi="Arial"/>
                <w:sz w:val="15"/>
                <w:szCs w:val="15"/>
                <w:color w:val="auto"/>
              </w:rPr>
              <w:t>Depreciation</w:t>
            </w:r>
          </w:p>
        </w:tc>
        <w:tc>
          <w:tcPr>
            <w:tcW w:w="2460" w:type="dxa"/>
            <w:vAlign w:val="bottom"/>
          </w:tcPr>
          <w:p>
            <w:pPr>
              <w:jc w:val="right"/>
              <w:ind w:right="863"/>
              <w:spacing w:after="0"/>
              <w:rPr>
                <w:sz w:val="20"/>
                <w:szCs w:val="20"/>
                <w:color w:val="auto"/>
              </w:rPr>
            </w:pPr>
            <w:r>
              <w:rPr>
                <w:rFonts w:ascii="Arial" w:cs="Arial" w:eastAsia="Arial" w:hAnsi="Arial"/>
                <w:sz w:val="15"/>
                <w:szCs w:val="15"/>
                <w:color w:val="auto"/>
              </w:rPr>
              <w:t>1.9 %</w:t>
            </w:r>
          </w:p>
        </w:tc>
        <w:tc>
          <w:tcPr>
            <w:tcW w:w="800" w:type="dxa"/>
            <w:vAlign w:val="bottom"/>
          </w:tcPr>
          <w:p>
            <w:pPr>
              <w:jc w:val="right"/>
              <w:ind w:right="103"/>
              <w:spacing w:after="0"/>
              <w:rPr>
                <w:sz w:val="20"/>
                <w:szCs w:val="20"/>
                <w:color w:val="auto"/>
              </w:rPr>
            </w:pPr>
            <w:r>
              <w:rPr>
                <w:rFonts w:ascii="Arial" w:cs="Arial" w:eastAsia="Arial" w:hAnsi="Arial"/>
                <w:sz w:val="15"/>
                <w:szCs w:val="15"/>
                <w:color w:val="auto"/>
              </w:rPr>
              <w:t>1.7 %</w:t>
            </w:r>
          </w:p>
        </w:tc>
        <w:tc>
          <w:tcPr>
            <w:tcW w:w="1400" w:type="dxa"/>
            <w:vAlign w:val="bottom"/>
          </w:tcPr>
          <w:p>
            <w:pPr>
              <w:jc w:val="right"/>
              <w:spacing w:after="0"/>
              <w:rPr>
                <w:sz w:val="20"/>
                <w:szCs w:val="20"/>
                <w:color w:val="auto"/>
              </w:rPr>
            </w:pPr>
            <w:r>
              <w:rPr>
                <w:rFonts w:ascii="Arial" w:cs="Arial" w:eastAsia="Arial" w:hAnsi="Arial"/>
                <w:sz w:val="15"/>
                <w:szCs w:val="15"/>
                <w:color w:val="auto"/>
              </w:rPr>
              <w:t>13.7 %</w:t>
            </w:r>
          </w:p>
        </w:tc>
      </w:tr>
      <w:tr>
        <w:trPr>
          <w:trHeight w:val="207"/>
        </w:trPr>
        <w:tc>
          <w:tcPr>
            <w:tcW w:w="65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Amortization</w:t>
            </w:r>
          </w:p>
        </w:tc>
        <w:tc>
          <w:tcPr>
            <w:tcW w:w="2460" w:type="dxa"/>
            <w:vAlign w:val="bottom"/>
            <w:shd w:val="clear" w:color="auto" w:fill="CCEEFF"/>
          </w:tcPr>
          <w:p>
            <w:pPr>
              <w:jc w:val="right"/>
              <w:ind w:right="863"/>
              <w:spacing w:after="0"/>
              <w:rPr>
                <w:sz w:val="20"/>
                <w:szCs w:val="20"/>
                <w:color w:val="auto"/>
              </w:rPr>
            </w:pPr>
            <w:r>
              <w:rPr>
                <w:rFonts w:ascii="Arial" w:cs="Arial" w:eastAsia="Arial" w:hAnsi="Arial"/>
                <w:sz w:val="15"/>
                <w:szCs w:val="15"/>
                <w:color w:val="auto"/>
              </w:rPr>
              <w:t>2.9 %</w:t>
            </w:r>
          </w:p>
        </w:tc>
        <w:tc>
          <w:tcPr>
            <w:tcW w:w="80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2.9 %</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1.1 %</w:t>
            </w:r>
          </w:p>
        </w:tc>
      </w:tr>
      <w:tr>
        <w:trPr>
          <w:trHeight w:val="205"/>
        </w:trPr>
        <w:tc>
          <w:tcPr>
            <w:tcW w:w="6580" w:type="dxa"/>
            <w:vAlign w:val="bottom"/>
          </w:tcPr>
          <w:p>
            <w:pPr>
              <w:ind w:left="320"/>
              <w:spacing w:after="0"/>
              <w:rPr>
                <w:sz w:val="20"/>
                <w:szCs w:val="20"/>
                <w:color w:val="auto"/>
              </w:rPr>
            </w:pPr>
            <w:r>
              <w:rPr>
                <w:rFonts w:ascii="Arial" w:cs="Arial" w:eastAsia="Arial" w:hAnsi="Arial"/>
                <w:sz w:val="15"/>
                <w:szCs w:val="15"/>
                <w:color w:val="auto"/>
              </w:rPr>
              <w:t>Transaction and integration related</w:t>
            </w:r>
          </w:p>
        </w:tc>
        <w:tc>
          <w:tcPr>
            <w:tcW w:w="2460" w:type="dxa"/>
            <w:vAlign w:val="bottom"/>
          </w:tcPr>
          <w:p>
            <w:pPr>
              <w:jc w:val="right"/>
              <w:ind w:right="863"/>
              <w:spacing w:after="0"/>
              <w:rPr>
                <w:sz w:val="20"/>
                <w:szCs w:val="20"/>
                <w:color w:val="auto"/>
              </w:rPr>
            </w:pPr>
            <w:r>
              <w:rPr>
                <w:rFonts w:ascii="Arial" w:cs="Arial" w:eastAsia="Arial" w:hAnsi="Arial"/>
                <w:sz w:val="15"/>
                <w:szCs w:val="15"/>
                <w:color w:val="auto"/>
              </w:rPr>
              <w:t>0.3 %</w:t>
            </w:r>
          </w:p>
        </w:tc>
        <w:tc>
          <w:tcPr>
            <w:tcW w:w="800" w:type="dxa"/>
            <w:vAlign w:val="bottom"/>
          </w:tcPr>
          <w:p>
            <w:pPr>
              <w:jc w:val="right"/>
              <w:ind w:right="103"/>
              <w:spacing w:after="0"/>
              <w:rPr>
                <w:sz w:val="20"/>
                <w:szCs w:val="20"/>
                <w:color w:val="auto"/>
              </w:rPr>
            </w:pPr>
            <w:r>
              <w:rPr>
                <w:rFonts w:ascii="Arial" w:cs="Arial" w:eastAsia="Arial" w:hAnsi="Arial"/>
                <w:sz w:val="15"/>
                <w:szCs w:val="15"/>
                <w:color w:val="auto"/>
              </w:rPr>
              <w:t>0.3 %</w:t>
            </w:r>
          </w:p>
        </w:tc>
        <w:tc>
          <w:tcPr>
            <w:tcW w:w="1400" w:type="dxa"/>
            <w:vAlign w:val="bottom"/>
          </w:tcPr>
          <w:p>
            <w:pPr>
              <w:jc w:val="right"/>
              <w:spacing w:after="0"/>
              <w:rPr>
                <w:sz w:val="20"/>
                <w:szCs w:val="20"/>
                <w:color w:val="auto"/>
              </w:rPr>
            </w:pPr>
            <w:r>
              <w:rPr>
                <w:rFonts w:ascii="Arial" w:cs="Arial" w:eastAsia="Arial" w:hAnsi="Arial"/>
                <w:sz w:val="15"/>
                <w:szCs w:val="15"/>
                <w:color w:val="auto"/>
              </w:rPr>
              <w:t>(10.6)%</w:t>
            </w:r>
          </w:p>
        </w:tc>
      </w:tr>
      <w:tr>
        <w:trPr>
          <w:trHeight w:val="206"/>
        </w:trPr>
        <w:tc>
          <w:tcPr>
            <w:tcW w:w="6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5"/>
                <w:szCs w:val="15"/>
                <w:color w:val="auto"/>
              </w:rPr>
              <w:t>Goodwill impairment</w:t>
            </w:r>
          </w:p>
        </w:tc>
        <w:tc>
          <w:tcPr>
            <w:tcW w:w="2460" w:type="dxa"/>
            <w:vAlign w:val="bottom"/>
            <w:tcBorders>
              <w:bottom w:val="single" w:sz="8" w:color="auto"/>
            </w:tcBorders>
            <w:shd w:val="clear" w:color="auto" w:fill="CCEEFF"/>
          </w:tcPr>
          <w:p>
            <w:pPr>
              <w:jc w:val="right"/>
              <w:ind w:right="863"/>
              <w:spacing w:after="0"/>
              <w:rPr>
                <w:sz w:val="20"/>
                <w:szCs w:val="20"/>
                <w:color w:val="auto"/>
              </w:rPr>
            </w:pPr>
            <w:r>
              <w:rPr>
                <w:rFonts w:ascii="Arial" w:cs="Arial" w:eastAsia="Arial" w:hAnsi="Arial"/>
                <w:sz w:val="15"/>
                <w:szCs w:val="15"/>
                <w:color w:val="auto"/>
              </w:rPr>
              <w:t>8.1 %</w:t>
            </w:r>
          </w:p>
        </w:tc>
        <w:tc>
          <w:tcPr>
            <w:tcW w:w="80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 %</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 %</w:t>
            </w:r>
          </w:p>
        </w:tc>
      </w:tr>
      <w:tr>
        <w:trPr>
          <w:trHeight w:val="199"/>
        </w:trPr>
        <w:tc>
          <w:tcPr>
            <w:tcW w:w="65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Income from operations</w:t>
            </w:r>
          </w:p>
        </w:tc>
        <w:tc>
          <w:tcPr>
            <w:tcW w:w="2460" w:type="dxa"/>
            <w:vAlign w:val="bottom"/>
            <w:tcBorders>
              <w:bottom w:val="single" w:sz="8" w:color="auto"/>
            </w:tcBorders>
          </w:tcPr>
          <w:p>
            <w:pPr>
              <w:jc w:val="right"/>
              <w:ind w:right="863"/>
              <w:spacing w:after="0"/>
              <w:rPr>
                <w:sz w:val="20"/>
                <w:szCs w:val="20"/>
                <w:color w:val="auto"/>
              </w:rPr>
            </w:pPr>
            <w:r>
              <w:rPr>
                <w:rFonts w:ascii="Arial" w:cs="Arial" w:eastAsia="Arial" w:hAnsi="Arial"/>
                <w:sz w:val="15"/>
                <w:szCs w:val="15"/>
                <w:color w:val="auto"/>
              </w:rPr>
              <w:t>4.2 %</w:t>
            </w:r>
          </w:p>
        </w:tc>
        <w:tc>
          <w:tcPr>
            <w:tcW w:w="80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14.1 %</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(69.7)%</w:t>
            </w:r>
          </w:p>
        </w:tc>
      </w:tr>
      <w:tr>
        <w:trPr>
          <w:trHeight w:val="20"/>
        </w:trPr>
        <w:tc>
          <w:tcPr>
            <w:tcW w:w="658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31" w:name="page32"/>
    <w:bookmarkEnd w:id="31"/>
    <w:p>
      <w:pPr>
        <w:spacing w:after="0"/>
        <w:rPr>
          <w:sz w:val="20"/>
          <w:szCs w:val="20"/>
          <w:color w:val="auto"/>
        </w:rPr>
      </w:pPr>
      <w:r>
        <w:rPr>
          <w:rFonts w:ascii="Arial" w:cs="Arial" w:eastAsia="Arial" w:hAnsi="Arial"/>
          <w:sz w:val="15"/>
          <w:szCs w:val="15"/>
          <w:b w:val="1"/>
          <w:bCs w:val="1"/>
          <w:color w:val="auto"/>
        </w:rPr>
        <w:t>Nine Months Ended September 30, 2025</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shd w:val="clear" w:color="auto" w:fill="CCEEFF"/>
          </w:tcPr>
          <w:p>
            <w:pPr>
              <w:spacing w:after="0"/>
              <w:rPr>
                <w:sz w:val="14"/>
                <w:szCs w:val="14"/>
                <w:color w:val="auto"/>
              </w:rPr>
            </w:pPr>
          </w:p>
        </w:tc>
        <w:tc>
          <w:tcPr>
            <w:tcW w:w="52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980" w:type="dxa"/>
            <w:vAlign w:val="bottom"/>
            <w:gridSpan w:val="2"/>
            <w:shd w:val="clear" w:color="auto" w:fill="CCEEFF"/>
          </w:tcPr>
          <w:p>
            <w:pPr>
              <w:jc w:val="center"/>
              <w:ind w:left="63"/>
              <w:spacing w:after="0"/>
              <w:rPr>
                <w:sz w:val="20"/>
                <w:szCs w:val="20"/>
                <w:color w:val="auto"/>
              </w:rPr>
            </w:pPr>
            <w:r>
              <w:rPr>
                <w:rFonts w:ascii="Arial" w:cs="Arial" w:eastAsia="Arial" w:hAnsi="Arial"/>
                <w:sz w:val="15"/>
                <w:szCs w:val="15"/>
                <w:b w:val="1"/>
                <w:bCs w:val="1"/>
                <w:color w:val="auto"/>
              </w:rPr>
              <w:t>Nine Months Ended</w:t>
            </w:r>
          </w:p>
        </w:tc>
        <w:tc>
          <w:tcPr>
            <w:tcW w:w="9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5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980" w:type="dxa"/>
            <w:vAlign w:val="bottom"/>
            <w:tcBorders>
              <w:bottom w:val="single" w:sz="8" w:color="auto"/>
            </w:tcBorders>
            <w:gridSpan w:val="2"/>
            <w:shd w:val="clear" w:color="auto" w:fill="CCEEFF"/>
          </w:tcPr>
          <w:p>
            <w:pPr>
              <w:jc w:val="center"/>
              <w:ind w:left="83"/>
              <w:spacing w:after="0"/>
              <w:rPr>
                <w:sz w:val="20"/>
                <w:szCs w:val="20"/>
                <w:color w:val="auto"/>
              </w:rPr>
            </w:pPr>
            <w:r>
              <w:rPr>
                <w:rFonts w:ascii="Arial" w:cs="Arial" w:eastAsia="Arial" w:hAnsi="Arial"/>
                <w:sz w:val="15"/>
                <w:szCs w:val="15"/>
                <w:b w:val="1"/>
                <w:bCs w:val="1"/>
                <w:color w:val="auto"/>
              </w:rPr>
              <w:t>September 30,</w:t>
            </w:r>
          </w:p>
        </w:tc>
        <w:tc>
          <w:tcPr>
            <w:tcW w:w="9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Borders>
              <w:bottom w:val="single" w:sz="8" w:color="auto"/>
            </w:tcBorders>
          </w:tcPr>
          <w:p>
            <w:pPr>
              <w:spacing w:after="0"/>
              <w:rPr>
                <w:sz w:val="17"/>
                <w:szCs w:val="17"/>
                <w:color w:val="auto"/>
              </w:rPr>
            </w:pPr>
          </w:p>
        </w:tc>
        <w:tc>
          <w:tcPr>
            <w:tcW w:w="52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2025</w:t>
            </w:r>
          </w:p>
        </w:tc>
        <w:tc>
          <w:tcPr>
            <w:tcW w:w="8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b w:val="1"/>
                <w:bCs w:val="1"/>
                <w:color w:val="auto"/>
              </w:rPr>
              <w:t>2024</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 to 2025</w:t>
            </w: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52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980" w:type="dxa"/>
            <w:vAlign w:val="bottom"/>
            <w:gridSpan w:val="2"/>
            <w:shd w:val="clear" w:color="auto" w:fill="CCEEFF"/>
          </w:tcPr>
          <w:p>
            <w:pPr>
              <w:jc w:val="center"/>
              <w:ind w:left="63"/>
              <w:spacing w:after="0" w:line="148" w:lineRule="exact"/>
              <w:rPr>
                <w:sz w:val="20"/>
                <w:szCs w:val="20"/>
                <w:color w:val="auto"/>
              </w:rPr>
            </w:pPr>
            <w:r>
              <w:rPr>
                <w:rFonts w:ascii="Arial" w:cs="Arial" w:eastAsia="Arial" w:hAnsi="Arial"/>
                <w:sz w:val="15"/>
                <w:szCs w:val="15"/>
                <w:b w:val="1"/>
                <w:bCs w:val="1"/>
                <w:color w:val="auto"/>
              </w:rPr>
              <w:t>Percentage of Revenue</w:t>
            </w:r>
          </w:p>
        </w:tc>
        <w:tc>
          <w:tcPr>
            <w:tcW w:w="980" w:type="dxa"/>
            <w:vAlign w:val="bottom"/>
            <w:shd w:val="clear" w:color="auto" w:fill="CCEEFF"/>
          </w:tcPr>
          <w:p>
            <w:pPr>
              <w:spacing w:after="0"/>
              <w:rPr>
                <w:sz w:val="12"/>
                <w:szCs w:val="12"/>
                <w:color w:val="auto"/>
              </w:rPr>
            </w:pPr>
          </w:p>
        </w:tc>
        <w:tc>
          <w:tcPr>
            <w:tcW w:w="1220" w:type="dxa"/>
            <w:vAlign w:val="bottom"/>
            <w:shd w:val="clear" w:color="auto" w:fill="CCEEFF"/>
          </w:tcPr>
          <w:p>
            <w:pPr>
              <w:jc w:val="center"/>
              <w:ind w:right="263"/>
              <w:spacing w:after="0" w:line="148" w:lineRule="exact"/>
              <w:rPr>
                <w:sz w:val="20"/>
                <w:szCs w:val="20"/>
                <w:color w:val="auto"/>
              </w:rPr>
            </w:pPr>
            <w:r>
              <w:rPr>
                <w:rFonts w:ascii="Arial" w:cs="Arial" w:eastAsia="Arial" w:hAnsi="Arial"/>
                <w:sz w:val="15"/>
                <w:szCs w:val="15"/>
                <w:b w:val="1"/>
                <w:bCs w:val="1"/>
                <w:color w:val="auto"/>
              </w:rPr>
              <w:t>Percentage</w:t>
            </w: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52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20" w:type="dxa"/>
            <w:vAlign w:val="bottom"/>
            <w:shd w:val="clear" w:color="auto" w:fill="CCEEFF"/>
          </w:tcPr>
          <w:p>
            <w:pPr>
              <w:jc w:val="center"/>
              <w:ind w:right="223"/>
              <w:spacing w:after="0" w:line="155" w:lineRule="exact"/>
              <w:rPr>
                <w:sz w:val="20"/>
                <w:szCs w:val="20"/>
                <w:color w:val="auto"/>
              </w:rPr>
            </w:pPr>
            <w:r>
              <w:rPr>
                <w:rFonts w:ascii="Arial" w:cs="Arial" w:eastAsia="Arial" w:hAnsi="Arial"/>
                <w:sz w:val="15"/>
                <w:szCs w:val="15"/>
                <w:b w:val="1"/>
                <w:bCs w:val="1"/>
                <w:color w:val="auto"/>
              </w:rPr>
              <w:t>Increase/</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5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20" w:type="dxa"/>
            <w:vAlign w:val="bottom"/>
            <w:shd w:val="clear" w:color="auto" w:fill="CCEEFF"/>
          </w:tcPr>
          <w:p>
            <w:pPr>
              <w:jc w:val="center"/>
              <w:ind w:right="263"/>
              <w:spacing w:after="0"/>
              <w:rPr>
                <w:sz w:val="20"/>
                <w:szCs w:val="20"/>
                <w:color w:val="auto"/>
              </w:rPr>
            </w:pPr>
            <w:r>
              <w:rPr>
                <w:rFonts w:ascii="Arial" w:cs="Arial" w:eastAsia="Arial" w:hAnsi="Arial"/>
                <w:sz w:val="15"/>
                <w:szCs w:val="15"/>
                <w:b w:val="1"/>
                <w:bCs w:val="1"/>
                <w:color w:val="auto"/>
              </w:rPr>
              <w:t>(Decrease)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260" w:type="dxa"/>
            <w:vAlign w:val="bottom"/>
          </w:tcPr>
          <w:p>
            <w:pPr>
              <w:spacing w:after="0"/>
              <w:rPr>
                <w:sz w:val="20"/>
                <w:szCs w:val="20"/>
                <w:color w:val="auto"/>
              </w:rPr>
            </w:pPr>
            <w:r>
              <w:rPr>
                <w:rFonts w:ascii="Arial" w:cs="Arial" w:eastAsia="Arial" w:hAnsi="Arial"/>
                <w:sz w:val="15"/>
                <w:szCs w:val="15"/>
                <w:color w:val="auto"/>
              </w:rPr>
              <w:t>Revenue</w:t>
            </w: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40" w:type="dxa"/>
            <w:vAlign w:val="bottom"/>
          </w:tcPr>
          <w:p>
            <w:pPr>
              <w:jc w:val="right"/>
              <w:ind w:right="23"/>
              <w:spacing w:after="0"/>
              <w:rPr>
                <w:sz w:val="20"/>
                <w:szCs w:val="20"/>
                <w:color w:val="auto"/>
              </w:rPr>
            </w:pPr>
            <w:r>
              <w:rPr>
                <w:rFonts w:ascii="Arial" w:cs="Arial" w:eastAsia="Arial" w:hAnsi="Arial"/>
                <w:sz w:val="15"/>
                <w:szCs w:val="15"/>
                <w:color w:val="auto"/>
              </w:rPr>
              <w:t>100.0 %</w:t>
            </w:r>
          </w:p>
        </w:tc>
        <w:tc>
          <w:tcPr>
            <w:tcW w:w="840" w:type="dxa"/>
            <w:vAlign w:val="bottom"/>
          </w:tcPr>
          <w:p>
            <w:pPr>
              <w:spacing w:after="0"/>
              <w:rPr>
                <w:sz w:val="17"/>
                <w:szCs w:val="17"/>
                <w:color w:val="auto"/>
              </w:rPr>
            </w:pPr>
          </w:p>
        </w:tc>
        <w:tc>
          <w:tcPr>
            <w:tcW w:w="980" w:type="dxa"/>
            <w:vAlign w:val="bottom"/>
          </w:tcPr>
          <w:p>
            <w:pPr>
              <w:jc w:val="right"/>
              <w:ind w:right="283"/>
              <w:spacing w:after="0"/>
              <w:rPr>
                <w:sz w:val="20"/>
                <w:szCs w:val="20"/>
                <w:color w:val="auto"/>
              </w:rPr>
            </w:pPr>
            <w:r>
              <w:rPr>
                <w:rFonts w:ascii="Arial" w:cs="Arial" w:eastAsia="Arial" w:hAnsi="Arial"/>
                <w:sz w:val="15"/>
                <w:szCs w:val="15"/>
                <w:color w:val="auto"/>
              </w:rPr>
              <w:t>100.0 %</w:t>
            </w:r>
          </w:p>
        </w:tc>
        <w:tc>
          <w:tcPr>
            <w:tcW w:w="1220" w:type="dxa"/>
            <w:vAlign w:val="bottom"/>
          </w:tcPr>
          <w:p>
            <w:pPr>
              <w:jc w:val="right"/>
              <w:spacing w:after="0"/>
              <w:rPr>
                <w:sz w:val="20"/>
                <w:szCs w:val="20"/>
                <w:color w:val="auto"/>
              </w:rPr>
            </w:pPr>
            <w:r>
              <w:rPr>
                <w:rFonts w:ascii="Arial" w:cs="Arial" w:eastAsia="Arial" w:hAnsi="Arial"/>
                <w:sz w:val="15"/>
                <w:szCs w:val="15"/>
                <w:color w:val="auto"/>
              </w:rPr>
              <w:t>(2.9)%</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5"/>
                <w:szCs w:val="15"/>
                <w:color w:val="auto"/>
              </w:rPr>
              <w:t>Costs and expenses:</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260" w:type="dxa"/>
            <w:vAlign w:val="bottom"/>
          </w:tcPr>
          <w:p>
            <w:pPr>
              <w:ind w:left="300"/>
              <w:spacing w:after="0"/>
              <w:rPr>
                <w:sz w:val="20"/>
                <w:szCs w:val="20"/>
                <w:color w:val="auto"/>
              </w:rPr>
            </w:pPr>
            <w:r>
              <w:rPr>
                <w:rFonts w:ascii="Arial" w:cs="Arial" w:eastAsia="Arial" w:hAnsi="Arial"/>
                <w:sz w:val="15"/>
                <w:szCs w:val="15"/>
                <w:color w:val="auto"/>
              </w:rPr>
              <w:t>Direct costs</w:t>
            </w: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40" w:type="dxa"/>
            <w:vAlign w:val="bottom"/>
          </w:tcPr>
          <w:p>
            <w:pPr>
              <w:jc w:val="right"/>
              <w:ind w:right="23"/>
              <w:spacing w:after="0"/>
              <w:rPr>
                <w:sz w:val="20"/>
                <w:szCs w:val="20"/>
                <w:color w:val="auto"/>
              </w:rPr>
            </w:pPr>
            <w:r>
              <w:rPr>
                <w:rFonts w:ascii="Arial" w:cs="Arial" w:eastAsia="Arial" w:hAnsi="Arial"/>
                <w:sz w:val="15"/>
                <w:szCs w:val="15"/>
                <w:color w:val="auto"/>
              </w:rPr>
              <w:t>72.4 %</w:t>
            </w:r>
          </w:p>
        </w:tc>
        <w:tc>
          <w:tcPr>
            <w:tcW w:w="840" w:type="dxa"/>
            <w:vAlign w:val="bottom"/>
          </w:tcPr>
          <w:p>
            <w:pPr>
              <w:spacing w:after="0"/>
              <w:rPr>
                <w:sz w:val="17"/>
                <w:szCs w:val="17"/>
                <w:color w:val="auto"/>
              </w:rPr>
            </w:pPr>
          </w:p>
        </w:tc>
        <w:tc>
          <w:tcPr>
            <w:tcW w:w="980" w:type="dxa"/>
            <w:vAlign w:val="bottom"/>
          </w:tcPr>
          <w:p>
            <w:pPr>
              <w:jc w:val="right"/>
              <w:ind w:right="283"/>
              <w:spacing w:after="0"/>
              <w:rPr>
                <w:sz w:val="20"/>
                <w:szCs w:val="20"/>
                <w:color w:val="auto"/>
              </w:rPr>
            </w:pPr>
            <w:r>
              <w:rPr>
                <w:rFonts w:ascii="Arial" w:cs="Arial" w:eastAsia="Arial" w:hAnsi="Arial"/>
                <w:sz w:val="15"/>
                <w:szCs w:val="15"/>
                <w:color w:val="auto"/>
              </w:rPr>
              <w:t>70.6 %</w:t>
            </w:r>
          </w:p>
        </w:tc>
        <w:tc>
          <w:tcPr>
            <w:tcW w:w="1220" w:type="dxa"/>
            <w:vAlign w:val="bottom"/>
          </w:tcPr>
          <w:p>
            <w:pPr>
              <w:jc w:val="right"/>
              <w:spacing w:after="0"/>
              <w:rPr>
                <w:sz w:val="20"/>
                <w:szCs w:val="20"/>
                <w:color w:val="auto"/>
              </w:rPr>
            </w:pPr>
            <w:r>
              <w:rPr>
                <w:rFonts w:ascii="Arial" w:cs="Arial" w:eastAsia="Arial" w:hAnsi="Arial"/>
                <w:sz w:val="15"/>
                <w:szCs w:val="15"/>
                <w:color w:val="auto"/>
              </w:rPr>
              <w:t>(0.4)%</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8"/>
                <w:szCs w:val="18"/>
                <w:color w:val="auto"/>
              </w:rPr>
            </w:pPr>
          </w:p>
        </w:tc>
        <w:tc>
          <w:tcPr>
            <w:tcW w:w="52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Selling, general and administrative</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9.9 %</w:t>
            </w:r>
          </w:p>
        </w:tc>
        <w:tc>
          <w:tcPr>
            <w:tcW w:w="8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rPr>
              <w:t>9.2 %</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4.1 %</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260" w:type="dxa"/>
            <w:vAlign w:val="bottom"/>
          </w:tcPr>
          <w:p>
            <w:pPr>
              <w:ind w:left="300"/>
              <w:spacing w:after="0"/>
              <w:rPr>
                <w:sz w:val="20"/>
                <w:szCs w:val="20"/>
                <w:color w:val="auto"/>
              </w:rPr>
            </w:pPr>
            <w:r>
              <w:rPr>
                <w:rFonts w:ascii="Arial" w:cs="Arial" w:eastAsia="Arial" w:hAnsi="Arial"/>
                <w:sz w:val="15"/>
                <w:szCs w:val="15"/>
                <w:color w:val="auto"/>
              </w:rPr>
              <w:t>Depreciation</w:t>
            </w: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40" w:type="dxa"/>
            <w:vAlign w:val="bottom"/>
          </w:tcPr>
          <w:p>
            <w:pPr>
              <w:jc w:val="right"/>
              <w:ind w:right="23"/>
              <w:spacing w:after="0"/>
              <w:rPr>
                <w:sz w:val="20"/>
                <w:szCs w:val="20"/>
                <w:color w:val="auto"/>
              </w:rPr>
            </w:pPr>
            <w:r>
              <w:rPr>
                <w:rFonts w:ascii="Arial" w:cs="Arial" w:eastAsia="Arial" w:hAnsi="Arial"/>
                <w:sz w:val="15"/>
                <w:szCs w:val="15"/>
                <w:color w:val="auto"/>
              </w:rPr>
              <w:t>1.9 %</w:t>
            </w:r>
          </w:p>
        </w:tc>
        <w:tc>
          <w:tcPr>
            <w:tcW w:w="840" w:type="dxa"/>
            <w:vAlign w:val="bottom"/>
          </w:tcPr>
          <w:p>
            <w:pPr>
              <w:spacing w:after="0"/>
              <w:rPr>
                <w:sz w:val="17"/>
                <w:szCs w:val="17"/>
                <w:color w:val="auto"/>
              </w:rPr>
            </w:pPr>
          </w:p>
        </w:tc>
        <w:tc>
          <w:tcPr>
            <w:tcW w:w="980" w:type="dxa"/>
            <w:vAlign w:val="bottom"/>
          </w:tcPr>
          <w:p>
            <w:pPr>
              <w:jc w:val="right"/>
              <w:ind w:right="283"/>
              <w:spacing w:after="0"/>
              <w:rPr>
                <w:sz w:val="20"/>
                <w:szCs w:val="20"/>
                <w:color w:val="auto"/>
              </w:rPr>
            </w:pPr>
            <w:r>
              <w:rPr>
                <w:rFonts w:ascii="Arial" w:cs="Arial" w:eastAsia="Arial" w:hAnsi="Arial"/>
                <w:sz w:val="15"/>
                <w:szCs w:val="15"/>
                <w:color w:val="auto"/>
              </w:rPr>
              <w:t>1.6 %</w:t>
            </w:r>
          </w:p>
        </w:tc>
        <w:tc>
          <w:tcPr>
            <w:tcW w:w="1220" w:type="dxa"/>
            <w:vAlign w:val="bottom"/>
          </w:tcPr>
          <w:p>
            <w:pPr>
              <w:jc w:val="right"/>
              <w:spacing w:after="0"/>
              <w:rPr>
                <w:sz w:val="20"/>
                <w:szCs w:val="20"/>
                <w:color w:val="auto"/>
              </w:rPr>
            </w:pPr>
            <w:r>
              <w:rPr>
                <w:rFonts w:ascii="Arial" w:cs="Arial" w:eastAsia="Arial" w:hAnsi="Arial"/>
                <w:sz w:val="15"/>
                <w:szCs w:val="15"/>
                <w:color w:val="auto"/>
              </w:rPr>
              <w:t>14.5 %</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8"/>
                <w:szCs w:val="18"/>
                <w:color w:val="auto"/>
              </w:rPr>
            </w:pPr>
          </w:p>
        </w:tc>
        <w:tc>
          <w:tcPr>
            <w:tcW w:w="52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Amortization</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2.9 %</w:t>
            </w:r>
          </w:p>
        </w:tc>
        <w:tc>
          <w:tcPr>
            <w:tcW w:w="8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rPr>
              <w:t>4.7 %</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260" w:type="dxa"/>
            <w:vAlign w:val="bottom"/>
          </w:tcPr>
          <w:p>
            <w:pPr>
              <w:ind w:left="300"/>
              <w:spacing w:after="0"/>
              <w:rPr>
                <w:sz w:val="20"/>
                <w:szCs w:val="20"/>
                <w:color w:val="auto"/>
              </w:rPr>
            </w:pPr>
            <w:r>
              <w:rPr>
                <w:rFonts w:ascii="Arial" w:cs="Arial" w:eastAsia="Arial" w:hAnsi="Arial"/>
                <w:sz w:val="15"/>
                <w:szCs w:val="15"/>
                <w:color w:val="auto"/>
              </w:rPr>
              <w:t>Transaction and integration related</w:t>
            </w: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40" w:type="dxa"/>
            <w:vAlign w:val="bottom"/>
          </w:tcPr>
          <w:p>
            <w:pPr>
              <w:jc w:val="right"/>
              <w:ind w:right="23"/>
              <w:spacing w:after="0"/>
              <w:rPr>
                <w:sz w:val="20"/>
                <w:szCs w:val="20"/>
                <w:color w:val="auto"/>
              </w:rPr>
            </w:pPr>
            <w:r>
              <w:rPr>
                <w:rFonts w:ascii="Arial" w:cs="Arial" w:eastAsia="Arial" w:hAnsi="Arial"/>
                <w:sz w:val="15"/>
                <w:szCs w:val="15"/>
                <w:color w:val="auto"/>
              </w:rPr>
              <w:t>0.3 %</w:t>
            </w:r>
          </w:p>
        </w:tc>
        <w:tc>
          <w:tcPr>
            <w:tcW w:w="840" w:type="dxa"/>
            <w:vAlign w:val="bottom"/>
          </w:tcPr>
          <w:p>
            <w:pPr>
              <w:spacing w:after="0"/>
              <w:rPr>
                <w:sz w:val="17"/>
                <w:szCs w:val="17"/>
                <w:color w:val="auto"/>
              </w:rPr>
            </w:pPr>
          </w:p>
        </w:tc>
        <w:tc>
          <w:tcPr>
            <w:tcW w:w="980" w:type="dxa"/>
            <w:vAlign w:val="bottom"/>
          </w:tcPr>
          <w:p>
            <w:pPr>
              <w:jc w:val="right"/>
              <w:ind w:right="283"/>
              <w:spacing w:after="0"/>
              <w:rPr>
                <w:sz w:val="20"/>
                <w:szCs w:val="20"/>
                <w:color w:val="auto"/>
              </w:rPr>
            </w:pPr>
            <w:r>
              <w:rPr>
                <w:rFonts w:ascii="Arial" w:cs="Arial" w:eastAsia="Arial" w:hAnsi="Arial"/>
                <w:sz w:val="15"/>
                <w:szCs w:val="15"/>
                <w:color w:val="auto"/>
              </w:rPr>
              <w:t>0.3 %</w:t>
            </w:r>
          </w:p>
        </w:tc>
        <w:tc>
          <w:tcPr>
            <w:tcW w:w="1220" w:type="dxa"/>
            <w:vAlign w:val="bottom"/>
          </w:tcPr>
          <w:p>
            <w:pPr>
              <w:jc w:val="right"/>
              <w:spacing w:after="0"/>
              <w:rPr>
                <w:sz w:val="20"/>
                <w:szCs w:val="20"/>
                <w:color w:val="auto"/>
              </w:rPr>
            </w:pPr>
            <w:r>
              <w:rPr>
                <w:rFonts w:ascii="Arial" w:cs="Arial" w:eastAsia="Arial" w:hAnsi="Arial"/>
                <w:sz w:val="15"/>
                <w:szCs w:val="15"/>
                <w:color w:val="auto"/>
              </w:rPr>
              <w:t>(11.7)%</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8"/>
                <w:szCs w:val="18"/>
                <w:color w:val="auto"/>
              </w:rPr>
            </w:pPr>
          </w:p>
        </w:tc>
        <w:tc>
          <w:tcPr>
            <w:tcW w:w="52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Restructuring</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1.4 %</w:t>
            </w:r>
          </w:p>
        </w:tc>
        <w:tc>
          <w:tcPr>
            <w:tcW w:w="8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rPr>
              <w:t>0.8 %</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79.7 %</w:t>
            </w:r>
          </w:p>
        </w:tc>
        <w:tc>
          <w:tcPr>
            <w:tcW w:w="0" w:type="dxa"/>
            <w:vAlign w:val="bottom"/>
          </w:tcPr>
          <w:p>
            <w:pPr>
              <w:spacing w:after="0"/>
              <w:rPr>
                <w:sz w:val="1"/>
                <w:szCs w:val="1"/>
                <w:color w:val="auto"/>
              </w:rPr>
            </w:pPr>
          </w:p>
        </w:tc>
      </w:tr>
      <w:tr>
        <w:trPr>
          <w:trHeight w:val="205"/>
        </w:trPr>
        <w:tc>
          <w:tcPr>
            <w:tcW w:w="20" w:type="dxa"/>
            <w:vAlign w:val="bottom"/>
            <w:tcBorders>
              <w:bottom w:val="single" w:sz="8" w:color="auto"/>
            </w:tcBorders>
          </w:tcPr>
          <w:p>
            <w:pPr>
              <w:spacing w:after="0"/>
              <w:rPr>
                <w:sz w:val="17"/>
                <w:szCs w:val="17"/>
                <w:color w:val="auto"/>
              </w:rPr>
            </w:pPr>
          </w:p>
        </w:tc>
        <w:tc>
          <w:tcPr>
            <w:tcW w:w="5260" w:type="dxa"/>
            <w:vAlign w:val="bottom"/>
            <w:tcBorders>
              <w:bottom w:val="single" w:sz="8" w:color="auto"/>
            </w:tcBorders>
          </w:tcPr>
          <w:p>
            <w:pPr>
              <w:ind w:left="300"/>
              <w:spacing w:after="0"/>
              <w:rPr>
                <w:sz w:val="20"/>
                <w:szCs w:val="20"/>
                <w:color w:val="auto"/>
              </w:rPr>
            </w:pPr>
            <w:r>
              <w:rPr>
                <w:rFonts w:ascii="Arial" w:cs="Arial" w:eastAsia="Arial" w:hAnsi="Arial"/>
                <w:sz w:val="15"/>
                <w:szCs w:val="15"/>
                <w:color w:val="auto"/>
              </w:rPr>
              <w:t>Goodwill impairment</w:t>
            </w: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2.7 %</w:t>
            </w:r>
          </w:p>
        </w:tc>
        <w:tc>
          <w:tcPr>
            <w:tcW w:w="8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color w:val="auto"/>
              </w:rPr>
              <w:t>— %</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 %</w:t>
            </w:r>
          </w:p>
        </w:tc>
        <w:tc>
          <w:tcPr>
            <w:tcW w:w="0" w:type="dxa"/>
            <w:vAlign w:val="bottom"/>
          </w:tcPr>
          <w:p>
            <w:pPr>
              <w:spacing w:after="0"/>
              <w:rPr>
                <w:sz w:val="1"/>
                <w:szCs w:val="1"/>
                <w:color w:val="auto"/>
              </w:rPr>
            </w:pPr>
          </w:p>
        </w:tc>
      </w:tr>
      <w:tr>
        <w:trPr>
          <w:trHeight w:val="224"/>
        </w:trPr>
        <w:tc>
          <w:tcPr>
            <w:tcW w:w="20" w:type="dxa"/>
            <w:vAlign w:val="bottom"/>
            <w:tcBorders>
              <w:bottom w:val="single" w:sz="8" w:color="auto"/>
            </w:tcBorders>
            <w:shd w:val="clear" w:color="auto" w:fill="CCEEFF"/>
          </w:tcPr>
          <w:p>
            <w:pPr>
              <w:spacing w:after="0"/>
              <w:rPr>
                <w:sz w:val="19"/>
                <w:szCs w:val="19"/>
                <w:color w:val="auto"/>
              </w:rPr>
            </w:pPr>
          </w:p>
        </w:tc>
        <w:tc>
          <w:tcPr>
            <w:tcW w:w="5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Income from operations</w:t>
            </w: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8.5 %</w:t>
            </w:r>
          </w:p>
        </w:tc>
        <w:tc>
          <w:tcPr>
            <w:tcW w:w="8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283"/>
              <w:spacing w:after="0"/>
              <w:rPr>
                <w:sz w:val="20"/>
                <w:szCs w:val="20"/>
                <w:color w:val="auto"/>
              </w:rPr>
            </w:pPr>
            <w:r>
              <w:rPr>
                <w:rFonts w:ascii="Arial" w:cs="Arial" w:eastAsia="Arial" w:hAnsi="Arial"/>
                <w:sz w:val="15"/>
                <w:szCs w:val="15"/>
                <w:color w:val="auto"/>
              </w:rPr>
              <w:t>12.8 %</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52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7"/>
        </w:trPr>
        <w:tc>
          <w:tcPr>
            <w:tcW w:w="5280" w:type="dxa"/>
            <w:vAlign w:val="bottom"/>
            <w:gridSpan w:val="2"/>
          </w:tcPr>
          <w:p>
            <w:pPr>
              <w:spacing w:after="0"/>
              <w:rPr>
                <w:sz w:val="20"/>
                <w:szCs w:val="20"/>
                <w:color w:val="auto"/>
              </w:rPr>
            </w:pPr>
            <w:r>
              <w:rPr>
                <w:rFonts w:ascii="Arial" w:cs="Arial" w:eastAsia="Arial" w:hAnsi="Arial"/>
                <w:sz w:val="15"/>
                <w:szCs w:val="15"/>
                <w:b w:val="1"/>
                <w:bCs w:val="1"/>
                <w:i w:val="1"/>
                <w:iCs w:val="1"/>
                <w:color w:val="auto"/>
              </w:rPr>
              <w:t>Revenue</w:t>
            </w: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520" w:type="dxa"/>
            <w:vAlign w:val="bottom"/>
            <w:gridSpan w:val="3"/>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2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520" w:type="dxa"/>
            <w:vAlign w:val="bottom"/>
            <w:gridSpan w:val="3"/>
            <w:shd w:val="clear" w:color="auto" w:fill="CCEEFF"/>
          </w:tcPr>
          <w:p>
            <w:pPr>
              <w:ind w:left="300"/>
              <w:spacing w:after="0" w:line="155" w:lineRule="exact"/>
              <w:rPr>
                <w:sz w:val="20"/>
                <w:szCs w:val="20"/>
                <w:color w:val="auto"/>
              </w:rPr>
            </w:pPr>
            <w:r>
              <w:rPr>
                <w:rFonts w:ascii="Arial" w:cs="Arial" w:eastAsia="Arial" w:hAnsi="Arial"/>
                <w:sz w:val="15"/>
                <w:szCs w:val="15"/>
                <w:b w:val="1"/>
                <w:bCs w:val="1"/>
                <w:color w:val="auto"/>
              </w:rPr>
              <w:t>Three Months Ended</w:t>
            </w:r>
          </w:p>
        </w:tc>
        <w:tc>
          <w:tcPr>
            <w:tcW w:w="84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Change</w:t>
            </w: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26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2520" w:type="dxa"/>
            <w:vAlign w:val="bottom"/>
            <w:tcBorders>
              <w:bottom w:val="single" w:sz="8" w:color="auto"/>
            </w:tcBorders>
            <w:gridSpan w:val="3"/>
            <w:shd w:val="clear" w:color="auto" w:fill="CCEEFF"/>
          </w:tcPr>
          <w:p>
            <w:pPr>
              <w:jc w:val="right"/>
              <w:ind w:right="843"/>
              <w:spacing w:after="0"/>
              <w:rPr>
                <w:sz w:val="20"/>
                <w:szCs w:val="20"/>
                <w:color w:val="auto"/>
              </w:rPr>
            </w:pPr>
            <w:r>
              <w:rPr>
                <w:rFonts w:ascii="Arial" w:cs="Arial" w:eastAsia="Arial" w:hAnsi="Arial"/>
                <w:sz w:val="15"/>
                <w:szCs w:val="15"/>
                <w:b w:val="1"/>
                <w:bCs w:val="1"/>
                <w:color w:val="auto"/>
              </w:rPr>
              <w:t>September 30,</w:t>
            </w:r>
          </w:p>
        </w:tc>
        <w:tc>
          <w:tcPr>
            <w:tcW w:w="8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5"/>
                <w:szCs w:val="15"/>
                <w:i w:val="1"/>
                <w:iCs w:val="1"/>
                <w:color w:val="auto"/>
              </w:rPr>
              <w:t>(in thousands)</w:t>
            </w:r>
          </w:p>
        </w:tc>
        <w:tc>
          <w:tcPr>
            <w:tcW w:w="4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5"/>
                <w:szCs w:val="15"/>
                <w:b w:val="1"/>
                <w:bCs w:val="1"/>
                <w:color w:val="auto"/>
              </w:rPr>
              <w:t>2025</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8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Revenue</w:t>
            </w:r>
          </w:p>
        </w:tc>
        <w:tc>
          <w:tcPr>
            <w:tcW w:w="40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rPr>
              <w:t>$</w:t>
            </w:r>
          </w:p>
        </w:tc>
        <w:tc>
          <w:tcPr>
            <w:tcW w:w="13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2,042,812 $</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2,030,030</w:t>
            </w:r>
          </w:p>
        </w:tc>
        <w:tc>
          <w:tcPr>
            <w:tcW w:w="840" w:type="dxa"/>
            <w:vAlign w:val="bottom"/>
            <w:shd w:val="clear" w:color="auto" w:fill="CCEEFF"/>
          </w:tcPr>
          <w:p>
            <w:pPr>
              <w:jc w:val="right"/>
              <w:ind w:right="663"/>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ind w:right="343"/>
              <w:spacing w:after="0"/>
              <w:rPr>
                <w:sz w:val="20"/>
                <w:szCs w:val="20"/>
                <w:color w:val="auto"/>
              </w:rPr>
            </w:pPr>
            <w:r>
              <w:rPr>
                <w:rFonts w:ascii="Arial" w:cs="Arial" w:eastAsia="Arial" w:hAnsi="Arial"/>
                <w:sz w:val="15"/>
                <w:szCs w:val="15"/>
                <w:color w:val="auto"/>
              </w:rPr>
              <w:t>12,782</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0.6 %</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Revenue for the three months ended September 30, 2025 increased by $12.8 million, or 0.6%, to $2,042.8 million, compared to $2,030.0 million for the three months ended September 30, 2024. Revenue decreased by 1.0% in constant currency terms.</w:t>
      </w:r>
    </w:p>
    <w:p>
      <w:pPr>
        <w:spacing w:after="0" w:line="183"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During the three months ended September 30, 2025, we derived 31.7%, 56.8% and 11.5% of our revenue in the United States, Europe and Rest of World respectively. Revenues from our top five customers amounted to $503.3 million in the three months ended September 30, 2025, compared to $502.6 million for the three months ended September 30, 2024 or 24.6% and 24.8% respectively. New customer accounts are continually added across the full portfolio of large pharma customers, mid-tier pharma customers and biotech customers.</w:t>
      </w:r>
    </w:p>
    <w:p>
      <w:pPr>
        <w:spacing w:after="0" w:line="188"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 xml:space="preserve">Revenue in Ireland increased by $142.5 million for the three months ended September 30, 2025, to $758.5 million, compared to $616.0 million for the three months ended September 30, 2024. Revenue in Ireland during the period ended September 30, 2025 increased by 23.1% compared to an overall increase in ICON Group revenue of 0.6%. Revenue in Ireland is principally a function of our global contracting model (see note 15. </w:t>
      </w:r>
      <w:r>
        <w:rPr>
          <w:rFonts w:ascii="Arial" w:cs="Arial" w:eastAsia="Arial" w:hAnsi="Arial"/>
          <w:sz w:val="15"/>
          <w:szCs w:val="15"/>
          <w:i w:val="1"/>
          <w:iCs w:val="1"/>
          <w:color w:val="auto"/>
        </w:rPr>
        <w:t>Business Segment and Geographical Information</w:t>
      </w:r>
      <w:r>
        <w:rPr>
          <w:rFonts w:ascii="Arial" w:cs="Arial" w:eastAsia="Arial" w:hAnsi="Arial"/>
          <w:sz w:val="15"/>
          <w:szCs w:val="15"/>
          <w:color w:val="auto"/>
        </w:rPr>
        <w:t xml:space="preserve"> for further details).</w:t>
      </w:r>
    </w:p>
    <w:p>
      <w:pPr>
        <w:spacing w:after="0" w:line="201"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Revenue in our Rest of Europe region decreased by $18.2 million or 4.3%, to $402.4 million, compared to $420.6 million for the three months ended September 30, 2024. Revenue in the U.S. region decreased by $107.8 million or 14.3%, to $647.3 million, compared to $755.1 million for the three months ended September 30, 2024. Revenue in the Rest of World ('Other') region decreased by $3.8 million or 1.6%, to $234.6 million, compared to $238.4 million for the three months ended September 30, 2024.</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760" w:type="dxa"/>
            <w:vAlign w:val="bottom"/>
            <w:shd w:val="clear" w:color="auto" w:fill="CCEEFF"/>
          </w:tcPr>
          <w:p>
            <w:pPr>
              <w:ind w:left="320"/>
              <w:spacing w:after="0"/>
              <w:rPr>
                <w:sz w:val="20"/>
                <w:szCs w:val="20"/>
                <w:color w:val="auto"/>
              </w:rPr>
            </w:pPr>
            <w:r>
              <w:rPr>
                <w:rFonts w:ascii="Arial" w:cs="Arial" w:eastAsia="Arial" w:hAnsi="Arial"/>
                <w:sz w:val="15"/>
                <w:szCs w:val="15"/>
                <w:b w:val="1"/>
                <w:bCs w:val="1"/>
                <w:color w:val="auto"/>
              </w:rPr>
              <w:t>Nine months ended</w:t>
            </w:r>
          </w:p>
        </w:tc>
        <w:tc>
          <w:tcPr>
            <w:tcW w:w="7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740" w:type="dxa"/>
            <w:vAlign w:val="bottom"/>
            <w:vMerge w:val="restart"/>
            <w:shd w:val="clear" w:color="auto" w:fill="CCEEFF"/>
          </w:tcPr>
          <w:p>
            <w:pPr>
              <w:jc w:val="right"/>
              <w:ind w:right="303"/>
              <w:spacing w:after="0"/>
              <w:rPr>
                <w:sz w:val="20"/>
                <w:szCs w:val="20"/>
                <w:color w:val="auto"/>
              </w:rPr>
            </w:pPr>
            <w:r>
              <w:rPr>
                <w:rFonts w:ascii="Arial" w:cs="Arial" w:eastAsia="Arial" w:hAnsi="Arial"/>
                <w:sz w:val="15"/>
                <w:szCs w:val="15"/>
                <w:b w:val="1"/>
                <w:bCs w:val="1"/>
                <w:color w:val="auto"/>
              </w:rPr>
              <w:t>Change</w:t>
            </w: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52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5"/>
                <w:szCs w:val="15"/>
                <w:b w:val="1"/>
                <w:bCs w:val="1"/>
                <w:color w:val="auto"/>
              </w:rPr>
              <w:t>September 30,</w:t>
            </w:r>
          </w:p>
        </w:tc>
        <w:tc>
          <w:tcPr>
            <w:tcW w:w="74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vMerge w:val="continue"/>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5"/>
                <w:szCs w:val="15"/>
                <w:i w:val="1"/>
                <w:iCs w:val="1"/>
                <w:color w:val="auto"/>
              </w:rPr>
              <w:t>(in thousands)</w:t>
            </w:r>
          </w:p>
        </w:tc>
        <w:tc>
          <w:tcPr>
            <w:tcW w:w="4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643"/>
              <w:spacing w:after="0"/>
              <w:rPr>
                <w:sz w:val="20"/>
                <w:szCs w:val="20"/>
                <w:color w:val="auto"/>
              </w:rPr>
            </w:pPr>
            <w:r>
              <w:rPr>
                <w:rFonts w:ascii="Arial" w:cs="Arial" w:eastAsia="Arial" w:hAnsi="Arial"/>
                <w:sz w:val="15"/>
                <w:szCs w:val="15"/>
                <w:b w:val="1"/>
                <w:bCs w:val="1"/>
                <w:color w:val="auto"/>
              </w:rPr>
              <w:t>2025</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4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663"/>
              <w:spacing w:after="0"/>
              <w:rPr>
                <w:sz w:val="20"/>
                <w:szCs w:val="20"/>
                <w:color w:val="auto"/>
              </w:rPr>
            </w:pPr>
            <w:r>
              <w:rPr>
                <w:rFonts w:ascii="Arial" w:cs="Arial" w:eastAsia="Arial" w:hAnsi="Arial"/>
                <w:sz w:val="15"/>
                <w:szCs w:val="15"/>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99"/>
        </w:trPr>
        <w:tc>
          <w:tcPr>
            <w:tcW w:w="5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Revenue</w:t>
            </w:r>
          </w:p>
        </w:tc>
        <w:tc>
          <w:tcPr>
            <w:tcW w:w="40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17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6,061,501 $</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8"/>
              </w:rPr>
              <w:t>6,240,575</w:t>
            </w:r>
          </w:p>
        </w:tc>
        <w:tc>
          <w:tcPr>
            <w:tcW w:w="44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rPr>
              <w:t>$</w:t>
            </w:r>
          </w:p>
        </w:tc>
        <w:tc>
          <w:tcPr>
            <w:tcW w:w="1740" w:type="dxa"/>
            <w:vAlign w:val="bottom"/>
            <w:shd w:val="clear" w:color="auto" w:fill="CCEEFF"/>
          </w:tcPr>
          <w:p>
            <w:pPr>
              <w:jc w:val="right"/>
              <w:ind w:right="663"/>
              <w:spacing w:after="0"/>
              <w:rPr>
                <w:sz w:val="20"/>
                <w:szCs w:val="20"/>
                <w:color w:val="auto"/>
              </w:rPr>
            </w:pPr>
            <w:r>
              <w:rPr>
                <w:rFonts w:ascii="Arial" w:cs="Arial" w:eastAsia="Arial" w:hAnsi="Arial"/>
                <w:sz w:val="15"/>
                <w:szCs w:val="15"/>
                <w:color w:val="auto"/>
              </w:rPr>
              <w:t>(179,074)</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Revenue for the nine months ended September 30, 2025 decreased by $179.1 million, or 2.9%, to $6,061.5 million, compared to $6,240.6 million for the nine months ended September 30, 2024. Revenue decreased by 3.3% in constant currency terms. Revenue for the nine months ended September 30, 2025 was impacted by the volatility and cautiousness present in the broader clinical development market.</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32" w:name="page33"/>
    <w:bookmarkEnd w:id="32"/>
    <w:p>
      <w:pPr>
        <w:jc w:val="both"/>
        <w:ind w:firstLine="619"/>
        <w:spacing w:after="0" w:line="271" w:lineRule="auto"/>
        <w:rPr>
          <w:sz w:val="20"/>
          <w:szCs w:val="20"/>
          <w:color w:val="auto"/>
        </w:rPr>
      </w:pPr>
      <w:r>
        <w:rPr>
          <w:rFonts w:ascii="Arial" w:cs="Arial" w:eastAsia="Arial" w:hAnsi="Arial"/>
          <w:sz w:val="15"/>
          <w:szCs w:val="15"/>
          <w:color w:val="auto"/>
        </w:rPr>
        <w:t>During the nine months ended September 30, 2025, we derived 31.2%, 57.7% and 11.1% of our revenue in the United States, Europe and Rest of World respectively. Revenues from our top five customers amounted to $1,505.4 million in the nine months ended September 30, 2025, compared to $1,557.6 million for the nine months ended September 30, 2024 or 24.8% and 25.0% respectively. New customer accounts are continually added across the full portfolio of large pharma customers, mid-tier pharma customers and biotech customers.</w:t>
      </w:r>
    </w:p>
    <w:p>
      <w:pPr>
        <w:spacing w:after="0" w:line="201"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 xml:space="preserve">Revenue in Ireland increased by $394.2 million for the nine months ended September 30, 2025, to $2,365.7 million, compared to $1,971.5 million for the nine months ended September 30, 2024. Revenue in Ireland during the period ended September 30, 2025 increased by 20.0% compared to an overall decrease in ICON Group revenue of 2.9%. Revenue in Ireland is principally a function of our global contracting model (see note 15. </w:t>
      </w:r>
      <w:r>
        <w:rPr>
          <w:rFonts w:ascii="Arial" w:cs="Arial" w:eastAsia="Arial" w:hAnsi="Arial"/>
          <w:sz w:val="15"/>
          <w:szCs w:val="15"/>
          <w:i w:val="1"/>
          <w:iCs w:val="1"/>
          <w:color w:val="auto"/>
        </w:rPr>
        <w:t>Business Segment and Geographical</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Information </w:t>
      </w:r>
      <w:r>
        <w:rPr>
          <w:rFonts w:ascii="Arial" w:cs="Arial" w:eastAsia="Arial" w:hAnsi="Arial"/>
          <w:sz w:val="15"/>
          <w:szCs w:val="15"/>
          <w:color w:val="auto"/>
        </w:rPr>
        <w:t>for further details).</w:t>
      </w:r>
    </w:p>
    <w:p>
      <w:pPr>
        <w:spacing w:after="0" w:line="188"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Revenue in our Rest of Europe region decreased by $61.4 million or 5.1%, to $1,133.6 million, compared to $1,195.0 million for the nine months ended September 30, 2024. Revenue in the U.S. region decreased by $465.7 million or 19.8%, to $1,891.3 million, compared to $2,357.0 million for the nine months ended September 30, 2024. Revenue in the Rest of World ('Other') region decreased by $46.2 million or 6.4%, to $670.9 million, compared to $717.1 million for the nine months ended September 30, 2024.</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Direct costs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7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740" w:type="dxa"/>
            <w:vAlign w:val="bottom"/>
            <w:gridSpan w:val="3"/>
            <w:shd w:val="clear" w:color="auto" w:fill="CCEEFF"/>
          </w:tcPr>
          <w:p>
            <w:pPr>
              <w:jc w:val="center"/>
              <w:ind w:right="323"/>
              <w:spacing w:after="0"/>
              <w:rPr>
                <w:sz w:val="20"/>
                <w:szCs w:val="20"/>
                <w:color w:val="auto"/>
              </w:rPr>
            </w:pPr>
            <w:r>
              <w:rPr>
                <w:rFonts w:ascii="Arial" w:cs="Arial" w:eastAsia="Arial" w:hAnsi="Arial"/>
                <w:sz w:val="15"/>
                <w:szCs w:val="15"/>
                <w:b w:val="1"/>
                <w:bCs w:val="1"/>
                <w:color w:val="auto"/>
              </w:rPr>
              <w:t>Three Months Ended</w:t>
            </w:r>
          </w:p>
        </w:tc>
        <w:tc>
          <w:tcPr>
            <w:tcW w:w="5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Nine Months Ended</w:t>
            </w: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206"/>
        </w:trPr>
        <w:tc>
          <w:tcPr>
            <w:tcW w:w="176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780" w:type="dxa"/>
            <w:vAlign w:val="bottom"/>
            <w:tcBorders>
              <w:bottom w:val="single" w:sz="8" w:color="auto"/>
            </w:tcBorders>
            <w:gridSpan w:val="2"/>
            <w:shd w:val="clear" w:color="auto" w:fill="CCEEFF"/>
          </w:tcPr>
          <w:p>
            <w:pPr>
              <w:jc w:val="center"/>
              <w:ind w:left="483"/>
              <w:spacing w:after="0"/>
              <w:rPr>
                <w:sz w:val="20"/>
                <w:szCs w:val="20"/>
                <w:color w:val="auto"/>
              </w:rPr>
            </w:pPr>
            <w:r>
              <w:rPr>
                <w:rFonts w:ascii="Arial" w:cs="Arial" w:eastAsia="Arial" w:hAnsi="Arial"/>
                <w:sz w:val="15"/>
                <w:szCs w:val="15"/>
                <w:b w:val="1"/>
                <w:bCs w:val="1"/>
                <w:color w:val="auto"/>
              </w:rPr>
              <w:t>September 30,</w:t>
            </w:r>
          </w:p>
        </w:tc>
        <w:tc>
          <w:tcPr>
            <w:tcW w:w="96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September 30,</w:t>
            </w:r>
          </w:p>
        </w:tc>
        <w:tc>
          <w:tcPr>
            <w:tcW w:w="4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r>
      <w:tr>
        <w:trPr>
          <w:trHeight w:val="199"/>
        </w:trPr>
        <w:tc>
          <w:tcPr>
            <w:tcW w:w="1760" w:type="dxa"/>
            <w:vAlign w:val="bottom"/>
            <w:tcBorders>
              <w:bottom w:val="single" w:sz="8" w:color="CCEEFF"/>
            </w:tcBorders>
          </w:tcPr>
          <w:p>
            <w:pPr>
              <w:ind w:left="20"/>
              <w:spacing w:after="0"/>
              <w:rPr>
                <w:sz w:val="20"/>
                <w:szCs w:val="20"/>
                <w:color w:val="auto"/>
              </w:rPr>
            </w:pPr>
            <w:r>
              <w:rPr>
                <w:rFonts w:ascii="Arial" w:cs="Arial" w:eastAsia="Arial" w:hAnsi="Arial"/>
                <w:sz w:val="15"/>
                <w:szCs w:val="15"/>
                <w:i w:val="1"/>
                <w:iCs w:val="1"/>
                <w:color w:val="auto"/>
              </w:rPr>
              <w:t>(in thousands)</w:t>
            </w:r>
          </w:p>
        </w:tc>
        <w:tc>
          <w:tcPr>
            <w:tcW w:w="4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6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5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Change</w:t>
            </w:r>
          </w:p>
        </w:tc>
        <w:tc>
          <w:tcPr>
            <w:tcW w:w="4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4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Change</w:t>
            </w:r>
          </w:p>
        </w:tc>
      </w:tr>
      <w:tr>
        <w:trPr>
          <w:trHeight w:val="199"/>
        </w:trPr>
        <w:tc>
          <w:tcPr>
            <w:tcW w:w="1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Direct costs</w:t>
            </w:r>
          </w:p>
        </w:tc>
        <w:tc>
          <w:tcPr>
            <w:tcW w:w="40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1,488,364</w:t>
            </w:r>
          </w:p>
        </w:tc>
        <w:tc>
          <w:tcPr>
            <w:tcW w:w="620" w:type="dxa"/>
            <w:vAlign w:val="bottom"/>
            <w:shd w:val="clear" w:color="auto" w:fill="CCEEFF"/>
          </w:tcPr>
          <w:p>
            <w:pPr>
              <w:jc w:val="right"/>
              <w:ind w:right="423"/>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1,438,616</w:t>
            </w:r>
          </w:p>
        </w:tc>
        <w:tc>
          <w:tcPr>
            <w:tcW w:w="500" w:type="dxa"/>
            <w:vAlign w:val="bottom"/>
            <w:shd w:val="clear" w:color="auto" w:fill="CCEEFF"/>
          </w:tcPr>
          <w:p>
            <w:pPr>
              <w:jc w:val="right"/>
              <w:ind w:right="32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49,748</w:t>
            </w:r>
          </w:p>
        </w:tc>
        <w:tc>
          <w:tcPr>
            <w:tcW w:w="40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4,386,801</w:t>
            </w: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4,403,583</w:t>
            </w:r>
          </w:p>
        </w:tc>
        <w:tc>
          <w:tcPr>
            <w:tcW w:w="48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(16,782)</w:t>
            </w:r>
          </w:p>
        </w:tc>
      </w:tr>
      <w:tr>
        <w:trPr>
          <w:trHeight w:val="205"/>
        </w:trPr>
        <w:tc>
          <w:tcPr>
            <w:tcW w:w="1760" w:type="dxa"/>
            <w:vAlign w:val="bottom"/>
          </w:tcPr>
          <w:p>
            <w:pPr>
              <w:ind w:left="20"/>
              <w:spacing w:after="0"/>
              <w:rPr>
                <w:sz w:val="20"/>
                <w:szCs w:val="20"/>
                <w:color w:val="auto"/>
              </w:rPr>
            </w:pPr>
            <w:r>
              <w:rPr>
                <w:rFonts w:ascii="Arial" w:cs="Arial" w:eastAsia="Arial" w:hAnsi="Arial"/>
                <w:sz w:val="15"/>
                <w:szCs w:val="15"/>
                <w:color w:val="auto"/>
              </w:rPr>
              <w:t>% of revenue</w:t>
            </w:r>
          </w:p>
        </w:tc>
        <w:tc>
          <w:tcPr>
            <w:tcW w:w="4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72.9 %</w:t>
            </w:r>
          </w:p>
        </w:tc>
        <w:tc>
          <w:tcPr>
            <w:tcW w:w="6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70.9 %</w:t>
            </w:r>
          </w:p>
        </w:tc>
        <w:tc>
          <w:tcPr>
            <w:tcW w:w="5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3.5 %</w:t>
            </w:r>
          </w:p>
        </w:tc>
        <w:tc>
          <w:tcPr>
            <w:tcW w:w="4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72.4 %</w:t>
            </w: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70.6 %</w:t>
            </w:r>
          </w:p>
        </w:tc>
        <w:tc>
          <w:tcPr>
            <w:tcW w:w="4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(0.4)%</w:t>
            </w:r>
          </w:p>
        </w:tc>
      </w:tr>
    </w:tbl>
    <w:p>
      <w:pPr>
        <w:spacing w:after="0" w:line="200" w:lineRule="exact"/>
        <w:rPr>
          <w:sz w:val="20"/>
          <w:szCs w:val="20"/>
          <w:color w:val="auto"/>
        </w:rPr>
      </w:pPr>
    </w:p>
    <w:p>
      <w:pPr>
        <w:spacing w:after="0" w:line="305" w:lineRule="exact"/>
        <w:rPr>
          <w:sz w:val="20"/>
          <w:szCs w:val="20"/>
          <w:color w:val="auto"/>
        </w:rPr>
      </w:pPr>
    </w:p>
    <w:p>
      <w:pPr>
        <w:jc w:val="both"/>
        <w:ind w:firstLine="619"/>
        <w:spacing w:after="0" w:line="249" w:lineRule="auto"/>
        <w:rPr>
          <w:sz w:val="20"/>
          <w:szCs w:val="20"/>
          <w:color w:val="auto"/>
        </w:rPr>
      </w:pPr>
      <w:r>
        <w:rPr>
          <w:rFonts w:ascii="Arial" w:cs="Arial" w:eastAsia="Arial" w:hAnsi="Arial"/>
          <w:sz w:val="15"/>
          <w:szCs w:val="15"/>
          <w:color w:val="auto"/>
        </w:rPr>
        <w:t>Direct costs for the three months ended September 30, 2025 increased by $49.7 million, or 3.5%, to $1,488.4 million compared to $1,438.6 million for the three months ended September 30, 2024. Direct costs consist primarily of investigator and other reimbursable costs, compensation, associated fringe benefits and share based compensation expense for project-related employees and other direct project driven costs. The increase in direct costs arose due to an increase in personnel related costs ($13.7 million of this increase relates to share based compensation expense), third party investigator/other reimbursable costs and laboratory costs partially offset by a decrease in travel and other direct project driven costs. As a percentage of revenue, direct costs have increased to 72.9% of revenue during the three months ended September 30, 2025 compared to 70.9% for the three months ended September 30, 2024.</w:t>
      </w:r>
    </w:p>
    <w:p>
      <w:pPr>
        <w:spacing w:after="0" w:line="203"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5"/>
          <w:szCs w:val="15"/>
          <w:color w:val="auto"/>
        </w:rPr>
        <w:t>Direct costs for the nine months ended September 30, 2025 decreased by $16.8 million, or 0.4%, to $4,386.8 million compared to $4,403.6 million for the nine months ended September 30, 2024. The decrease in direct costs arose due to a decrease in personnel related costs, travel and other direct project driven costs, partially offset by increases in third party investigator/other reimbursable costs and laboratory costs. As a percentage of revenue, direct costs have increased to 72.4% of revenue during the nine months ended September 30, 2025 compared to 70.6% for the nine months ended September 30, 2024.</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sectPr>
      </w:pPr>
    </w:p>
    <w:bookmarkStart w:id="33" w:name="page34"/>
    <w:bookmarkEnd w:id="33"/>
    <w:p>
      <w:pPr>
        <w:spacing w:after="0"/>
        <w:rPr>
          <w:sz w:val="20"/>
          <w:szCs w:val="20"/>
          <w:color w:val="auto"/>
        </w:rPr>
      </w:pPr>
      <w:r>
        <w:rPr>
          <w:rFonts w:ascii="Arial" w:cs="Arial" w:eastAsia="Arial" w:hAnsi="Arial"/>
          <w:sz w:val="15"/>
          <w:szCs w:val="15"/>
          <w:b w:val="1"/>
          <w:bCs w:val="1"/>
          <w:i w:val="1"/>
          <w:iCs w:val="1"/>
          <w:color w:val="auto"/>
        </w:rPr>
        <w:t>Selling, general and administrative</w:t>
      </w:r>
    </w:p>
    <w:p>
      <w:pPr>
        <w:spacing w:after="0" w:line="260"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24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540" w:type="dxa"/>
            <w:vAlign w:val="bottom"/>
            <w:gridSpan w:val="3"/>
            <w:shd w:val="clear" w:color="auto" w:fill="CCEEFF"/>
          </w:tcPr>
          <w:p>
            <w:pPr>
              <w:jc w:val="center"/>
              <w:ind w:right="343"/>
              <w:spacing w:after="0"/>
              <w:rPr>
                <w:sz w:val="20"/>
                <w:szCs w:val="20"/>
                <w:color w:val="auto"/>
              </w:rPr>
            </w:pPr>
            <w:r>
              <w:rPr>
                <w:rFonts w:ascii="Arial" w:cs="Arial" w:eastAsia="Arial" w:hAnsi="Arial"/>
                <w:sz w:val="15"/>
                <w:szCs w:val="15"/>
                <w:b w:val="1"/>
                <w:bCs w:val="1"/>
                <w:color w:val="auto"/>
              </w:rPr>
              <w:t>Three Months Ended</w:t>
            </w:r>
          </w:p>
        </w:tc>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Nine Months Ended</w:t>
            </w:r>
          </w:p>
        </w:tc>
        <w:tc>
          <w:tcPr>
            <w:tcW w:w="4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206"/>
        </w:trPr>
        <w:tc>
          <w:tcPr>
            <w:tcW w:w="24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gridSpan w:val="2"/>
            <w:shd w:val="clear" w:color="auto" w:fill="CCEEFF"/>
          </w:tcPr>
          <w:p>
            <w:pPr>
              <w:jc w:val="center"/>
              <w:ind w:left="383"/>
              <w:spacing w:after="0"/>
              <w:rPr>
                <w:sz w:val="20"/>
                <w:szCs w:val="20"/>
                <w:color w:val="auto"/>
              </w:rPr>
            </w:pPr>
            <w:r>
              <w:rPr>
                <w:rFonts w:ascii="Arial" w:cs="Arial" w:eastAsia="Arial" w:hAnsi="Arial"/>
                <w:sz w:val="15"/>
                <w:szCs w:val="15"/>
                <w:b w:val="1"/>
                <w:bCs w:val="1"/>
                <w:color w:val="auto"/>
              </w:rPr>
              <w:t>September 30,</w:t>
            </w:r>
          </w:p>
        </w:tc>
        <w:tc>
          <w:tcPr>
            <w:tcW w:w="86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September 30,</w:t>
            </w:r>
          </w:p>
        </w:tc>
        <w:tc>
          <w:tcPr>
            <w:tcW w:w="4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r>
      <w:tr>
        <w:trPr>
          <w:trHeight w:val="199"/>
        </w:trPr>
        <w:tc>
          <w:tcPr>
            <w:tcW w:w="2420" w:type="dxa"/>
            <w:vAlign w:val="bottom"/>
            <w:tcBorders>
              <w:bottom w:val="single" w:sz="8" w:color="CCEEFF"/>
            </w:tcBorders>
          </w:tcPr>
          <w:p>
            <w:pPr>
              <w:ind w:left="20"/>
              <w:spacing w:after="0"/>
              <w:rPr>
                <w:sz w:val="20"/>
                <w:szCs w:val="20"/>
                <w:color w:val="auto"/>
              </w:rPr>
            </w:pPr>
            <w:r>
              <w:rPr>
                <w:rFonts w:ascii="Arial" w:cs="Arial" w:eastAsia="Arial" w:hAnsi="Arial"/>
                <w:sz w:val="15"/>
                <w:szCs w:val="15"/>
                <w:i w:val="1"/>
                <w:iCs w:val="1"/>
                <w:color w:val="auto"/>
              </w:rPr>
              <w:t>(in thousands)</w:t>
            </w:r>
          </w:p>
        </w:tc>
        <w:tc>
          <w:tcPr>
            <w:tcW w:w="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6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Change</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4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Change</w:t>
            </w:r>
          </w:p>
        </w:tc>
      </w:tr>
      <w:tr>
        <w:trPr>
          <w:trHeight w:val="199"/>
        </w:trPr>
        <w:tc>
          <w:tcPr>
            <w:tcW w:w="28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Selling, general and administrative $</w:t>
            </w:r>
          </w:p>
        </w:tc>
        <w:tc>
          <w:tcPr>
            <w:tcW w:w="106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197,049</w:t>
            </w:r>
          </w:p>
        </w:tc>
        <w:tc>
          <w:tcPr>
            <w:tcW w:w="620" w:type="dxa"/>
            <w:vAlign w:val="bottom"/>
            <w:shd w:val="clear" w:color="auto" w:fill="CCEEFF"/>
          </w:tcPr>
          <w:p>
            <w:pPr>
              <w:jc w:val="right"/>
              <w:ind w:right="443"/>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205,095</w:t>
            </w:r>
          </w:p>
        </w:tc>
        <w:tc>
          <w:tcPr>
            <w:tcW w:w="46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(8,046)</w:t>
            </w:r>
          </w:p>
        </w:tc>
        <w:tc>
          <w:tcPr>
            <w:tcW w:w="42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600,439</w:t>
            </w:r>
          </w:p>
        </w:tc>
        <w:tc>
          <w:tcPr>
            <w:tcW w:w="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30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576,903</w:t>
            </w:r>
          </w:p>
        </w:tc>
        <w:tc>
          <w:tcPr>
            <w:tcW w:w="46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23,536</w:t>
            </w:r>
          </w:p>
        </w:tc>
      </w:tr>
      <w:tr>
        <w:trPr>
          <w:trHeight w:val="205"/>
        </w:trPr>
        <w:tc>
          <w:tcPr>
            <w:tcW w:w="2820" w:type="dxa"/>
            <w:vAlign w:val="bottom"/>
            <w:gridSpan w:val="2"/>
          </w:tcPr>
          <w:p>
            <w:pPr>
              <w:ind w:left="20"/>
              <w:spacing w:after="0"/>
              <w:rPr>
                <w:sz w:val="20"/>
                <w:szCs w:val="20"/>
                <w:color w:val="auto"/>
              </w:rPr>
            </w:pPr>
            <w:r>
              <w:rPr>
                <w:rFonts w:ascii="Arial" w:cs="Arial" w:eastAsia="Arial" w:hAnsi="Arial"/>
                <w:sz w:val="15"/>
                <w:szCs w:val="15"/>
                <w:color w:val="auto"/>
              </w:rPr>
              <w:t>% of revenue</w:t>
            </w:r>
          </w:p>
        </w:tc>
        <w:tc>
          <w:tcPr>
            <w:tcW w:w="1060" w:type="dxa"/>
            <w:vAlign w:val="bottom"/>
          </w:tcPr>
          <w:p>
            <w:pPr>
              <w:jc w:val="right"/>
              <w:spacing w:after="0"/>
              <w:rPr>
                <w:sz w:val="20"/>
                <w:szCs w:val="20"/>
                <w:color w:val="auto"/>
              </w:rPr>
            </w:pPr>
            <w:r>
              <w:rPr>
                <w:rFonts w:ascii="Arial" w:cs="Arial" w:eastAsia="Arial" w:hAnsi="Arial"/>
                <w:sz w:val="15"/>
                <w:szCs w:val="15"/>
                <w:color w:val="auto"/>
              </w:rPr>
              <w:t>9.7 %</w:t>
            </w:r>
          </w:p>
        </w:tc>
        <w:tc>
          <w:tcPr>
            <w:tcW w:w="6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10.1 %</w:t>
            </w:r>
          </w:p>
        </w:tc>
        <w:tc>
          <w:tcPr>
            <w:tcW w:w="4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(3.9)%</w:t>
            </w:r>
          </w:p>
        </w:tc>
        <w:tc>
          <w:tcPr>
            <w:tcW w:w="4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9.9 %</w:t>
            </w: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9.2 %</w:t>
            </w: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4.1 %</w:t>
            </w:r>
          </w:p>
        </w:tc>
      </w:tr>
    </w:tbl>
    <w:p>
      <w:pPr>
        <w:spacing w:after="0" w:line="260"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color w:val="auto"/>
        </w:rPr>
        <w:t>Selling, general and administrative expenses for the three months ended September 30, 2025 decreased by $8.0 million, or 3.9%, to $197.0 million, compared to $205.1 million for the three months ended September 30, 2024. Selling, general and administrative expenses comprise primarily of compensation, related fringe benefits and share based compensation expense for non-project-related employees, recruitment expenditure, professional service costs, advertising costs and costs related to facilities and information systems. As a percentage of revenue, selling, general and administrative expenses decreased to 9.7% during the three months ended September 30, 2025, compared to 10.1% of revenue for the three months ended September 30, 2024. The decrease in selling, general and administrative expenses primarily relates to beneficial foreign exchange movements ($6.9 million during the three months ended September 30, 2025), decreases in general and professional costs partially offset by increases in personnel costs ($19.4 million of this increase relates to share based compensation expense) and facilities costs.</w:t>
      </w:r>
    </w:p>
    <w:p>
      <w:pPr>
        <w:spacing w:after="0" w:line="394"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Selling, general and administrative expenses for the nine months ended September 30, 2025 increased by $23.5 million, or 4.1%, to $600.4 million, compared to $576.9 million for the nine months ended September 30, 2024. As a percentage of revenue, selling, general and administrative expenses increased to 9.9% during the nine months ended September 30, 2025, compared to 9.2% of revenue for the nine months ended September 30, 2024. The increase in selling, general and administrative expenses primarily relates to adverse foreign exchange movements ($35.2 million during the nine months ended September 30, 2025) and an increase in facility costs, partially offset by decreases in general and marketing costs.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Depreciation and amortization</w:t>
      </w:r>
    </w:p>
    <w:p>
      <w:pPr>
        <w:spacing w:after="0" w:line="260"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26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460" w:type="dxa"/>
            <w:vAlign w:val="bottom"/>
            <w:gridSpan w:val="3"/>
            <w:shd w:val="clear" w:color="auto" w:fill="CCEEFF"/>
          </w:tcPr>
          <w:p>
            <w:pPr>
              <w:jc w:val="right"/>
              <w:ind w:right="583"/>
              <w:spacing w:after="0"/>
              <w:rPr>
                <w:sz w:val="20"/>
                <w:szCs w:val="20"/>
                <w:color w:val="auto"/>
              </w:rPr>
            </w:pPr>
            <w:r>
              <w:rPr>
                <w:rFonts w:ascii="Arial" w:cs="Arial" w:eastAsia="Arial" w:hAnsi="Arial"/>
                <w:sz w:val="15"/>
                <w:szCs w:val="15"/>
                <w:b w:val="1"/>
                <w:bCs w:val="1"/>
                <w:color w:val="auto"/>
              </w:rPr>
              <w:t>Three Months Ended</w:t>
            </w:r>
          </w:p>
        </w:tc>
        <w:tc>
          <w:tcPr>
            <w:tcW w:w="4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Nine Months Ended</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206"/>
        </w:trPr>
        <w:tc>
          <w:tcPr>
            <w:tcW w:w="26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gridSpan w:val="2"/>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September 30,</w:t>
            </w:r>
          </w:p>
        </w:tc>
        <w:tc>
          <w:tcPr>
            <w:tcW w:w="78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September 30,</w:t>
            </w: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r>
      <w:tr>
        <w:trPr>
          <w:trHeight w:val="199"/>
        </w:trPr>
        <w:tc>
          <w:tcPr>
            <w:tcW w:w="2680" w:type="dxa"/>
            <w:vAlign w:val="bottom"/>
            <w:tcBorders>
              <w:bottom w:val="single" w:sz="8" w:color="CCEEFF"/>
            </w:tcBorders>
          </w:tcPr>
          <w:p>
            <w:pPr>
              <w:ind w:left="20"/>
              <w:spacing w:after="0"/>
              <w:rPr>
                <w:sz w:val="20"/>
                <w:szCs w:val="20"/>
                <w:color w:val="auto"/>
              </w:rPr>
            </w:pPr>
            <w:r>
              <w:rPr>
                <w:rFonts w:ascii="Arial" w:cs="Arial" w:eastAsia="Arial" w:hAnsi="Arial"/>
                <w:sz w:val="15"/>
                <w:szCs w:val="15"/>
                <w:i w:val="1"/>
                <w:iCs w:val="1"/>
                <w:color w:val="auto"/>
              </w:rPr>
              <w:t>(in thousands)</w:t>
            </w: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6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Change</w:t>
            </w: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Change</w:t>
            </w:r>
          </w:p>
        </w:tc>
      </w:tr>
      <w:tr>
        <w:trPr>
          <w:trHeight w:val="199"/>
        </w:trPr>
        <w:tc>
          <w:tcPr>
            <w:tcW w:w="2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Depreciation</w:t>
            </w:r>
          </w:p>
        </w:tc>
        <w:tc>
          <w:tcPr>
            <w:tcW w:w="38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39,807</w:t>
            </w:r>
          </w:p>
        </w:tc>
        <w:tc>
          <w:tcPr>
            <w:tcW w:w="640" w:type="dxa"/>
            <w:vAlign w:val="bottom"/>
            <w:shd w:val="clear" w:color="auto" w:fill="CCEEFF"/>
          </w:tcPr>
          <w:p>
            <w:pPr>
              <w:jc w:val="right"/>
              <w:ind w:right="463"/>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35,003</w:t>
            </w:r>
          </w:p>
        </w:tc>
        <w:tc>
          <w:tcPr>
            <w:tcW w:w="46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4,804</w:t>
            </w:r>
          </w:p>
        </w:tc>
        <w:tc>
          <w:tcPr>
            <w:tcW w:w="38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115,480</w:t>
            </w:r>
          </w:p>
        </w:tc>
        <w:tc>
          <w:tcPr>
            <w:tcW w:w="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100,832</w:t>
            </w: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14,648</w:t>
            </w:r>
          </w:p>
        </w:tc>
      </w:tr>
      <w:tr>
        <w:trPr>
          <w:trHeight w:val="205"/>
        </w:trPr>
        <w:tc>
          <w:tcPr>
            <w:tcW w:w="2680" w:type="dxa"/>
            <w:vAlign w:val="bottom"/>
          </w:tcPr>
          <w:p>
            <w:pPr>
              <w:ind w:left="20"/>
              <w:spacing w:after="0"/>
              <w:rPr>
                <w:sz w:val="20"/>
                <w:szCs w:val="20"/>
                <w:color w:val="auto"/>
              </w:rPr>
            </w:pPr>
            <w:r>
              <w:rPr>
                <w:rFonts w:ascii="Arial" w:cs="Arial" w:eastAsia="Arial" w:hAnsi="Arial"/>
                <w:sz w:val="15"/>
                <w:szCs w:val="15"/>
                <w:color w:val="auto"/>
              </w:rPr>
              <w:t>% of revenue</w:t>
            </w: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1.9 %</w:t>
            </w:r>
          </w:p>
        </w:tc>
        <w:tc>
          <w:tcPr>
            <w:tcW w:w="6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1.7 %</w:t>
            </w:r>
          </w:p>
        </w:tc>
        <w:tc>
          <w:tcPr>
            <w:tcW w:w="4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13.7 %</w:t>
            </w: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1.9 %</w:t>
            </w: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1.6 %</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14.5 %</w:t>
            </w:r>
          </w:p>
        </w:tc>
      </w:tr>
      <w:tr>
        <w:trPr>
          <w:trHeight w:val="207"/>
        </w:trPr>
        <w:tc>
          <w:tcPr>
            <w:tcW w:w="2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Amortization</w:t>
            </w:r>
          </w:p>
        </w:tc>
        <w:tc>
          <w:tcPr>
            <w:tcW w:w="38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58,688</w:t>
            </w:r>
          </w:p>
        </w:tc>
        <w:tc>
          <w:tcPr>
            <w:tcW w:w="640" w:type="dxa"/>
            <w:vAlign w:val="bottom"/>
            <w:shd w:val="clear" w:color="auto" w:fill="CCEEFF"/>
          </w:tcPr>
          <w:p>
            <w:pPr>
              <w:jc w:val="right"/>
              <w:ind w:right="463"/>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58,026</w:t>
            </w:r>
          </w:p>
        </w:tc>
        <w:tc>
          <w:tcPr>
            <w:tcW w:w="46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662</w:t>
            </w:r>
          </w:p>
        </w:tc>
        <w:tc>
          <w:tcPr>
            <w:tcW w:w="38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176,691</w:t>
            </w:r>
          </w:p>
        </w:tc>
        <w:tc>
          <w:tcPr>
            <w:tcW w:w="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291,013</w:t>
            </w: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(114,322)</w:t>
            </w:r>
          </w:p>
        </w:tc>
      </w:tr>
      <w:tr>
        <w:trPr>
          <w:trHeight w:val="205"/>
        </w:trPr>
        <w:tc>
          <w:tcPr>
            <w:tcW w:w="2680" w:type="dxa"/>
            <w:vAlign w:val="bottom"/>
          </w:tcPr>
          <w:p>
            <w:pPr>
              <w:ind w:left="20"/>
              <w:spacing w:after="0"/>
              <w:rPr>
                <w:sz w:val="20"/>
                <w:szCs w:val="20"/>
                <w:color w:val="auto"/>
              </w:rPr>
            </w:pPr>
            <w:r>
              <w:rPr>
                <w:rFonts w:ascii="Arial" w:cs="Arial" w:eastAsia="Arial" w:hAnsi="Arial"/>
                <w:sz w:val="15"/>
                <w:szCs w:val="15"/>
                <w:color w:val="auto"/>
              </w:rPr>
              <w:t>% of revenue</w:t>
            </w: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2.9 %</w:t>
            </w:r>
          </w:p>
        </w:tc>
        <w:tc>
          <w:tcPr>
            <w:tcW w:w="6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2.9 %</w:t>
            </w:r>
          </w:p>
        </w:tc>
        <w:tc>
          <w:tcPr>
            <w:tcW w:w="4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1.1 %</w:t>
            </w: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2.9 %</w:t>
            </w: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4.7 %</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(39.3)%</w:t>
            </w:r>
          </w:p>
        </w:tc>
      </w:tr>
    </w:tbl>
    <w:p>
      <w:pPr>
        <w:spacing w:after="0" w:line="312"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color w:val="auto"/>
        </w:rPr>
        <w:t>The depreciation expense for the three months ended September 30, 2025 increased by $4.8 million, or 13.7%, to $39.8 million compared to $35.0 million for the three months ended September 30, 2024. The depreciation charge reflects investments in facilities, information systems and equipment. As a percentage of revenue, the depreciation expense increased to 1.9% of revenues, for the three months ended September 30, 2025 compared to 1.7% for the three months ended September 30, 2024. The depreciation expense for the nine months ended September 30, 2025 increased by $14.6 million, or 14.5%, to $115.5 million compared to $100.8 million for the nine months ended September 30, 2024. As a percentage of revenue, the depreciation expense increased to 1.9% of revenues, for the nine months ended September 30, 2025 compared to 1.6% for the nine months ended September 30, 2024. The depreciation charge has increased mainly due to additional investment in technology assets.</w:t>
      </w:r>
    </w:p>
    <w:p>
      <w:pPr>
        <w:spacing w:after="0" w:line="193"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Amortization expense for the three months ended September 30, 2025 increased by $0.7 million, or 1.1%, to $58.7 million compared to $58.0 million for the three months ended September 30, 2024. The amortization expense represents the amortization of intangible assets acquired in business combinations. As a percentage of revenue, the amortization expense was 2.9% for the three months ended September 30, 2025, compared to 2.9% for the three months ended September 30, 2024. Amortization expense for the nine months ended September 30, 2025 decreased by $114.3 million, or 39.3%, to $176.7 million compared to $291.0 million for the nine months ended September 30, 2024. The decrease in amortization is due to the order backlog and trade name intangible assets recognized in connection with the PRA merger amounting to $500.0 million and $202.0 million respectively as of the date of acquisition, becoming fully amortized on July 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sectPr>
      </w:pPr>
    </w:p>
    <w:bookmarkStart w:id="34" w:name="page35"/>
    <w:bookmarkEnd w:id="34"/>
    <w:p>
      <w:pPr>
        <w:spacing w:after="0"/>
        <w:rPr>
          <w:sz w:val="20"/>
          <w:szCs w:val="20"/>
          <w:color w:val="auto"/>
        </w:rPr>
      </w:pPr>
      <w:r>
        <w:rPr>
          <w:rFonts w:ascii="Arial" w:cs="Arial" w:eastAsia="Arial" w:hAnsi="Arial"/>
          <w:sz w:val="15"/>
          <w:szCs w:val="15"/>
          <w:b w:val="1"/>
          <w:bCs w:val="1"/>
          <w:i w:val="1"/>
          <w:iCs w:val="1"/>
          <w:color w:val="auto"/>
        </w:rPr>
        <w:t>Restructuring, transaction and integration related expenses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7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Three Months Ended</w:t>
            </w:r>
          </w:p>
        </w:tc>
        <w:tc>
          <w:tcPr>
            <w:tcW w:w="6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Nine Months Ended</w:t>
            </w:r>
          </w:p>
        </w:tc>
        <w:tc>
          <w:tcPr>
            <w:tcW w:w="4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206"/>
        </w:trPr>
        <w:tc>
          <w:tcPr>
            <w:tcW w:w="274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840" w:type="dxa"/>
            <w:vAlign w:val="bottom"/>
            <w:tcBorders>
              <w:bottom w:val="single" w:sz="8" w:color="auto"/>
            </w:tcBorders>
            <w:gridSpan w:val="2"/>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September 30,</w:t>
            </w:r>
          </w:p>
        </w:tc>
        <w:tc>
          <w:tcPr>
            <w:tcW w:w="6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September 30,</w:t>
            </w:r>
          </w:p>
        </w:tc>
        <w:tc>
          <w:tcPr>
            <w:tcW w:w="4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r>
      <w:tr>
        <w:trPr>
          <w:trHeight w:val="199"/>
        </w:trPr>
        <w:tc>
          <w:tcPr>
            <w:tcW w:w="2740" w:type="dxa"/>
            <w:vAlign w:val="bottom"/>
            <w:tcBorders>
              <w:bottom w:val="single" w:sz="8" w:color="CCEEFF"/>
            </w:tcBorders>
          </w:tcPr>
          <w:p>
            <w:pPr>
              <w:ind w:left="20"/>
              <w:spacing w:after="0"/>
              <w:rPr>
                <w:sz w:val="20"/>
                <w:szCs w:val="20"/>
                <w:color w:val="auto"/>
              </w:rPr>
            </w:pPr>
            <w:r>
              <w:rPr>
                <w:rFonts w:ascii="Arial" w:cs="Arial" w:eastAsia="Arial" w:hAnsi="Arial"/>
                <w:sz w:val="15"/>
                <w:szCs w:val="15"/>
                <w:i w:val="1"/>
                <w:iCs w:val="1"/>
                <w:color w:val="auto"/>
              </w:rPr>
              <w:t>(in thousands)</w:t>
            </w: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8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ind w:left="360"/>
              <w:spacing w:after="0"/>
              <w:rPr>
                <w:sz w:val="20"/>
                <w:szCs w:val="20"/>
                <w:color w:val="auto"/>
              </w:rPr>
            </w:pPr>
            <w:r>
              <w:rPr>
                <w:rFonts w:ascii="Arial" w:cs="Arial" w:eastAsia="Arial" w:hAnsi="Arial"/>
                <w:sz w:val="15"/>
                <w:szCs w:val="15"/>
                <w:b w:val="1"/>
                <w:bCs w:val="1"/>
                <w:color w:val="auto"/>
              </w:rPr>
              <w:t>Change</w:t>
            </w:r>
          </w:p>
        </w:tc>
        <w:tc>
          <w:tcPr>
            <w:tcW w:w="4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4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Change</w:t>
            </w:r>
          </w:p>
        </w:tc>
      </w:tr>
      <w:tr>
        <w:trPr>
          <w:trHeight w:val="199"/>
        </w:trPr>
        <w:tc>
          <w:tcPr>
            <w:tcW w:w="2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Transaction and integration related</w:t>
            </w:r>
          </w:p>
        </w:tc>
        <w:tc>
          <w:tcPr>
            <w:tcW w:w="3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7,020</w:t>
            </w:r>
          </w:p>
        </w:tc>
        <w:tc>
          <w:tcPr>
            <w:tcW w:w="800" w:type="dxa"/>
            <w:vAlign w:val="bottom"/>
            <w:shd w:val="clear" w:color="auto" w:fill="CCEEFF"/>
          </w:tcPr>
          <w:p>
            <w:pPr>
              <w:jc w:val="right"/>
              <w:ind w:right="623"/>
              <w:spacing w:after="0"/>
              <w:rPr>
                <w:sz w:val="20"/>
                <w:szCs w:val="20"/>
                <w:color w:val="auto"/>
              </w:rPr>
            </w:pPr>
            <w:r>
              <w:rPr>
                <w:rFonts w:ascii="Arial" w:cs="Arial" w:eastAsia="Arial" w:hAnsi="Arial"/>
                <w:sz w:val="15"/>
                <w:szCs w:val="15"/>
                <w:color w:val="auto"/>
                <w:w w:val="95"/>
              </w:rPr>
              <w:t>$</w:t>
            </w:r>
          </w:p>
        </w:tc>
        <w:tc>
          <w:tcPr>
            <w:tcW w:w="6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7,856</w:t>
            </w:r>
          </w:p>
        </w:tc>
        <w:tc>
          <w:tcPr>
            <w:tcW w:w="46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(836)</w:t>
            </w:r>
          </w:p>
        </w:tc>
        <w:tc>
          <w:tcPr>
            <w:tcW w:w="42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19,141</w:t>
            </w:r>
          </w:p>
        </w:tc>
        <w:tc>
          <w:tcPr>
            <w:tcW w:w="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3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21,667</w:t>
            </w:r>
          </w:p>
        </w:tc>
        <w:tc>
          <w:tcPr>
            <w:tcW w:w="42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(2,526)</w:t>
            </w:r>
          </w:p>
        </w:tc>
      </w:tr>
      <w:tr>
        <w:trPr>
          <w:trHeight w:val="205"/>
        </w:trPr>
        <w:tc>
          <w:tcPr>
            <w:tcW w:w="2740" w:type="dxa"/>
            <w:vAlign w:val="bottom"/>
          </w:tcPr>
          <w:p>
            <w:pPr>
              <w:ind w:left="20"/>
              <w:spacing w:after="0"/>
              <w:rPr>
                <w:sz w:val="20"/>
                <w:szCs w:val="20"/>
                <w:color w:val="auto"/>
              </w:rPr>
            </w:pPr>
            <w:r>
              <w:rPr>
                <w:rFonts w:ascii="Arial" w:cs="Arial" w:eastAsia="Arial" w:hAnsi="Arial"/>
                <w:sz w:val="15"/>
                <w:szCs w:val="15"/>
                <w:color w:val="auto"/>
              </w:rPr>
              <w:t>% of revenue</w:t>
            </w:r>
          </w:p>
        </w:tc>
        <w:tc>
          <w:tcPr>
            <w:tcW w:w="3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0.3 %</w:t>
            </w:r>
          </w:p>
        </w:tc>
        <w:tc>
          <w:tcPr>
            <w:tcW w:w="8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0.3 %</w:t>
            </w:r>
          </w:p>
        </w:tc>
        <w:tc>
          <w:tcPr>
            <w:tcW w:w="4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(10.6)%</w:t>
            </w:r>
          </w:p>
        </w:tc>
        <w:tc>
          <w:tcPr>
            <w:tcW w:w="4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0.3 %</w:t>
            </w: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0.3 %</w:t>
            </w:r>
          </w:p>
        </w:tc>
        <w:tc>
          <w:tcPr>
            <w:tcW w:w="4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(11.7)%</w:t>
            </w:r>
          </w:p>
        </w:tc>
      </w:tr>
      <w:tr>
        <w:trPr>
          <w:trHeight w:val="207"/>
        </w:trPr>
        <w:tc>
          <w:tcPr>
            <w:tcW w:w="2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Restructuring</w:t>
            </w:r>
          </w:p>
        </w:tc>
        <w:tc>
          <w:tcPr>
            <w:tcW w:w="3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ind w:right="623"/>
              <w:spacing w:after="0"/>
              <w:rPr>
                <w:sz w:val="20"/>
                <w:szCs w:val="20"/>
                <w:color w:val="auto"/>
              </w:rPr>
            </w:pPr>
            <w:r>
              <w:rPr>
                <w:rFonts w:ascii="Arial" w:cs="Arial" w:eastAsia="Arial" w:hAnsi="Arial"/>
                <w:sz w:val="15"/>
                <w:szCs w:val="15"/>
                <w:color w:val="auto"/>
                <w:w w:val="95"/>
              </w:rPr>
              <w:t>$</w:t>
            </w:r>
          </w:p>
        </w:tc>
        <w:tc>
          <w:tcPr>
            <w:tcW w:w="6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82,296</w:t>
            </w:r>
          </w:p>
        </w:tc>
        <w:tc>
          <w:tcPr>
            <w:tcW w:w="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3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45,789</w:t>
            </w:r>
          </w:p>
        </w:tc>
        <w:tc>
          <w:tcPr>
            <w:tcW w:w="42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36,507</w:t>
            </w:r>
          </w:p>
        </w:tc>
      </w:tr>
      <w:tr>
        <w:trPr>
          <w:trHeight w:val="205"/>
        </w:trPr>
        <w:tc>
          <w:tcPr>
            <w:tcW w:w="2740" w:type="dxa"/>
            <w:vAlign w:val="bottom"/>
          </w:tcPr>
          <w:p>
            <w:pPr>
              <w:ind w:left="20"/>
              <w:spacing w:after="0"/>
              <w:rPr>
                <w:sz w:val="20"/>
                <w:szCs w:val="20"/>
                <w:color w:val="auto"/>
              </w:rPr>
            </w:pPr>
            <w:r>
              <w:rPr>
                <w:rFonts w:ascii="Arial" w:cs="Arial" w:eastAsia="Arial" w:hAnsi="Arial"/>
                <w:sz w:val="15"/>
                <w:szCs w:val="15"/>
                <w:color w:val="auto"/>
              </w:rPr>
              <w:t>% of revenue</w:t>
            </w:r>
          </w:p>
        </w:tc>
        <w:tc>
          <w:tcPr>
            <w:tcW w:w="3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 %</w:t>
            </w:r>
          </w:p>
        </w:tc>
        <w:tc>
          <w:tcPr>
            <w:tcW w:w="8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 %</w:t>
            </w:r>
          </w:p>
        </w:tc>
        <w:tc>
          <w:tcPr>
            <w:tcW w:w="460" w:type="dxa"/>
            <w:vAlign w:val="bottom"/>
          </w:tcPr>
          <w:p>
            <w:pPr>
              <w:spacing w:after="0"/>
              <w:rPr>
                <w:sz w:val="17"/>
                <w:szCs w:val="17"/>
                <w:color w:val="auto"/>
              </w:rPr>
            </w:pPr>
          </w:p>
        </w:tc>
        <w:tc>
          <w:tcPr>
            <w:tcW w:w="960" w:type="dxa"/>
            <w:vAlign w:val="bottom"/>
          </w:tcPr>
          <w:p>
            <w:pPr>
              <w:ind w:left="600"/>
              <w:spacing w:after="0"/>
              <w:rPr>
                <w:sz w:val="20"/>
                <w:szCs w:val="20"/>
                <w:color w:val="auto"/>
              </w:rPr>
            </w:pPr>
            <w:r>
              <w:rPr>
                <w:rFonts w:ascii="Arial" w:cs="Arial" w:eastAsia="Arial" w:hAnsi="Arial"/>
                <w:sz w:val="15"/>
                <w:szCs w:val="15"/>
                <w:color w:val="auto"/>
              </w:rPr>
              <w:t>— %</w:t>
            </w:r>
          </w:p>
        </w:tc>
        <w:tc>
          <w:tcPr>
            <w:tcW w:w="4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1.4 %</w:t>
            </w: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0.8 %</w:t>
            </w:r>
          </w:p>
        </w:tc>
        <w:tc>
          <w:tcPr>
            <w:tcW w:w="4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79.7 %</w:t>
            </w:r>
          </w:p>
        </w:tc>
      </w:tr>
    </w:tbl>
    <w:p>
      <w:pPr>
        <w:spacing w:after="0" w:line="312"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During the three and nine months ended September 30, 2025, the Company incurred $7.0 million and $19.1 million, respectively, for transaction and integration-related expenses. The charge includes costs associated with ongoing integration activities related to our recent acquisitions. Such costs include professional fees, legal costs and related integration costs.</w:t>
      </w:r>
    </w:p>
    <w:p>
      <w:pPr>
        <w:spacing w:after="0" w:line="178"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During the nine months ended September 30, 2025 the Company has undertaken a restructuring program aimed at realigning its workforce as well as reviewing its global office footprint and optimizing its locations to best fit the requirements of the Company. During the nine months ended September 30, 2025 the restructuring plan reflected a workforce reduction of $75.6 million (September 30, 2024: $31.7 million) and an office consolidation program to optimize the Company's office footprint of $6.7 million (September 30, 2024: $14.1 million).</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Goodwill Impairment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7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940" w:type="dxa"/>
            <w:vAlign w:val="bottom"/>
            <w:gridSpan w:val="2"/>
            <w:shd w:val="clear" w:color="auto" w:fill="CCEEFF"/>
          </w:tcPr>
          <w:p>
            <w:pPr>
              <w:jc w:val="center"/>
              <w:ind w:left="63"/>
              <w:spacing w:after="0"/>
              <w:rPr>
                <w:sz w:val="20"/>
                <w:szCs w:val="20"/>
                <w:color w:val="auto"/>
              </w:rPr>
            </w:pPr>
            <w:r>
              <w:rPr>
                <w:rFonts w:ascii="Arial" w:cs="Arial" w:eastAsia="Arial" w:hAnsi="Arial"/>
                <w:sz w:val="15"/>
                <w:szCs w:val="15"/>
                <w:b w:val="1"/>
                <w:bCs w:val="1"/>
                <w:color w:val="auto"/>
              </w:rPr>
              <w:t>Three Months Ended</w:t>
            </w:r>
          </w:p>
        </w:tc>
        <w:tc>
          <w:tcPr>
            <w:tcW w:w="9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840" w:type="dxa"/>
            <w:vAlign w:val="bottom"/>
            <w:gridSpan w:val="3"/>
            <w:shd w:val="clear" w:color="auto" w:fill="CCEEFF"/>
          </w:tcPr>
          <w:p>
            <w:pPr>
              <w:jc w:val="right"/>
              <w:ind w:right="283"/>
              <w:spacing w:after="0"/>
              <w:rPr>
                <w:sz w:val="20"/>
                <w:szCs w:val="20"/>
                <w:color w:val="auto"/>
              </w:rPr>
            </w:pPr>
            <w:r>
              <w:rPr>
                <w:rFonts w:ascii="Arial" w:cs="Arial" w:eastAsia="Arial" w:hAnsi="Arial"/>
                <w:sz w:val="15"/>
                <w:szCs w:val="15"/>
                <w:b w:val="1"/>
                <w:bCs w:val="1"/>
                <w:color w:val="auto"/>
              </w:rPr>
              <w:t>Nine Months Ended</w:t>
            </w:r>
          </w:p>
        </w:tc>
        <w:tc>
          <w:tcPr>
            <w:tcW w:w="1040" w:type="dxa"/>
            <w:vAlign w:val="bottom"/>
            <w:shd w:val="clear" w:color="auto" w:fill="CCEEFF"/>
          </w:tcPr>
          <w:p>
            <w:pPr>
              <w:spacing w:after="0"/>
              <w:rPr>
                <w:sz w:val="14"/>
                <w:szCs w:val="14"/>
                <w:color w:val="auto"/>
              </w:rPr>
            </w:pPr>
          </w:p>
        </w:tc>
      </w:tr>
      <w:tr>
        <w:trPr>
          <w:trHeight w:val="206"/>
        </w:trPr>
        <w:tc>
          <w:tcPr>
            <w:tcW w:w="27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940" w:type="dxa"/>
            <w:vAlign w:val="bottom"/>
            <w:tcBorders>
              <w:bottom w:val="single" w:sz="8" w:color="auto"/>
            </w:tcBorders>
            <w:gridSpan w:val="2"/>
            <w:shd w:val="clear" w:color="auto" w:fill="CCEEFF"/>
          </w:tcPr>
          <w:p>
            <w:pPr>
              <w:jc w:val="center"/>
              <w:ind w:left="43"/>
              <w:spacing w:after="0"/>
              <w:rPr>
                <w:sz w:val="20"/>
                <w:szCs w:val="20"/>
                <w:color w:val="auto"/>
              </w:rPr>
            </w:pPr>
            <w:r>
              <w:rPr>
                <w:rFonts w:ascii="Arial" w:cs="Arial" w:eastAsia="Arial" w:hAnsi="Arial"/>
                <w:sz w:val="15"/>
                <w:szCs w:val="15"/>
                <w:b w:val="1"/>
                <w:bCs w:val="1"/>
                <w:color w:val="auto"/>
              </w:rPr>
              <w:t>September 30,</w:t>
            </w:r>
          </w:p>
        </w:tc>
        <w:tc>
          <w:tcPr>
            <w:tcW w:w="9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ind w:right="483"/>
              <w:spacing w:after="0"/>
              <w:rPr>
                <w:sz w:val="20"/>
                <w:szCs w:val="20"/>
                <w:color w:val="auto"/>
              </w:rPr>
            </w:pPr>
            <w:r>
              <w:rPr>
                <w:rFonts w:ascii="Arial" w:cs="Arial" w:eastAsia="Arial" w:hAnsi="Arial"/>
                <w:sz w:val="15"/>
                <w:szCs w:val="15"/>
                <w:b w:val="1"/>
                <w:bCs w:val="1"/>
                <w:color w:val="auto"/>
              </w:rPr>
              <w:t>September 30,</w:t>
            </w:r>
          </w:p>
        </w:tc>
        <w:tc>
          <w:tcPr>
            <w:tcW w:w="1040" w:type="dxa"/>
            <w:vAlign w:val="bottom"/>
            <w:tcBorders>
              <w:bottom w:val="single" w:sz="8" w:color="auto"/>
            </w:tcBorders>
            <w:shd w:val="clear" w:color="auto" w:fill="CCEEFF"/>
          </w:tcPr>
          <w:p>
            <w:pPr>
              <w:spacing w:after="0"/>
              <w:rPr>
                <w:sz w:val="17"/>
                <w:szCs w:val="17"/>
                <w:color w:val="auto"/>
              </w:rPr>
            </w:pPr>
          </w:p>
        </w:tc>
      </w:tr>
      <w:tr>
        <w:trPr>
          <w:trHeight w:val="199"/>
        </w:trPr>
        <w:tc>
          <w:tcPr>
            <w:tcW w:w="2720" w:type="dxa"/>
            <w:vAlign w:val="bottom"/>
            <w:tcBorders>
              <w:bottom w:val="single" w:sz="8" w:color="CCEEFF"/>
            </w:tcBorders>
          </w:tcPr>
          <w:p>
            <w:pPr>
              <w:ind w:left="20"/>
              <w:spacing w:after="0"/>
              <w:rPr>
                <w:sz w:val="20"/>
                <w:szCs w:val="20"/>
                <w:color w:val="auto"/>
              </w:rPr>
            </w:pPr>
            <w:r>
              <w:rPr>
                <w:rFonts w:ascii="Arial" w:cs="Arial" w:eastAsia="Arial" w:hAnsi="Arial"/>
                <w:sz w:val="15"/>
                <w:szCs w:val="15"/>
                <w:i w:val="1"/>
                <w:iCs w:val="1"/>
                <w:color w:val="auto"/>
              </w:rPr>
              <w:t>(in thousands)</w:t>
            </w: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8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2024</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Change</w:t>
            </w: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1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2024</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Change</w:t>
            </w:r>
          </w:p>
        </w:tc>
      </w:tr>
      <w:tr>
        <w:trPr>
          <w:trHeight w:val="199"/>
        </w:trPr>
        <w:tc>
          <w:tcPr>
            <w:tcW w:w="2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Goodwill impairment</w:t>
            </w:r>
          </w:p>
        </w:tc>
        <w:tc>
          <w:tcPr>
            <w:tcW w:w="38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165,300</w:t>
            </w:r>
          </w:p>
        </w:tc>
        <w:tc>
          <w:tcPr>
            <w:tcW w:w="880" w:type="dxa"/>
            <w:vAlign w:val="bottom"/>
            <w:shd w:val="clear" w:color="auto" w:fill="CCEEFF"/>
          </w:tcPr>
          <w:p>
            <w:pPr>
              <w:jc w:val="right"/>
              <w:ind w:right="703"/>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rPr>
              <w:t>—   $</w:t>
            </w:r>
          </w:p>
        </w:tc>
        <w:tc>
          <w:tcPr>
            <w:tcW w:w="10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165,300</w:t>
            </w:r>
          </w:p>
        </w:tc>
        <w:tc>
          <w:tcPr>
            <w:tcW w:w="38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165,300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6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rPr>
              <w:t>—   $</w:t>
            </w:r>
          </w:p>
        </w:tc>
        <w:tc>
          <w:tcPr>
            <w:tcW w:w="10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165,300</w:t>
            </w:r>
          </w:p>
        </w:tc>
      </w:tr>
      <w:tr>
        <w:trPr>
          <w:trHeight w:val="205"/>
        </w:trPr>
        <w:tc>
          <w:tcPr>
            <w:tcW w:w="2720" w:type="dxa"/>
            <w:vAlign w:val="bottom"/>
          </w:tcPr>
          <w:p>
            <w:pPr>
              <w:ind w:left="20"/>
              <w:spacing w:after="0"/>
              <w:rPr>
                <w:sz w:val="20"/>
                <w:szCs w:val="20"/>
                <w:color w:val="auto"/>
              </w:rPr>
            </w:pPr>
            <w:r>
              <w:rPr>
                <w:rFonts w:ascii="Arial" w:cs="Arial" w:eastAsia="Arial" w:hAnsi="Arial"/>
                <w:sz w:val="15"/>
                <w:szCs w:val="15"/>
                <w:color w:val="auto"/>
              </w:rPr>
              <w:t>% of revenue</w:t>
            </w:r>
          </w:p>
        </w:tc>
        <w:tc>
          <w:tcPr>
            <w:tcW w:w="3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8.1 %</w:t>
            </w:r>
          </w:p>
        </w:tc>
        <w:tc>
          <w:tcPr>
            <w:tcW w:w="880" w:type="dxa"/>
            <w:vAlign w:val="bottom"/>
          </w:tcPr>
          <w:p>
            <w:pPr>
              <w:spacing w:after="0"/>
              <w:rPr>
                <w:sz w:val="17"/>
                <w:szCs w:val="17"/>
                <w:color w:val="auto"/>
              </w:rPr>
            </w:pPr>
          </w:p>
        </w:tc>
        <w:tc>
          <w:tcPr>
            <w:tcW w:w="900" w:type="dxa"/>
            <w:vAlign w:val="bottom"/>
          </w:tcPr>
          <w:p>
            <w:pPr>
              <w:jc w:val="right"/>
              <w:ind w:right="343"/>
              <w:spacing w:after="0"/>
              <w:rPr>
                <w:sz w:val="20"/>
                <w:szCs w:val="20"/>
                <w:color w:val="auto"/>
              </w:rPr>
            </w:pPr>
            <w:r>
              <w:rPr>
                <w:rFonts w:ascii="Arial" w:cs="Arial" w:eastAsia="Arial" w:hAnsi="Arial"/>
                <w:sz w:val="15"/>
                <w:szCs w:val="15"/>
                <w:color w:val="auto"/>
              </w:rPr>
              <w:t>— %</w:t>
            </w:r>
          </w:p>
        </w:tc>
        <w:tc>
          <w:tcPr>
            <w:tcW w:w="1040" w:type="dxa"/>
            <w:vAlign w:val="bottom"/>
          </w:tcPr>
          <w:p>
            <w:pPr>
              <w:jc w:val="right"/>
              <w:spacing w:after="0"/>
              <w:rPr>
                <w:sz w:val="20"/>
                <w:szCs w:val="20"/>
                <w:color w:val="auto"/>
              </w:rPr>
            </w:pPr>
            <w:r>
              <w:rPr>
                <w:rFonts w:ascii="Arial" w:cs="Arial" w:eastAsia="Arial" w:hAnsi="Arial"/>
                <w:sz w:val="15"/>
                <w:szCs w:val="15"/>
                <w:color w:val="auto"/>
              </w:rPr>
              <w:t>— %</w:t>
            </w: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2.7 %</w:t>
            </w:r>
          </w:p>
        </w:tc>
        <w:tc>
          <w:tcPr>
            <w:tcW w:w="140" w:type="dxa"/>
            <w:vAlign w:val="bottom"/>
          </w:tcPr>
          <w:p>
            <w:pPr>
              <w:spacing w:after="0"/>
              <w:rPr>
                <w:sz w:val="17"/>
                <w:szCs w:val="17"/>
                <w:color w:val="auto"/>
              </w:rPr>
            </w:pPr>
          </w:p>
        </w:tc>
        <w:tc>
          <w:tcPr>
            <w:tcW w:w="1660" w:type="dxa"/>
            <w:vAlign w:val="bottom"/>
          </w:tcPr>
          <w:p>
            <w:pPr>
              <w:jc w:val="right"/>
              <w:ind w:right="343"/>
              <w:spacing w:after="0"/>
              <w:rPr>
                <w:sz w:val="20"/>
                <w:szCs w:val="20"/>
                <w:color w:val="auto"/>
              </w:rPr>
            </w:pPr>
            <w:r>
              <w:rPr>
                <w:rFonts w:ascii="Arial" w:cs="Arial" w:eastAsia="Arial" w:hAnsi="Arial"/>
                <w:sz w:val="15"/>
                <w:szCs w:val="15"/>
                <w:color w:val="auto"/>
              </w:rPr>
              <w:t>— %</w:t>
            </w:r>
          </w:p>
        </w:tc>
        <w:tc>
          <w:tcPr>
            <w:tcW w:w="1040" w:type="dxa"/>
            <w:vAlign w:val="bottom"/>
          </w:tcPr>
          <w:p>
            <w:pPr>
              <w:jc w:val="right"/>
              <w:spacing w:after="0"/>
              <w:rPr>
                <w:sz w:val="20"/>
                <w:szCs w:val="20"/>
                <w:color w:val="auto"/>
              </w:rPr>
            </w:pPr>
            <w:r>
              <w:rPr>
                <w:rFonts w:ascii="Arial" w:cs="Arial" w:eastAsia="Arial" w:hAnsi="Arial"/>
                <w:sz w:val="15"/>
                <w:szCs w:val="15"/>
                <w:color w:val="auto"/>
              </w:rPr>
              <w:t>— %</w:t>
            </w:r>
          </w:p>
        </w:tc>
      </w:tr>
    </w:tbl>
    <w:p>
      <w:pPr>
        <w:spacing w:after="0" w:line="312"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The Company completed its annual assessment for impairment as at September 30, 2025, performing a quantitative assessment using a discounted cash flow method under the income approach to estimate the fair values of each reporting unit.</w:t>
      </w:r>
    </w:p>
    <w:p>
      <w:pPr>
        <w:spacing w:after="0" w:line="183"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As a result of this annual impairment test of goodwill, a non-cash goodwill impairment charge of $165.3 million (September 30, 2024: $nil) was recorded in respect of the Data Solutions Reporting Unit. This impairment was primarily driven by macroeconomic factors and revised expectations of the future performance of this business. The significant assumptions used in the discounted cash flow calculation for the Data Solutions Reporting Unit were the discount rate, annual cash flow projections, and expected terminal growth rate.</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Income from operations</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53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180" w:type="dxa"/>
            <w:vAlign w:val="bottom"/>
            <w:gridSpan w:val="2"/>
            <w:shd w:val="clear" w:color="auto" w:fill="CCEEFF"/>
          </w:tcPr>
          <w:p>
            <w:pPr>
              <w:jc w:val="center"/>
              <w:ind w:left="243"/>
              <w:spacing w:after="0"/>
              <w:rPr>
                <w:sz w:val="20"/>
                <w:szCs w:val="20"/>
                <w:color w:val="auto"/>
              </w:rPr>
            </w:pPr>
            <w:r>
              <w:rPr>
                <w:rFonts w:ascii="Arial" w:cs="Arial" w:eastAsia="Arial" w:hAnsi="Arial"/>
                <w:sz w:val="15"/>
                <w:szCs w:val="15"/>
                <w:b w:val="1"/>
                <w:bCs w:val="1"/>
                <w:color w:val="auto"/>
              </w:rPr>
              <w:t>Three Months Ended</w:t>
            </w:r>
          </w:p>
        </w:tc>
        <w:tc>
          <w:tcPr>
            <w:tcW w:w="9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206"/>
        </w:trPr>
        <w:tc>
          <w:tcPr>
            <w:tcW w:w="536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2180" w:type="dxa"/>
            <w:vAlign w:val="bottom"/>
            <w:tcBorders>
              <w:bottom w:val="single" w:sz="8" w:color="auto"/>
            </w:tcBorders>
            <w:gridSpan w:val="2"/>
            <w:shd w:val="clear" w:color="auto" w:fill="CCEEFF"/>
          </w:tcPr>
          <w:p>
            <w:pPr>
              <w:jc w:val="center"/>
              <w:ind w:left="243"/>
              <w:spacing w:after="0"/>
              <w:rPr>
                <w:sz w:val="20"/>
                <w:szCs w:val="20"/>
                <w:color w:val="auto"/>
              </w:rPr>
            </w:pPr>
            <w:r>
              <w:rPr>
                <w:rFonts w:ascii="Arial" w:cs="Arial" w:eastAsia="Arial" w:hAnsi="Arial"/>
                <w:sz w:val="15"/>
                <w:szCs w:val="15"/>
                <w:b w:val="1"/>
                <w:bCs w:val="1"/>
                <w:color w:val="auto"/>
              </w:rPr>
              <w:t>September 30,</w:t>
            </w:r>
          </w:p>
        </w:tc>
        <w:tc>
          <w:tcPr>
            <w:tcW w:w="9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spacing w:after="0"/>
              <w:rPr>
                <w:sz w:val="17"/>
                <w:szCs w:val="17"/>
                <w:color w:val="auto"/>
              </w:rPr>
            </w:pPr>
          </w:p>
        </w:tc>
      </w:tr>
      <w:tr>
        <w:trPr>
          <w:trHeight w:val="199"/>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5"/>
                <w:szCs w:val="15"/>
                <w:i w:val="1"/>
                <w:iCs w:val="1"/>
                <w:color w:val="auto"/>
              </w:rPr>
              <w:t>(in thousands)</w:t>
            </w:r>
          </w:p>
        </w:tc>
        <w:tc>
          <w:tcPr>
            <w:tcW w:w="6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10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7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Change</w:t>
            </w:r>
          </w:p>
        </w:tc>
      </w:tr>
      <w:tr>
        <w:trPr>
          <w:trHeight w:val="199"/>
        </w:trPr>
        <w:tc>
          <w:tcPr>
            <w:tcW w:w="5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from operations</w:t>
            </w:r>
          </w:p>
        </w:tc>
        <w:tc>
          <w:tcPr>
            <w:tcW w:w="600" w:type="dxa"/>
            <w:vAlign w:val="bottom"/>
            <w:shd w:val="clear" w:color="auto" w:fill="CCEEFF"/>
          </w:tcPr>
          <w:p>
            <w:pPr>
              <w:jc w:val="right"/>
              <w:ind w:right="423"/>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86,584</w:t>
            </w:r>
          </w:p>
        </w:tc>
        <w:tc>
          <w:tcPr>
            <w:tcW w:w="1040" w:type="dxa"/>
            <w:vAlign w:val="bottom"/>
            <w:shd w:val="clear" w:color="auto" w:fill="CCEEFF"/>
          </w:tcPr>
          <w:p>
            <w:pPr>
              <w:jc w:val="right"/>
              <w:ind w:right="863"/>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285,434</w:t>
            </w:r>
          </w:p>
        </w:tc>
        <w:tc>
          <w:tcPr>
            <w:tcW w:w="700" w:type="dxa"/>
            <w:vAlign w:val="bottom"/>
            <w:shd w:val="clear" w:color="auto" w:fill="CCEEFF"/>
          </w:tcPr>
          <w:p>
            <w:pPr>
              <w:jc w:val="right"/>
              <w:ind w:right="523"/>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(198,850)</w:t>
            </w:r>
          </w:p>
        </w:tc>
      </w:tr>
      <w:tr>
        <w:trPr>
          <w:trHeight w:val="205"/>
        </w:trPr>
        <w:tc>
          <w:tcPr>
            <w:tcW w:w="5360" w:type="dxa"/>
            <w:vAlign w:val="bottom"/>
          </w:tcPr>
          <w:p>
            <w:pPr>
              <w:ind w:left="20"/>
              <w:spacing w:after="0"/>
              <w:rPr>
                <w:sz w:val="20"/>
                <w:szCs w:val="20"/>
                <w:color w:val="auto"/>
              </w:rPr>
            </w:pPr>
            <w:r>
              <w:rPr>
                <w:rFonts w:ascii="Arial" w:cs="Arial" w:eastAsia="Arial" w:hAnsi="Arial"/>
                <w:sz w:val="15"/>
                <w:szCs w:val="15"/>
                <w:color w:val="auto"/>
              </w:rPr>
              <w:t>% of revenue</w:t>
            </w:r>
          </w:p>
        </w:tc>
        <w:tc>
          <w:tcPr>
            <w:tcW w:w="6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4.2 %</w:t>
            </w:r>
          </w:p>
        </w:tc>
        <w:tc>
          <w:tcPr>
            <w:tcW w:w="10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14.1 %</w:t>
            </w:r>
          </w:p>
        </w:tc>
        <w:tc>
          <w:tcPr>
            <w:tcW w:w="7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(69.7)%</w:t>
            </w:r>
          </w:p>
        </w:tc>
      </w:tr>
    </w:tbl>
    <w:p>
      <w:pPr>
        <w:spacing w:after="0" w:line="144"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Income from operations decreased by $198.9 million or 69.7% to $86.6 million compared to $285.4 million for the three months ended September 30, 2024. As a percentage of revenue, income from operations decreased to 4.2% compared to 14.1% of revenue for the three months ended September 30, 2024.</w:t>
      </w:r>
    </w:p>
    <w:p>
      <w:pPr>
        <w:spacing w:after="0" w:line="170"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Excluding amortization of intangible assets and the non-cash goodwill impairment charge, income from operations in Ireland decreased to $172.8 million compared to $211.9 million for three months ended September 30, 2024.</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35" w:name="page36"/>
    <w:bookmarkEnd w:id="35"/>
    <w:p>
      <w:pPr>
        <w:jc w:val="both"/>
        <w:ind w:firstLine="619"/>
        <w:spacing w:after="0" w:line="271" w:lineRule="auto"/>
        <w:rPr>
          <w:sz w:val="20"/>
          <w:szCs w:val="20"/>
          <w:color w:val="auto"/>
        </w:rPr>
      </w:pPr>
      <w:r>
        <w:rPr>
          <w:rFonts w:ascii="Arial" w:cs="Arial" w:eastAsia="Arial" w:hAnsi="Arial"/>
          <w:sz w:val="15"/>
          <w:szCs w:val="15"/>
          <w:color w:val="auto"/>
        </w:rPr>
        <w:t>In the Rest of Europe region, excluding amortization of intangible assets and the non-cash goodwill impairment charge, income from operations decreased to $51.5 million compared to $55.0 million for the three months ended September 30, 2024. As a percentage of revenues, excluding amortization of intangible assets and the non-cash goodwill impairment charge, income from operations in the Rest of Europe region decreased to 12.8% compared to 13.1% for the three months ended September 30, 2024.</w:t>
      </w:r>
    </w:p>
    <w:p>
      <w:pPr>
        <w:spacing w:after="0" w:line="201"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5"/>
          <w:szCs w:val="15"/>
          <w:color w:val="auto"/>
        </w:rPr>
        <w:t>In the U.S. region, income from operations, excluding amortization of intangible assets and the non-cash goodwill impairment charge, increased to $69.4 million compared to $59.3 million for the three months ended September 30, 2024. As a percentage of revenues, excluding amortization of intangible assets and the non-cash goodwill impairment charge, income from operations in the U.S. region increased to 10.7% compared to 7.9% for the three months ended September 30, 2024.</w:t>
      </w:r>
    </w:p>
    <w:p>
      <w:pPr>
        <w:spacing w:after="0" w:line="374"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5"/>
          <w:szCs w:val="15"/>
          <w:color w:val="auto"/>
        </w:rPr>
        <w:t>In Rest of World, income from operations, excluding amortization of intangible assets and the non-cash goodwill impairment charge, decreased to $16.8 million compared to $17.2 million for the three months ended September 30, 2024. As percentage of revenue, excluding amortization of intangible assets and the non-cash goodwill impairment charge, income from operations in the other regions remained at 7.2% compared to 7.2% for the three months ended September 30, 2024.</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3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220" w:type="dxa"/>
            <w:vAlign w:val="bottom"/>
            <w:gridSpan w:val="2"/>
            <w:shd w:val="clear" w:color="auto" w:fill="CCEEFF"/>
          </w:tcPr>
          <w:p>
            <w:pPr>
              <w:jc w:val="center"/>
              <w:ind w:left="303"/>
              <w:spacing w:after="0"/>
              <w:rPr>
                <w:sz w:val="20"/>
                <w:szCs w:val="20"/>
                <w:color w:val="auto"/>
              </w:rPr>
            </w:pPr>
            <w:r>
              <w:rPr>
                <w:rFonts w:ascii="Arial" w:cs="Arial" w:eastAsia="Arial" w:hAnsi="Arial"/>
                <w:sz w:val="15"/>
                <w:szCs w:val="15"/>
                <w:b w:val="1"/>
                <w:bCs w:val="1"/>
                <w:color w:val="auto"/>
              </w:rPr>
              <w:t>Nine Months Ended</w:t>
            </w:r>
          </w:p>
        </w:tc>
        <w:tc>
          <w:tcPr>
            <w:tcW w:w="9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r>
      <w:tr>
        <w:trPr>
          <w:trHeight w:val="206"/>
        </w:trPr>
        <w:tc>
          <w:tcPr>
            <w:tcW w:w="536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2220" w:type="dxa"/>
            <w:vAlign w:val="bottom"/>
            <w:tcBorders>
              <w:bottom w:val="single" w:sz="8" w:color="auto"/>
            </w:tcBorders>
            <w:gridSpan w:val="2"/>
            <w:shd w:val="clear" w:color="auto" w:fill="CCEEFF"/>
          </w:tcPr>
          <w:p>
            <w:pPr>
              <w:jc w:val="center"/>
              <w:ind w:left="323"/>
              <w:spacing w:after="0"/>
              <w:rPr>
                <w:sz w:val="20"/>
                <w:szCs w:val="20"/>
                <w:color w:val="auto"/>
              </w:rPr>
            </w:pPr>
            <w:r>
              <w:rPr>
                <w:rFonts w:ascii="Arial" w:cs="Arial" w:eastAsia="Arial" w:hAnsi="Arial"/>
                <w:sz w:val="15"/>
                <w:szCs w:val="15"/>
                <w:b w:val="1"/>
                <w:bCs w:val="1"/>
                <w:color w:val="auto"/>
              </w:rPr>
              <w:t>September 30,</w:t>
            </w:r>
          </w:p>
        </w:tc>
        <w:tc>
          <w:tcPr>
            <w:tcW w:w="9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spacing w:after="0"/>
              <w:rPr>
                <w:sz w:val="17"/>
                <w:szCs w:val="17"/>
                <w:color w:val="auto"/>
              </w:rPr>
            </w:pPr>
          </w:p>
        </w:tc>
      </w:tr>
      <w:tr>
        <w:trPr>
          <w:trHeight w:val="199"/>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5"/>
                <w:szCs w:val="15"/>
                <w:i w:val="1"/>
                <w:iCs w:val="1"/>
                <w:color w:val="auto"/>
              </w:rPr>
              <w:t>(in thousands)</w:t>
            </w:r>
          </w:p>
        </w:tc>
        <w:tc>
          <w:tcPr>
            <w:tcW w:w="5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10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7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Change</w:t>
            </w:r>
          </w:p>
        </w:tc>
      </w:tr>
      <w:tr>
        <w:trPr>
          <w:trHeight w:val="199"/>
        </w:trPr>
        <w:tc>
          <w:tcPr>
            <w:tcW w:w="5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from operations</w:t>
            </w:r>
          </w:p>
        </w:tc>
        <w:tc>
          <w:tcPr>
            <w:tcW w:w="540" w:type="dxa"/>
            <w:vAlign w:val="bottom"/>
            <w:shd w:val="clear" w:color="auto" w:fill="CCEEFF"/>
          </w:tcPr>
          <w:p>
            <w:pPr>
              <w:jc w:val="right"/>
              <w:ind w:right="36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515,353</w:t>
            </w:r>
          </w:p>
        </w:tc>
        <w:tc>
          <w:tcPr>
            <w:tcW w:w="1020" w:type="dxa"/>
            <w:vAlign w:val="bottom"/>
            <w:shd w:val="clear" w:color="auto" w:fill="CCEEFF"/>
          </w:tcPr>
          <w:p>
            <w:pPr>
              <w:jc w:val="right"/>
              <w:ind w:right="843"/>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800,788</w:t>
            </w:r>
          </w:p>
        </w:tc>
        <w:tc>
          <w:tcPr>
            <w:tcW w:w="700" w:type="dxa"/>
            <w:vAlign w:val="bottom"/>
            <w:shd w:val="clear" w:color="auto" w:fill="CCEEFF"/>
          </w:tcPr>
          <w:p>
            <w:pPr>
              <w:jc w:val="right"/>
              <w:ind w:right="523"/>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(285,435)</w:t>
            </w:r>
          </w:p>
        </w:tc>
      </w:tr>
      <w:tr>
        <w:trPr>
          <w:trHeight w:val="205"/>
        </w:trPr>
        <w:tc>
          <w:tcPr>
            <w:tcW w:w="5360" w:type="dxa"/>
            <w:vAlign w:val="bottom"/>
          </w:tcPr>
          <w:p>
            <w:pPr>
              <w:ind w:left="20"/>
              <w:spacing w:after="0"/>
              <w:rPr>
                <w:sz w:val="20"/>
                <w:szCs w:val="20"/>
                <w:color w:val="auto"/>
              </w:rPr>
            </w:pPr>
            <w:r>
              <w:rPr>
                <w:rFonts w:ascii="Arial" w:cs="Arial" w:eastAsia="Arial" w:hAnsi="Arial"/>
                <w:sz w:val="15"/>
                <w:szCs w:val="15"/>
                <w:color w:val="auto"/>
              </w:rPr>
              <w:t>% of revenue</w:t>
            </w:r>
          </w:p>
        </w:tc>
        <w:tc>
          <w:tcPr>
            <w:tcW w:w="5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8.5 %</w:t>
            </w:r>
          </w:p>
        </w:tc>
        <w:tc>
          <w:tcPr>
            <w:tcW w:w="10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12.8 %</w:t>
            </w:r>
          </w:p>
        </w:tc>
        <w:tc>
          <w:tcPr>
            <w:tcW w:w="7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(35.6)%</w:t>
            </w:r>
          </w:p>
        </w:tc>
      </w:tr>
    </w:tbl>
    <w:p>
      <w:pPr>
        <w:spacing w:after="0" w:line="299"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Income from operations decreased by $285.4 million or 35.6% to $515.4 million compared to $800.8 million for the nine months ended September 30, 2024. As a percentage of revenue, income from operations decreased to 8.5% compared to 12.8% of revenue for the nine months ended September 30, 2024.</w:t>
      </w:r>
    </w:p>
    <w:p>
      <w:pPr>
        <w:spacing w:after="0" w:line="157"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Excluding amortization of intangible assets and the non-cash goodwill impairment charge, income from operations in Ireland decreased to $511.9 million compared to $687.1 million for the nine months ended September 30, 2024.</w:t>
      </w:r>
    </w:p>
    <w:p>
      <w:pPr>
        <w:spacing w:after="0" w:line="157"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In the Rest of Europe region, excluding amortization of intangible assets and the non-cash goodwill impairment charge, income from operations decreased to $94.9 million compared to $148.8 million for the nine months ended September 30, 2024. As a percentage of revenues, excluding amortization of intangible assets and the non-cash goodwill impairment charge, income from operations in the Rest of Europe region decreased to 8.4% compared to 12.4% for the nine months ended September 30, 2024.</w:t>
      </w:r>
    </w:p>
    <w:p>
      <w:pPr>
        <w:spacing w:after="0" w:line="188"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In the U.S. region, income from operations, excluding amortization of intangible assets and the non-cash goodwill impairment charge, increased to $206.3 million compared to $201.0 million for the nine months ended September 30, 2024. As a percentage of revenues, excluding amortization of intangible assets and the non-cash goodwill impairment charge, income from operations in the U.S. region increased to 10.9% compared to 8.5% for the nine months ended September 30, 2024.</w:t>
      </w:r>
    </w:p>
    <w:p>
      <w:pPr>
        <w:spacing w:after="0" w:line="372"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5"/>
          <w:szCs w:val="15"/>
          <w:color w:val="auto"/>
        </w:rPr>
        <w:t>In Rest of World, income from operations, excluding amortization of intangible assets and the non-cash goodwill impairment charge, decreased to $44.2 million compared to $54.9 million for the nine months ended September 30, 2024. As percentage of revenue, excluding amortization of intangible assets and the non-cash goodwill impairment charge, income from operations in the other regions decreased to 6.6% compared to 7.7% for the nine months ended September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36" w:name="page37"/>
    <w:bookmarkEnd w:id="36"/>
    <w:p>
      <w:pPr>
        <w:spacing w:after="0"/>
        <w:rPr>
          <w:sz w:val="20"/>
          <w:szCs w:val="20"/>
          <w:color w:val="auto"/>
        </w:rPr>
      </w:pPr>
      <w:r>
        <w:rPr>
          <w:rFonts w:ascii="Arial" w:cs="Arial" w:eastAsia="Arial" w:hAnsi="Arial"/>
          <w:sz w:val="15"/>
          <w:szCs w:val="15"/>
          <w:b w:val="1"/>
          <w:bCs w:val="1"/>
          <w:i w:val="1"/>
          <w:iCs w:val="1"/>
          <w:color w:val="auto"/>
        </w:rPr>
        <w:t>Interest income and expense</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40" w:type="dxa"/>
            <w:vAlign w:val="bottom"/>
            <w:gridSpan w:val="3"/>
            <w:shd w:val="clear" w:color="auto" w:fill="CCEEFF"/>
          </w:tcPr>
          <w:p>
            <w:pPr>
              <w:jc w:val="right"/>
              <w:ind w:right="303"/>
              <w:spacing w:after="0"/>
              <w:rPr>
                <w:sz w:val="20"/>
                <w:szCs w:val="20"/>
                <w:color w:val="auto"/>
              </w:rPr>
            </w:pPr>
            <w:r>
              <w:rPr>
                <w:rFonts w:ascii="Arial" w:cs="Arial" w:eastAsia="Arial" w:hAnsi="Arial"/>
                <w:sz w:val="15"/>
                <w:szCs w:val="15"/>
                <w:b w:val="1"/>
                <w:bCs w:val="1"/>
                <w:color w:val="auto"/>
              </w:rPr>
              <w:t>Three Months Ended</w:t>
            </w:r>
          </w:p>
        </w:tc>
        <w:tc>
          <w:tcPr>
            <w:tcW w:w="40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Change</w:t>
            </w: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60" w:type="dxa"/>
            <w:vAlign w:val="bottom"/>
            <w:gridSpan w:val="3"/>
            <w:shd w:val="clear" w:color="auto" w:fill="CCEEFF"/>
          </w:tcPr>
          <w:p>
            <w:pPr>
              <w:jc w:val="right"/>
              <w:ind w:right="363"/>
              <w:spacing w:after="0"/>
              <w:rPr>
                <w:sz w:val="20"/>
                <w:szCs w:val="20"/>
                <w:color w:val="auto"/>
              </w:rPr>
            </w:pPr>
            <w:r>
              <w:rPr>
                <w:rFonts w:ascii="Arial" w:cs="Arial" w:eastAsia="Arial" w:hAnsi="Arial"/>
                <w:sz w:val="15"/>
                <w:szCs w:val="15"/>
                <w:b w:val="1"/>
                <w:bCs w:val="1"/>
                <w:color w:val="auto"/>
              </w:rPr>
              <w:t>Nine Months Ended</w:t>
            </w:r>
          </w:p>
        </w:tc>
        <w:tc>
          <w:tcPr>
            <w:tcW w:w="36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Change</w:t>
            </w: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7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September 30,</w:t>
            </w:r>
          </w:p>
        </w:tc>
        <w:tc>
          <w:tcPr>
            <w:tcW w:w="60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vMerge w:val="continue"/>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2060" w:type="dxa"/>
            <w:vAlign w:val="bottom"/>
            <w:tcBorders>
              <w:bottom w:val="single" w:sz="8" w:color="auto"/>
            </w:tcBorders>
            <w:gridSpan w:val="3"/>
            <w:shd w:val="clear" w:color="auto" w:fill="CCEEFF"/>
          </w:tcPr>
          <w:p>
            <w:pPr>
              <w:jc w:val="right"/>
              <w:ind w:right="563"/>
              <w:spacing w:after="0"/>
              <w:rPr>
                <w:sz w:val="20"/>
                <w:szCs w:val="20"/>
                <w:color w:val="auto"/>
              </w:rPr>
            </w:pPr>
            <w:r>
              <w:rPr>
                <w:rFonts w:ascii="Arial" w:cs="Arial" w:eastAsia="Arial" w:hAnsi="Arial"/>
                <w:sz w:val="15"/>
                <w:szCs w:val="15"/>
                <w:b w:val="1"/>
                <w:bCs w:val="1"/>
                <w:color w:val="auto"/>
              </w:rPr>
              <w:t>September 30,</w:t>
            </w:r>
          </w:p>
        </w:tc>
        <w:tc>
          <w:tcPr>
            <w:tcW w:w="3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vMerge w:val="continue"/>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760" w:type="dxa"/>
            <w:vAlign w:val="bottom"/>
            <w:tcBorders>
              <w:bottom w:val="single" w:sz="8" w:color="CCEEFF"/>
            </w:tcBorders>
          </w:tcPr>
          <w:p>
            <w:pPr>
              <w:ind w:left="20"/>
              <w:spacing w:after="0"/>
              <w:rPr>
                <w:sz w:val="20"/>
                <w:szCs w:val="20"/>
                <w:color w:val="auto"/>
              </w:rPr>
            </w:pPr>
            <w:r>
              <w:rPr>
                <w:rFonts w:ascii="Arial" w:cs="Arial" w:eastAsia="Arial" w:hAnsi="Arial"/>
                <w:sz w:val="15"/>
                <w:szCs w:val="15"/>
                <w:i w:val="1"/>
                <w:iCs w:val="1"/>
                <w:color w:val="auto"/>
              </w:rPr>
              <w:t>(in thousands)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5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63"/>
              <w:spacing w:after="0"/>
              <w:rPr>
                <w:sz w:val="20"/>
                <w:szCs w:val="20"/>
                <w:color w:val="auto"/>
              </w:rPr>
            </w:pPr>
            <w:r>
              <w:rPr>
                <w:rFonts w:ascii="Arial" w:cs="Arial" w:eastAsia="Arial" w:hAnsi="Arial"/>
                <w:sz w:val="15"/>
                <w:szCs w:val="15"/>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63"/>
              <w:spacing w:after="0"/>
              <w:rPr>
                <w:sz w:val="20"/>
                <w:szCs w:val="20"/>
                <w:color w:val="auto"/>
              </w:rPr>
            </w:pPr>
            <w:r>
              <w:rPr>
                <w:rFonts w:ascii="Arial" w:cs="Arial" w:eastAsia="Arial" w:hAnsi="Arial"/>
                <w:sz w:val="15"/>
                <w:szCs w:val="15"/>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99"/>
        </w:trPr>
        <w:tc>
          <w:tcPr>
            <w:tcW w:w="1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 income</w:t>
            </w:r>
          </w:p>
        </w:tc>
        <w:tc>
          <w:tcPr>
            <w:tcW w:w="2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1,761</w:t>
            </w:r>
          </w:p>
        </w:tc>
        <w:tc>
          <w:tcPr>
            <w:tcW w:w="540" w:type="dxa"/>
            <w:vAlign w:val="bottom"/>
            <w:shd w:val="clear" w:color="auto" w:fill="CCEEFF"/>
          </w:tcPr>
          <w:p>
            <w:pPr>
              <w:jc w:val="right"/>
              <w:ind w:right="363"/>
              <w:spacing w:after="0"/>
              <w:rPr>
                <w:sz w:val="20"/>
                <w:szCs w:val="20"/>
                <w:color w:val="auto"/>
              </w:rPr>
            </w:pPr>
            <w:r>
              <w:rPr>
                <w:rFonts w:ascii="Arial" w:cs="Arial" w:eastAsia="Arial" w:hAnsi="Arial"/>
                <w:sz w:val="15"/>
                <w:szCs w:val="15"/>
                <w:color w:val="auto"/>
                <w:w w:val="95"/>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2,434</w:t>
            </w:r>
          </w:p>
        </w:tc>
        <w:tc>
          <w:tcPr>
            <w:tcW w:w="40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ind w:right="483"/>
              <w:spacing w:after="0"/>
              <w:rPr>
                <w:sz w:val="20"/>
                <w:szCs w:val="20"/>
                <w:color w:val="auto"/>
              </w:rPr>
            </w:pPr>
            <w:r>
              <w:rPr>
                <w:rFonts w:ascii="Arial" w:cs="Arial" w:eastAsia="Arial" w:hAnsi="Arial"/>
                <w:sz w:val="15"/>
                <w:szCs w:val="15"/>
                <w:color w:val="auto"/>
              </w:rPr>
              <w:t>(673)</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(27.6)%</w:t>
            </w: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5,617</w:t>
            </w:r>
          </w:p>
        </w:tc>
        <w:tc>
          <w:tcPr>
            <w:tcW w:w="2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5,601</w:t>
            </w:r>
          </w:p>
        </w:tc>
        <w:tc>
          <w:tcPr>
            <w:tcW w:w="3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CCEEFF"/>
          </w:tcPr>
          <w:p>
            <w:pPr>
              <w:jc w:val="right"/>
              <w:ind w:right="523"/>
              <w:spacing w:after="0"/>
              <w:rPr>
                <w:sz w:val="20"/>
                <w:szCs w:val="20"/>
                <w:color w:val="auto"/>
              </w:rPr>
            </w:pPr>
            <w:r>
              <w:rPr>
                <w:rFonts w:ascii="Arial" w:cs="Arial" w:eastAsia="Arial" w:hAnsi="Arial"/>
                <w:sz w:val="15"/>
                <w:szCs w:val="15"/>
                <w:color w:val="auto"/>
              </w:rPr>
              <w:t>16</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0.3 %</w:t>
            </w:r>
          </w:p>
        </w:tc>
        <w:tc>
          <w:tcPr>
            <w:tcW w:w="0" w:type="dxa"/>
            <w:vAlign w:val="bottom"/>
          </w:tcPr>
          <w:p>
            <w:pPr>
              <w:spacing w:after="0"/>
              <w:rPr>
                <w:sz w:val="1"/>
                <w:szCs w:val="1"/>
                <w:color w:val="auto"/>
              </w:rPr>
            </w:pPr>
          </w:p>
        </w:tc>
      </w:tr>
      <w:tr>
        <w:trPr>
          <w:trHeight w:val="205"/>
        </w:trPr>
        <w:tc>
          <w:tcPr>
            <w:tcW w:w="1760" w:type="dxa"/>
            <w:vAlign w:val="bottom"/>
          </w:tcPr>
          <w:p>
            <w:pPr>
              <w:ind w:left="20"/>
              <w:spacing w:after="0"/>
              <w:rPr>
                <w:sz w:val="20"/>
                <w:szCs w:val="20"/>
                <w:color w:val="auto"/>
              </w:rPr>
            </w:pPr>
            <w:r>
              <w:rPr>
                <w:rFonts w:ascii="Arial" w:cs="Arial" w:eastAsia="Arial" w:hAnsi="Arial"/>
                <w:sz w:val="15"/>
                <w:szCs w:val="15"/>
                <w:color w:val="auto"/>
              </w:rPr>
              <w:t>Interest expense</w:t>
            </w:r>
          </w:p>
        </w:tc>
        <w:tc>
          <w:tcPr>
            <w:tcW w:w="2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(50,243)</w:t>
            </w:r>
          </w:p>
        </w:tc>
        <w:tc>
          <w:tcPr>
            <w:tcW w:w="540" w:type="dxa"/>
            <w:vAlign w:val="bottom"/>
          </w:tcPr>
          <w:p>
            <w:pPr>
              <w:jc w:val="right"/>
              <w:ind w:right="363"/>
              <w:spacing w:after="0"/>
              <w:rPr>
                <w:sz w:val="20"/>
                <w:szCs w:val="20"/>
                <w:color w:val="auto"/>
              </w:rPr>
            </w:pPr>
            <w:r>
              <w:rPr>
                <w:rFonts w:ascii="Arial" w:cs="Arial" w:eastAsia="Arial" w:hAnsi="Arial"/>
                <w:sz w:val="15"/>
                <w:szCs w:val="15"/>
                <w:color w:val="auto"/>
                <w:w w:val="95"/>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(53,303)</w:t>
            </w: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ind w:right="523"/>
              <w:spacing w:after="0"/>
              <w:rPr>
                <w:sz w:val="20"/>
                <w:szCs w:val="20"/>
                <w:color w:val="auto"/>
              </w:rPr>
            </w:pPr>
            <w:r>
              <w:rPr>
                <w:rFonts w:ascii="Arial" w:cs="Arial" w:eastAsia="Arial" w:hAnsi="Arial"/>
                <w:sz w:val="15"/>
                <w:szCs w:val="15"/>
                <w:color w:val="auto"/>
              </w:rPr>
              <w:t>3,060</w:t>
            </w:r>
          </w:p>
        </w:tc>
        <w:tc>
          <w:tcPr>
            <w:tcW w:w="740" w:type="dxa"/>
            <w:vAlign w:val="bottom"/>
          </w:tcPr>
          <w:p>
            <w:pPr>
              <w:jc w:val="right"/>
              <w:spacing w:after="0"/>
              <w:rPr>
                <w:sz w:val="20"/>
                <w:szCs w:val="20"/>
                <w:color w:val="auto"/>
              </w:rPr>
            </w:pPr>
            <w:r>
              <w:rPr>
                <w:rFonts w:ascii="Arial" w:cs="Arial" w:eastAsia="Arial" w:hAnsi="Arial"/>
                <w:sz w:val="15"/>
                <w:szCs w:val="15"/>
                <w:color w:val="auto"/>
              </w:rPr>
              <w:t>(5.7)%</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(148,003)</w:t>
            </w: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(185,808)</w:t>
            </w: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ind w:right="523"/>
              <w:spacing w:after="0"/>
              <w:rPr>
                <w:sz w:val="20"/>
                <w:szCs w:val="20"/>
                <w:color w:val="auto"/>
              </w:rPr>
            </w:pPr>
            <w:r>
              <w:rPr>
                <w:rFonts w:ascii="Arial" w:cs="Arial" w:eastAsia="Arial" w:hAnsi="Arial"/>
                <w:sz w:val="15"/>
                <w:szCs w:val="15"/>
                <w:color w:val="auto"/>
              </w:rPr>
              <w:t>37,805</w:t>
            </w:r>
          </w:p>
        </w:tc>
        <w:tc>
          <w:tcPr>
            <w:tcW w:w="740" w:type="dxa"/>
            <w:vAlign w:val="bottom"/>
          </w:tcPr>
          <w:p>
            <w:pPr>
              <w:jc w:val="right"/>
              <w:spacing w:after="0"/>
              <w:rPr>
                <w:sz w:val="20"/>
                <w:szCs w:val="20"/>
                <w:color w:val="auto"/>
              </w:rPr>
            </w:pPr>
            <w:r>
              <w:rPr>
                <w:rFonts w:ascii="Arial" w:cs="Arial" w:eastAsia="Arial" w:hAnsi="Arial"/>
                <w:sz w:val="15"/>
                <w:szCs w:val="15"/>
                <w:color w:val="auto"/>
              </w:rPr>
              <w:t>(20.3)%</w:t>
            </w:r>
          </w:p>
        </w:tc>
        <w:tc>
          <w:tcPr>
            <w:tcW w:w="0" w:type="dxa"/>
            <w:vAlign w:val="bottom"/>
          </w:tcPr>
          <w:p>
            <w:pPr>
              <w:spacing w:after="0"/>
              <w:rPr>
                <w:sz w:val="1"/>
                <w:szCs w:val="1"/>
                <w:color w:val="auto"/>
              </w:rPr>
            </w:pPr>
          </w:p>
        </w:tc>
      </w:tr>
    </w:tbl>
    <w:p>
      <w:pPr>
        <w:spacing w:after="0" w:line="312"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5"/>
          <w:szCs w:val="15"/>
          <w:color w:val="auto"/>
        </w:rPr>
        <w:t>Interest expense for the three months ended September 30, 2025 decreased to $50.2 million, compared to $53.3 million for the three months ended September 30, 2024. The decrease in the period reflects mandatory repayments of the Company's loan facilities and reduced interest rates on the Company's variable debt. Interest income for the three months ended September 30, 2025 decreased to $1.8 million compared to $2.4 million for the three months ended September 30, 2024.</w:t>
      </w:r>
    </w:p>
    <w:p>
      <w:pPr>
        <w:spacing w:after="0" w:line="387"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Interest expense for the nine months ended September 30, 2025 decreased to $148.0 million, compared to $185.8 million for the nine months ended September 30, 2024. The decrease in the period reflects significant repayments of the Company's loan facilities during 2024, the repricing of the senior secured term loan facility and senior secured revolving credit facility in March 2024, and the impact of reduced interest rates on the New Notes issued in May 2024. Interest income for the nine months ended September 30, 2025 was $5.6 million compared to $5.6 million for the nine months ended September 30, 2024.</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Income tax expense</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4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20" w:type="dxa"/>
            <w:vAlign w:val="bottom"/>
            <w:gridSpan w:val="2"/>
            <w:shd w:val="clear" w:color="auto" w:fill="CCEEFF"/>
          </w:tcPr>
          <w:p>
            <w:pPr>
              <w:jc w:val="center"/>
              <w:ind w:left="223"/>
              <w:spacing w:after="0"/>
              <w:rPr>
                <w:sz w:val="20"/>
                <w:szCs w:val="20"/>
                <w:color w:val="auto"/>
              </w:rPr>
            </w:pPr>
            <w:r>
              <w:rPr>
                <w:rFonts w:ascii="Arial" w:cs="Arial" w:eastAsia="Arial" w:hAnsi="Arial"/>
                <w:sz w:val="15"/>
                <w:szCs w:val="15"/>
                <w:b w:val="1"/>
                <w:bCs w:val="1"/>
                <w:color w:val="auto"/>
              </w:rPr>
              <w:t>Three Months Ended</w:t>
            </w: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ind w:right="363"/>
              <w:spacing w:after="0"/>
              <w:rPr>
                <w:sz w:val="20"/>
                <w:szCs w:val="20"/>
                <w:color w:val="auto"/>
              </w:rPr>
            </w:pPr>
            <w:r>
              <w:rPr>
                <w:rFonts w:ascii="Arial" w:cs="Arial" w:eastAsia="Arial" w:hAnsi="Arial"/>
                <w:sz w:val="15"/>
                <w:szCs w:val="15"/>
                <w:b w:val="1"/>
                <w:bCs w:val="1"/>
                <w:color w:val="auto"/>
              </w:rPr>
              <w:t>Change</w:t>
            </w:r>
          </w:p>
        </w:tc>
        <w:tc>
          <w:tcPr>
            <w:tcW w:w="420" w:type="dxa"/>
            <w:vAlign w:val="bottom"/>
            <w:shd w:val="clear" w:color="auto" w:fill="CCEEFF"/>
          </w:tcPr>
          <w:p>
            <w:pPr>
              <w:spacing w:after="0"/>
              <w:rPr>
                <w:sz w:val="14"/>
                <w:szCs w:val="14"/>
                <w:color w:val="auto"/>
              </w:rPr>
            </w:pPr>
          </w:p>
        </w:tc>
        <w:tc>
          <w:tcPr>
            <w:tcW w:w="1800" w:type="dxa"/>
            <w:vAlign w:val="bottom"/>
            <w:gridSpan w:val="2"/>
            <w:shd w:val="clear" w:color="auto" w:fill="CCEEFF"/>
          </w:tcPr>
          <w:p>
            <w:pPr>
              <w:jc w:val="center"/>
              <w:ind w:left="203"/>
              <w:spacing w:after="0"/>
              <w:rPr>
                <w:sz w:val="20"/>
                <w:szCs w:val="20"/>
                <w:color w:val="auto"/>
              </w:rPr>
            </w:pPr>
            <w:r>
              <w:rPr>
                <w:rFonts w:ascii="Arial" w:cs="Arial" w:eastAsia="Arial" w:hAnsi="Arial"/>
                <w:sz w:val="15"/>
                <w:szCs w:val="15"/>
                <w:b w:val="1"/>
                <w:bCs w:val="1"/>
                <w:color w:val="auto"/>
              </w:rPr>
              <w:t>Nine Months Ended</w:t>
            </w: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363"/>
              <w:spacing w:after="0"/>
              <w:rPr>
                <w:sz w:val="20"/>
                <w:szCs w:val="20"/>
                <w:color w:val="auto"/>
              </w:rPr>
            </w:pPr>
            <w:r>
              <w:rPr>
                <w:rFonts w:ascii="Arial" w:cs="Arial" w:eastAsia="Arial" w:hAnsi="Arial"/>
                <w:sz w:val="15"/>
                <w:szCs w:val="15"/>
                <w:b w:val="1"/>
                <w:bCs w:val="1"/>
                <w:color w:val="auto"/>
              </w:rPr>
              <w:t>Change</w:t>
            </w:r>
          </w:p>
        </w:tc>
        <w:tc>
          <w:tcPr>
            <w:tcW w:w="0" w:type="dxa"/>
            <w:vAlign w:val="bottom"/>
          </w:tcPr>
          <w:p>
            <w:pPr>
              <w:spacing w:after="0"/>
              <w:rPr>
                <w:sz w:val="1"/>
                <w:szCs w:val="1"/>
                <w:color w:val="auto"/>
              </w:rPr>
            </w:pPr>
          </w:p>
        </w:tc>
      </w:tr>
      <w:tr>
        <w:trPr>
          <w:trHeight w:val="206"/>
        </w:trPr>
        <w:tc>
          <w:tcPr>
            <w:tcW w:w="246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820" w:type="dxa"/>
            <w:vAlign w:val="bottom"/>
            <w:tcBorders>
              <w:bottom w:val="single" w:sz="8" w:color="auto"/>
            </w:tcBorders>
            <w:gridSpan w:val="2"/>
            <w:shd w:val="clear" w:color="auto" w:fill="CCEEFF"/>
          </w:tcPr>
          <w:p>
            <w:pPr>
              <w:jc w:val="center"/>
              <w:ind w:left="203"/>
              <w:spacing w:after="0"/>
              <w:rPr>
                <w:sz w:val="20"/>
                <w:szCs w:val="20"/>
                <w:color w:val="auto"/>
              </w:rPr>
            </w:pPr>
            <w:r>
              <w:rPr>
                <w:rFonts w:ascii="Arial" w:cs="Arial" w:eastAsia="Arial" w:hAnsi="Arial"/>
                <w:sz w:val="15"/>
                <w:szCs w:val="15"/>
                <w:b w:val="1"/>
                <w:bCs w:val="1"/>
                <w:color w:val="auto"/>
              </w:rPr>
              <w:t>September 30,</w:t>
            </w:r>
          </w:p>
        </w:tc>
        <w:tc>
          <w:tcPr>
            <w:tcW w:w="68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vMerge w:val="continue"/>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800" w:type="dxa"/>
            <w:vAlign w:val="bottom"/>
            <w:tcBorders>
              <w:bottom w:val="single" w:sz="8" w:color="auto"/>
            </w:tcBorders>
            <w:gridSpan w:val="2"/>
            <w:shd w:val="clear" w:color="auto" w:fill="CCEEFF"/>
          </w:tcPr>
          <w:p>
            <w:pPr>
              <w:jc w:val="center"/>
              <w:ind w:left="203"/>
              <w:spacing w:after="0"/>
              <w:rPr>
                <w:sz w:val="20"/>
                <w:szCs w:val="20"/>
                <w:color w:val="auto"/>
              </w:rPr>
            </w:pPr>
            <w:r>
              <w:rPr>
                <w:rFonts w:ascii="Arial" w:cs="Arial" w:eastAsia="Arial" w:hAnsi="Arial"/>
                <w:sz w:val="15"/>
                <w:szCs w:val="15"/>
                <w:b w:val="1"/>
                <w:bCs w:val="1"/>
                <w:color w:val="auto"/>
              </w:rPr>
              <w:t>September 30,</w:t>
            </w:r>
          </w:p>
        </w:tc>
        <w:tc>
          <w:tcPr>
            <w:tcW w:w="70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460" w:type="dxa"/>
            <w:vAlign w:val="bottom"/>
            <w:tcBorders>
              <w:bottom w:val="single" w:sz="8" w:color="CCEEFF"/>
            </w:tcBorders>
          </w:tcPr>
          <w:p>
            <w:pPr>
              <w:ind w:left="20"/>
              <w:spacing w:after="0"/>
              <w:rPr>
                <w:sz w:val="20"/>
                <w:szCs w:val="20"/>
                <w:color w:val="auto"/>
              </w:rPr>
            </w:pPr>
            <w:r>
              <w:rPr>
                <w:rFonts w:ascii="Arial" w:cs="Arial" w:eastAsia="Arial" w:hAnsi="Arial"/>
                <w:sz w:val="15"/>
                <w:szCs w:val="15"/>
                <w:i w:val="1"/>
                <w:iCs w:val="1"/>
                <w:color w:val="auto"/>
              </w:rPr>
              <w:t>(in thousands)</w:t>
            </w: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7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7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4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tax expense</w:t>
            </w:r>
          </w:p>
        </w:tc>
        <w:tc>
          <w:tcPr>
            <w:tcW w:w="38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35,747</w:t>
            </w:r>
          </w:p>
        </w:tc>
        <w:tc>
          <w:tcPr>
            <w:tcW w:w="760" w:type="dxa"/>
            <w:vAlign w:val="bottom"/>
            <w:shd w:val="clear" w:color="auto" w:fill="CCEEFF"/>
          </w:tcPr>
          <w:p>
            <w:pPr>
              <w:jc w:val="right"/>
              <w:ind w:right="583"/>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37,437</w:t>
            </w:r>
          </w:p>
        </w:tc>
        <w:tc>
          <w:tcPr>
            <w:tcW w:w="2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(1,690)</w:t>
            </w:r>
          </w:p>
        </w:tc>
        <w:tc>
          <w:tcPr>
            <w:tcW w:w="42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33,489</w:t>
            </w:r>
          </w:p>
        </w:tc>
        <w:tc>
          <w:tcPr>
            <w:tcW w:w="760" w:type="dxa"/>
            <w:vAlign w:val="bottom"/>
            <w:shd w:val="clear" w:color="auto" w:fill="CCEEFF"/>
          </w:tcPr>
          <w:p>
            <w:pPr>
              <w:jc w:val="right"/>
              <w:ind w:right="583"/>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89,105</w:t>
            </w:r>
          </w:p>
        </w:tc>
        <w:tc>
          <w:tcPr>
            <w:tcW w:w="2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(55,616)</w:t>
            </w:r>
          </w:p>
        </w:tc>
        <w:tc>
          <w:tcPr>
            <w:tcW w:w="0" w:type="dxa"/>
            <w:vAlign w:val="bottom"/>
          </w:tcPr>
          <w:p>
            <w:pPr>
              <w:spacing w:after="0"/>
              <w:rPr>
                <w:sz w:val="1"/>
                <w:szCs w:val="1"/>
                <w:color w:val="auto"/>
              </w:rPr>
            </w:pPr>
          </w:p>
        </w:tc>
      </w:tr>
      <w:tr>
        <w:trPr>
          <w:trHeight w:val="205"/>
        </w:trPr>
        <w:tc>
          <w:tcPr>
            <w:tcW w:w="2460" w:type="dxa"/>
            <w:vAlign w:val="bottom"/>
          </w:tcPr>
          <w:p>
            <w:pPr>
              <w:ind w:left="20"/>
              <w:spacing w:after="0"/>
              <w:rPr>
                <w:sz w:val="20"/>
                <w:szCs w:val="20"/>
                <w:color w:val="auto"/>
              </w:rPr>
            </w:pPr>
            <w:r>
              <w:rPr>
                <w:rFonts w:ascii="Arial" w:cs="Arial" w:eastAsia="Arial" w:hAnsi="Arial"/>
                <w:sz w:val="15"/>
                <w:szCs w:val="15"/>
                <w:color w:val="auto"/>
              </w:rPr>
              <w:t>Effective income tax rate</w:t>
            </w:r>
          </w:p>
        </w:tc>
        <w:tc>
          <w:tcPr>
            <w:tcW w:w="3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93.8 %</w:t>
            </w:r>
          </w:p>
        </w:tc>
        <w:tc>
          <w:tcPr>
            <w:tcW w:w="7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16.0 %</w:t>
            </w: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(4.5)%</w:t>
            </w:r>
          </w:p>
        </w:tc>
        <w:tc>
          <w:tcPr>
            <w:tcW w:w="4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9.0 %</w:t>
            </w:r>
          </w:p>
        </w:tc>
        <w:tc>
          <w:tcPr>
            <w:tcW w:w="7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14.4 %</w:t>
            </w: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(62.4)%</w:t>
            </w:r>
          </w:p>
        </w:tc>
        <w:tc>
          <w:tcPr>
            <w:tcW w:w="0" w:type="dxa"/>
            <w:vAlign w:val="bottom"/>
          </w:tcPr>
          <w:p>
            <w:pPr>
              <w:spacing w:after="0"/>
              <w:rPr>
                <w:sz w:val="1"/>
                <w:szCs w:val="1"/>
                <w:color w:val="auto"/>
              </w:rPr>
            </w:pPr>
          </w:p>
        </w:tc>
      </w:tr>
    </w:tbl>
    <w:p>
      <w:pPr>
        <w:spacing w:after="0" w:line="286"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5"/>
          <w:szCs w:val="15"/>
          <w:color w:val="auto"/>
        </w:rPr>
        <w:t>Income tax expense decreased to $35.7 million compared to $37.4 million for the three months ended September 30, 2024. The Company’s effective tax rate for the three months ended September 30, 2025 was 93.8% compared with 16.0% for the three months ended September 30, 2024. Excluding the non-cash goodwill impairment charge of $165.3 million related to the Company's Data Solutions reporting unit which was recorded in three months ended September 30, 2025, the Company’s effective tax rate for the three months ended September 30, 2025 was 17.6% in comparison with 16.0% for the three months ended September 30, 2024</w:t>
      </w:r>
    </w:p>
    <w:p>
      <w:pPr>
        <w:spacing w:after="0" w:line="380"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5"/>
          <w:szCs w:val="15"/>
          <w:color w:val="auto"/>
        </w:rPr>
        <w:t>Income tax expense decreased to $33.5 million compared to a $89.1 million expense for the nine months ended September 30, 2024 primarily due to the net release of provisions for uncertain tax positions in the period ($23.4 million) compared to net increase of provisions for uncertain tax provisions in nine months ended September 30, 2024 ($14.4 million), the release of a deferred tax liability related to investments in foreign subsidiaries associated with unremitted earnings ($29.8 million), partially offset by a reduced level of deferred tax benefit associated with the amortization of intangible assets ($27.0 million), and changes in various tax laws.</w:t>
      </w:r>
    </w:p>
    <w:p>
      <w:pPr>
        <w:spacing w:after="0" w:line="379"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With the exception of the foregoing, the Company’s effective tax rate remains principally a function of the distribution of pre-tax profits amongst the territories in which it operates.</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Liquidity and capital resources</w:t>
      </w:r>
    </w:p>
    <w:p>
      <w:pPr>
        <w:spacing w:after="0" w:line="255"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 CRO industry is generally not capital intensive. The Company’s principal operating cash needs are payment of salaries, office rents, travel expenditures and payments to investigators. Investing activities primarily reflect capital expenditures for facilities and information systems enhancements, the purchase and sale of short term investments and acquisitions. Financing activities primarily reflect the servicing of the Company's external debt and transactions pertaining to its ordinary shares.</w:t>
      </w:r>
    </w:p>
    <w:p>
      <w:pPr>
        <w:spacing w:after="0" w:line="188"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Our clinical research and development contracts are generally fixed price with some variable components and range in duration from a few weeks to several years. Revenue from contracts is generally recognized as income on the basis of the relationship between costs incurred and the total estimated contract costs. The cash flow from contracts typically consists of a down payment at the time the contract is entered into, with the balance paid in installments over the contract duration, in some cases on the achievement of certain milestones. Therefore, cash receipts do not correspond to costs incurred and revenue recognized on contracts. In the Company's opinion, working capital is sufficient to meet the Company's present requirements.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37" w:name="page38"/>
    <w:bookmarkEnd w:id="37"/>
    <w:p>
      <w:pPr>
        <w:spacing w:after="0"/>
        <w:rPr>
          <w:sz w:val="20"/>
          <w:szCs w:val="20"/>
          <w:color w:val="auto"/>
        </w:rPr>
      </w:pPr>
      <w:r>
        <w:rPr>
          <w:rFonts w:ascii="Arial" w:cs="Arial" w:eastAsia="Arial" w:hAnsi="Arial"/>
          <w:sz w:val="15"/>
          <w:szCs w:val="15"/>
          <w:b w:val="1"/>
          <w:bCs w:val="1"/>
          <w:color w:val="auto"/>
        </w:rPr>
        <w:t>Cash and cash equivalents and net borrowings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Balance</w:t>
            </w:r>
          </w:p>
        </w:tc>
        <w:tc>
          <w:tcPr>
            <w:tcW w:w="2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Net (drawn</w:t>
            </w:r>
          </w:p>
        </w:tc>
        <w:tc>
          <w:tcPr>
            <w:tcW w:w="4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Net cash</w:t>
            </w:r>
          </w:p>
        </w:tc>
        <w:tc>
          <w:tcPr>
            <w:tcW w:w="5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Other non-</w:t>
            </w:r>
          </w:p>
        </w:tc>
        <w:tc>
          <w:tcPr>
            <w:tcW w:w="3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Effect of</w:t>
            </w: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Balance</w:t>
            </w:r>
          </w:p>
        </w:tc>
        <w:tc>
          <w:tcPr>
            <w:tcW w:w="0" w:type="dxa"/>
            <w:vAlign w:val="bottom"/>
          </w:tcPr>
          <w:p>
            <w:pPr>
              <w:spacing w:after="0"/>
              <w:rPr>
                <w:sz w:val="1"/>
                <w:szCs w:val="1"/>
                <w:color w:val="auto"/>
              </w:rPr>
            </w:pPr>
          </w:p>
        </w:tc>
      </w:tr>
      <w:tr>
        <w:trPr>
          <w:trHeight w:val="155"/>
        </w:trPr>
        <w:tc>
          <w:tcPr>
            <w:tcW w:w="3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December 31,</w:t>
            </w:r>
          </w:p>
        </w:tc>
        <w:tc>
          <w:tcPr>
            <w:tcW w:w="240" w:type="dxa"/>
            <w:vAlign w:val="bottom"/>
            <w:shd w:val="clear" w:color="auto" w:fill="CCEEFF"/>
          </w:tcPr>
          <w:p>
            <w:pPr>
              <w:spacing w:after="0"/>
              <w:rPr>
                <w:sz w:val="13"/>
                <w:szCs w:val="13"/>
                <w:color w:val="auto"/>
              </w:rPr>
            </w:pPr>
          </w:p>
        </w:tc>
        <w:tc>
          <w:tcPr>
            <w:tcW w:w="1120" w:type="dxa"/>
            <w:vAlign w:val="bottom"/>
            <w:vMerge w:val="continue"/>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inflow/</w:t>
            </w:r>
          </w:p>
        </w:tc>
        <w:tc>
          <w:tcPr>
            <w:tcW w:w="540" w:type="dxa"/>
            <w:vAlign w:val="bottom"/>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exchange</w:t>
            </w:r>
          </w:p>
        </w:tc>
        <w:tc>
          <w:tcPr>
            <w:tcW w:w="18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September 30,</w:t>
            </w:r>
          </w:p>
        </w:tc>
        <w:tc>
          <w:tcPr>
            <w:tcW w:w="0" w:type="dxa"/>
            <w:vAlign w:val="bottom"/>
          </w:tcPr>
          <w:p>
            <w:pPr>
              <w:spacing w:after="0"/>
              <w:rPr>
                <w:sz w:val="1"/>
                <w:szCs w:val="1"/>
                <w:color w:val="auto"/>
              </w:rPr>
            </w:pPr>
          </w:p>
        </w:tc>
      </w:tr>
      <w:tr>
        <w:trPr>
          <w:trHeight w:val="206"/>
        </w:trPr>
        <w:tc>
          <w:tcPr>
            <w:tcW w:w="310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2024</w:t>
            </w:r>
          </w:p>
        </w:tc>
        <w:tc>
          <w:tcPr>
            <w:tcW w:w="2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down)/repaid</w:t>
            </w:r>
          </w:p>
        </w:tc>
        <w:tc>
          <w:tcPr>
            <w:tcW w:w="400" w:type="dxa"/>
            <w:vAlign w:val="bottom"/>
            <w:tcBorders>
              <w:bottom w:val="single" w:sz="8" w:color="auto"/>
            </w:tcBorders>
            <w:shd w:val="clear" w:color="auto" w:fill="CCEEFF"/>
          </w:tcPr>
          <w:p>
            <w:pPr>
              <w:spacing w:after="0"/>
              <w:rPr>
                <w:sz w:val="17"/>
                <w:szCs w:val="17"/>
                <w:color w:val="auto"/>
              </w:rPr>
            </w:pPr>
          </w:p>
        </w:tc>
        <w:tc>
          <w:tcPr>
            <w:tcW w:w="23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b w:val="1"/>
                <w:bCs w:val="1"/>
                <w:color w:val="auto"/>
              </w:rPr>
              <w:t>(outflow) cash adjustments</w:t>
            </w:r>
          </w:p>
        </w:tc>
        <w:tc>
          <w:tcPr>
            <w:tcW w:w="3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rates</w:t>
            </w:r>
          </w:p>
        </w:tc>
        <w:tc>
          <w:tcPr>
            <w:tcW w:w="1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2025</w:t>
            </w:r>
          </w:p>
        </w:tc>
        <w:tc>
          <w:tcPr>
            <w:tcW w:w="0" w:type="dxa"/>
            <w:vAlign w:val="bottom"/>
          </w:tcPr>
          <w:p>
            <w:pPr>
              <w:spacing w:after="0"/>
              <w:rPr>
                <w:sz w:val="1"/>
                <w:szCs w:val="1"/>
                <w:color w:val="auto"/>
              </w:rPr>
            </w:pPr>
          </w:p>
        </w:tc>
      </w:tr>
      <w:tr>
        <w:trPr>
          <w:trHeight w:val="199"/>
        </w:trPr>
        <w:tc>
          <w:tcPr>
            <w:tcW w:w="3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(in thousands)</w:t>
            </w:r>
          </w:p>
        </w:tc>
        <w:tc>
          <w:tcPr>
            <w:tcW w:w="8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and cash equivalents</w:t>
            </w:r>
          </w:p>
        </w:tc>
        <w:tc>
          <w:tcPr>
            <w:tcW w:w="2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538,785</w:t>
            </w:r>
          </w:p>
        </w:tc>
        <w:tc>
          <w:tcPr>
            <w:tcW w:w="2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520" w:type="dxa"/>
            <w:vAlign w:val="bottom"/>
            <w:gridSpan w:val="2"/>
            <w:shd w:val="clear" w:color="auto" w:fill="CCEEFF"/>
          </w:tcPr>
          <w:p>
            <w:pPr>
              <w:jc w:val="right"/>
              <w:ind w:right="223"/>
              <w:spacing w:after="0"/>
              <w:rPr>
                <w:sz w:val="20"/>
                <w:szCs w:val="20"/>
                <w:color w:val="auto"/>
              </w:rPr>
            </w:pPr>
            <w:r>
              <w:rPr>
                <w:rFonts w:ascii="Arial" w:cs="Arial" w:eastAsia="Arial" w:hAnsi="Arial"/>
                <w:sz w:val="15"/>
                <w:szCs w:val="15"/>
                <w:color w:val="auto"/>
              </w:rPr>
              <w:t>— $</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(95,017)</w:t>
            </w:r>
          </w:p>
        </w:tc>
        <w:tc>
          <w:tcPr>
            <w:tcW w:w="540" w:type="dxa"/>
            <w:vAlign w:val="bottom"/>
            <w:shd w:val="clear" w:color="auto" w:fill="CCEEFF"/>
          </w:tcPr>
          <w:p>
            <w:pPr>
              <w:jc w:val="right"/>
              <w:ind w:right="363"/>
              <w:spacing w:after="0"/>
              <w:rPr>
                <w:sz w:val="20"/>
                <w:szCs w:val="20"/>
                <w:color w:val="auto"/>
              </w:rPr>
            </w:pPr>
            <w:r>
              <w:rPr>
                <w:rFonts w:ascii="Arial" w:cs="Arial" w:eastAsia="Arial" w:hAnsi="Arial"/>
                <w:sz w:val="15"/>
                <w:szCs w:val="15"/>
                <w:color w:val="auto"/>
                <w:w w:val="95"/>
              </w:rPr>
              <w:t>$</w:t>
            </w:r>
          </w:p>
        </w:tc>
        <w:tc>
          <w:tcPr>
            <w:tcW w:w="1180" w:type="dxa"/>
            <w:vAlign w:val="bottom"/>
            <w:gridSpan w:val="2"/>
            <w:shd w:val="clear" w:color="auto" w:fill="CCEEFF"/>
          </w:tcPr>
          <w:p>
            <w:pPr>
              <w:jc w:val="right"/>
              <w:ind w:right="183"/>
              <w:spacing w:after="0"/>
              <w:rPr>
                <w:sz w:val="20"/>
                <w:szCs w:val="20"/>
                <w:color w:val="auto"/>
              </w:rPr>
            </w:pPr>
            <w:r>
              <w:rPr>
                <w:rFonts w:ascii="Arial" w:cs="Arial" w:eastAsia="Arial" w:hAnsi="Arial"/>
                <w:sz w:val="15"/>
                <w:szCs w:val="15"/>
                <w:color w:val="auto"/>
              </w:rPr>
              <w:t>— $</w:t>
            </w: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25,120</w:t>
            </w: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468,888</w:t>
            </w:r>
          </w:p>
        </w:tc>
        <w:tc>
          <w:tcPr>
            <w:tcW w:w="0" w:type="dxa"/>
            <w:vAlign w:val="bottom"/>
          </w:tcPr>
          <w:p>
            <w:pPr>
              <w:spacing w:after="0"/>
              <w:rPr>
                <w:sz w:val="1"/>
                <w:szCs w:val="1"/>
                <w:color w:val="auto"/>
              </w:rPr>
            </w:pPr>
          </w:p>
        </w:tc>
      </w:tr>
      <w:tr>
        <w:trPr>
          <w:trHeight w:val="155"/>
        </w:trPr>
        <w:tc>
          <w:tcPr>
            <w:tcW w:w="3100" w:type="dxa"/>
            <w:vAlign w:val="bottom"/>
          </w:tcPr>
          <w:p>
            <w:pPr>
              <w:ind w:left="20"/>
              <w:spacing w:after="0" w:line="156" w:lineRule="exact"/>
              <w:rPr>
                <w:sz w:val="20"/>
                <w:szCs w:val="20"/>
                <w:color w:val="auto"/>
              </w:rPr>
            </w:pPr>
            <w:r>
              <w:rPr>
                <w:rFonts w:ascii="Arial" w:cs="Arial" w:eastAsia="Arial" w:hAnsi="Arial"/>
                <w:sz w:val="15"/>
                <w:szCs w:val="15"/>
                <w:color w:val="auto"/>
              </w:rPr>
              <w:t>Senior Secured Credit Facilities, New Notes</w:t>
            </w:r>
          </w:p>
        </w:tc>
        <w:tc>
          <w:tcPr>
            <w:tcW w:w="26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(3,426,160)</w:t>
            </w:r>
          </w:p>
        </w:tc>
        <w:tc>
          <w:tcPr>
            <w:tcW w:w="24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22,321</w:t>
            </w:r>
          </w:p>
        </w:tc>
        <w:tc>
          <w:tcPr>
            <w:tcW w:w="40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5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(4,470)</w:t>
            </w:r>
          </w:p>
        </w:tc>
        <w:tc>
          <w:tcPr>
            <w:tcW w:w="360" w:type="dxa"/>
            <w:vAlign w:val="bottom"/>
          </w:tcPr>
          <w:p>
            <w:pPr>
              <w:spacing w:after="0"/>
              <w:rPr>
                <w:sz w:val="13"/>
                <w:szCs w:val="13"/>
                <w:color w:val="auto"/>
              </w:rPr>
            </w:pPr>
          </w:p>
        </w:tc>
        <w:tc>
          <w:tcPr>
            <w:tcW w:w="100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5"/>
                <w:szCs w:val="15"/>
                <w:color w:val="auto"/>
              </w:rPr>
              <w:t>(3,408,309)</w:t>
            </w:r>
          </w:p>
        </w:tc>
        <w:tc>
          <w:tcPr>
            <w:tcW w:w="0" w:type="dxa"/>
            <w:vAlign w:val="bottom"/>
          </w:tcPr>
          <w:p>
            <w:pPr>
              <w:spacing w:after="0"/>
              <w:rPr>
                <w:sz w:val="1"/>
                <w:szCs w:val="1"/>
                <w:color w:val="auto"/>
              </w:rPr>
            </w:pPr>
          </w:p>
        </w:tc>
      </w:tr>
      <w:tr>
        <w:trPr>
          <w:trHeight w:val="205"/>
        </w:trPr>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&amp; 2026 Notes</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ind w:left="20"/>
              <w:spacing w:after="0" w:line="149" w:lineRule="exact"/>
              <w:rPr>
                <w:sz w:val="20"/>
                <w:szCs w:val="20"/>
                <w:color w:val="auto"/>
              </w:rPr>
            </w:pPr>
            <w:r>
              <w:rPr>
                <w:rFonts w:ascii="Arial" w:cs="Arial" w:eastAsia="Arial" w:hAnsi="Arial"/>
                <w:sz w:val="15"/>
                <w:szCs w:val="15"/>
                <w:color w:val="auto"/>
              </w:rPr>
              <w:t>Net cash and cash equivalents and</w:t>
            </w:r>
          </w:p>
        </w:tc>
        <w:tc>
          <w:tcPr>
            <w:tcW w:w="26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(2,887,375)</w:t>
            </w:r>
          </w:p>
        </w:tc>
        <w:tc>
          <w:tcPr>
            <w:tcW w:w="24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22,321</w:t>
            </w:r>
          </w:p>
        </w:tc>
        <w:tc>
          <w:tcPr>
            <w:tcW w:w="400" w:type="dxa"/>
            <w:vAlign w:val="bottom"/>
            <w:vMerge w:val="restart"/>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(95,017)</w:t>
            </w:r>
          </w:p>
        </w:tc>
        <w:tc>
          <w:tcPr>
            <w:tcW w:w="540" w:type="dxa"/>
            <w:vAlign w:val="bottom"/>
            <w:vMerge w:val="restart"/>
            <w:shd w:val="clear" w:color="auto" w:fill="CCEEFF"/>
          </w:tcPr>
          <w:p>
            <w:pPr>
              <w:jc w:val="right"/>
              <w:ind w:right="363"/>
              <w:spacing w:after="0"/>
              <w:rPr>
                <w:sz w:val="20"/>
                <w:szCs w:val="20"/>
                <w:color w:val="auto"/>
              </w:rPr>
            </w:pPr>
            <w:r>
              <w:rPr>
                <w:rFonts w:ascii="Arial" w:cs="Arial" w:eastAsia="Arial" w:hAnsi="Arial"/>
                <w:sz w:val="15"/>
                <w:szCs w:val="15"/>
                <w:color w:val="auto"/>
                <w:w w:val="95"/>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(4,470)</w:t>
            </w:r>
          </w:p>
        </w:tc>
        <w:tc>
          <w:tcPr>
            <w:tcW w:w="360" w:type="dxa"/>
            <w:vAlign w:val="bottom"/>
            <w:vMerge w:val="restart"/>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00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25,120</w:t>
            </w:r>
          </w:p>
        </w:tc>
        <w:tc>
          <w:tcPr>
            <w:tcW w:w="18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(2,939,421)</w:t>
            </w:r>
          </w:p>
        </w:tc>
        <w:tc>
          <w:tcPr>
            <w:tcW w:w="0" w:type="dxa"/>
            <w:vAlign w:val="bottom"/>
          </w:tcPr>
          <w:p>
            <w:pPr>
              <w:spacing w:after="0"/>
              <w:rPr>
                <w:sz w:val="1"/>
                <w:szCs w:val="1"/>
                <w:color w:val="auto"/>
              </w:rPr>
            </w:pPr>
          </w:p>
        </w:tc>
      </w:tr>
      <w:tr>
        <w:trPr>
          <w:trHeight w:val="225"/>
        </w:trPr>
        <w:tc>
          <w:tcPr>
            <w:tcW w:w="3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borrowings</w:t>
            </w: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40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540" w:type="dxa"/>
            <w:vAlign w:val="bottom"/>
            <w:tcBorders>
              <w:bottom w:val="single" w:sz="8" w:color="auto"/>
            </w:tcBorders>
            <w:vMerge w:val="continue"/>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36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Net cash and cash equivalents and borrowings is a useful measure that assists understanding of the Company’s liquidity and capital resources, which is relevant to the Company’s strategy. The Company’s cash and cash equivalents at September 30, 2025 amounted to $468.9 million compared with $538.8 million at December 31, 2024.</w:t>
      </w:r>
    </w:p>
    <w:p>
      <w:pPr>
        <w:spacing w:after="0" w:line="178"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 xml:space="preserve">Refer to note 10. </w:t>
      </w:r>
      <w:r>
        <w:rPr>
          <w:rFonts w:ascii="Arial" w:cs="Arial" w:eastAsia="Arial" w:hAnsi="Arial"/>
          <w:sz w:val="15"/>
          <w:szCs w:val="15"/>
          <w:i w:val="1"/>
          <w:iCs w:val="1"/>
          <w:color w:val="auto"/>
        </w:rPr>
        <w:t>Bank credit lines, loan facilities and notes</w:t>
      </w:r>
      <w:r>
        <w:rPr>
          <w:rFonts w:ascii="Arial" w:cs="Arial" w:eastAsia="Arial" w:hAnsi="Arial"/>
          <w:sz w:val="15"/>
          <w:szCs w:val="15"/>
          <w:color w:val="auto"/>
        </w:rPr>
        <w:t xml:space="preserve"> for details on the Company's outstanding debt. Refer to note 9. </w:t>
      </w:r>
      <w:r>
        <w:rPr>
          <w:rFonts w:ascii="Arial" w:cs="Arial" w:eastAsia="Arial" w:hAnsi="Arial"/>
          <w:sz w:val="15"/>
          <w:szCs w:val="15"/>
          <w:i w:val="1"/>
          <w:iCs w:val="1"/>
          <w:color w:val="auto"/>
        </w:rPr>
        <w:t>Operating Leases</w:t>
      </w:r>
      <w:r>
        <w:rPr>
          <w:rFonts w:ascii="Arial" w:cs="Arial" w:eastAsia="Arial" w:hAnsi="Arial"/>
          <w:sz w:val="15"/>
          <w:szCs w:val="15"/>
          <w:color w:val="auto"/>
        </w:rPr>
        <w:t xml:space="preserve"> for further details on the Company's contractual liabilities for lease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38" w:name="page39"/>
    <w:bookmarkEnd w:id="38"/>
    <w:p>
      <w:pPr>
        <w:spacing w:after="0"/>
        <w:rPr>
          <w:sz w:val="20"/>
          <w:szCs w:val="20"/>
          <w:color w:val="auto"/>
        </w:rPr>
      </w:pPr>
      <w:r>
        <w:rPr>
          <w:rFonts w:ascii="Arial" w:cs="Arial" w:eastAsia="Arial" w:hAnsi="Arial"/>
          <w:sz w:val="15"/>
          <w:szCs w:val="15"/>
          <w:b w:val="1"/>
          <w:bCs w:val="1"/>
          <w:color w:val="auto"/>
        </w:rPr>
        <w:t>Cash flows</w:t>
      </w:r>
    </w:p>
    <w:p>
      <w:pPr>
        <w:spacing w:after="0" w:line="24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Net cash from operating activities</w:t>
      </w:r>
    </w:p>
    <w:p>
      <w:pPr>
        <w:spacing w:after="0" w:line="253"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5"/>
          <w:szCs w:val="15"/>
          <w:color w:val="auto"/>
        </w:rPr>
        <w:t>Net cash provided by operating activities decreased by $146.3 million to $802.0 million for the nine months ended September 30, 2025 as compared to net cash provided by operating activities of $948.3 million for the nine months ended September 30, 2024. The decrease in net cash provided by operating activities of $146.3 million is primarily due to a decrease and change in mix of revenue, changes in working capital, which is discussed further below, in addition to restructuring outflows.</w:t>
      </w:r>
    </w:p>
    <w:p>
      <w:pPr>
        <w:spacing w:after="0" w:line="374" w:lineRule="exact"/>
        <w:rPr>
          <w:sz w:val="20"/>
          <w:szCs w:val="20"/>
          <w:color w:val="auto"/>
        </w:rPr>
      </w:pPr>
    </w:p>
    <w:p>
      <w:pPr>
        <w:jc w:val="both"/>
        <w:ind w:firstLine="619"/>
        <w:spacing w:after="0" w:line="263" w:lineRule="auto"/>
        <w:rPr>
          <w:sz w:val="20"/>
          <w:szCs w:val="20"/>
          <w:color w:val="auto"/>
        </w:rPr>
      </w:pPr>
      <w:r>
        <w:rPr>
          <w:rFonts w:ascii="Arial" w:cs="Arial" w:eastAsia="Arial" w:hAnsi="Arial"/>
          <w:sz w:val="15"/>
          <w:szCs w:val="15"/>
          <w:color w:val="auto"/>
        </w:rPr>
        <w:t>The change in working capital is primarily attributable to a reduction in accounts receivable related cashflows of $351.8 million (as accounts receivable balances decreased to a greater extent in the nine months ended September 30, 2024 in comparison to the nine months ended September 30, 2025), offset by an improvement in unbilled revenue related cashflows of $449.5 million (as unbilled revenue balances decreased during the nine months ended September 30, 2025, as opposed to an increase during the nine months ended September 30, 2024). In addition a decrease in unearned revenue cashflows of $28.2 million period on period (as unearned revenue balances decreased to a greater extent during the nine months ended September 30, 2025, in comparison to the nine months ended September 30, 2024). These changes result from differences in timing of revenue recognition, cash collection, upfront receipts and billing on clinical trials. The number of days’ revenue outstanding at September 30, 2025 was 49 days (June 30, 2025: 49 days, March 31, 2025: 49 days, December 31, 2024: 47 days, September 30, 2024: 52 days, June 30, 2024: 51 days, March 31, 2024: 49 days, December 31, 2023: 47 days). A decrease in the number of days’ revenue outstanding during a period will result in cash inflows to the Company while an increase in days revenue outstanding will lead to cash outflows.</w:t>
      </w:r>
    </w:p>
    <w:p>
      <w:pPr>
        <w:spacing w:after="0" w:line="207"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Cash generated from working capital and days’ revenue outstanding may be positively or negatively impacted by, amongst others, the scheduling of contractual milestones over a study or trial duration, the achievement of a particular milestone during the period, the timing of receipt of invoices from third parties for reimbursable costs and the timing of cash receipts from customers. Contract fees are generally payable in installments based on the achievement of certain performance targets or “milestones” (e.g. target patient enrollment rates, clinical testing sites initiated or case report forms completed), such milestones being specific to the terms of each individual contract, while revenues on contracts are recognized as contractual obligations are performed. Further, credit terms negotiated between the Company and its customers, and movement in exchange rates also impact cash inflows and days' revenue outstanding.</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Net cash used in investing activities</w:t>
      </w:r>
    </w:p>
    <w:p>
      <w:pPr>
        <w:spacing w:after="0" w:line="253"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Net cash used in investing activities was $131.6 million for the nine months ended September 30, 2025 compared to net cash used in investing activities of $197.9 million for the nine months ended September 30, 2024. Net cash used in investing activities during the nine months ended September 30, 2025 was primarily related to cash outflows of $114.9 million for capital expenditures made mainly relating to investment in facilities and IT infrastructure and $14.2 million in relation to investments in equity.</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Net cash used in financing activities</w:t>
      </w:r>
    </w:p>
    <w:p>
      <w:pPr>
        <w:spacing w:after="0" w:line="25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Net cash used in financing activities during the nine months ended September 30, 2025 amounted to $765.5 million compared to net cash used in financing activities of $433.2 million for the nine months ended September 30, 2024. During the nine months ended September 30, 2025, the Company made a net repayment of $22.3 million on external financing (See the C</w:t>
      </w:r>
      <w:r>
        <w:rPr>
          <w:rFonts w:ascii="Arial" w:cs="Arial" w:eastAsia="Arial" w:hAnsi="Arial"/>
          <w:sz w:val="15"/>
          <w:szCs w:val="15"/>
          <w:i w:val="1"/>
          <w:iCs w:val="1"/>
          <w:color w:val="auto"/>
        </w:rPr>
        <w:t>ondensed Consolidated Statements of Cash Flows and note 10. Bank credit lines, loan facilities and</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notes </w:t>
      </w:r>
      <w:r>
        <w:rPr>
          <w:rFonts w:ascii="Arial" w:cs="Arial" w:eastAsia="Arial" w:hAnsi="Arial"/>
          <w:sz w:val="15"/>
          <w:szCs w:val="15"/>
          <w:color w:val="auto"/>
        </w:rPr>
        <w:t>for further details). Further, the Company repurchased 4,504,330 ordinary shares for a total consideration of $750.0 million. These outflows were offset by</w:t>
      </w:r>
      <w:r>
        <w:rPr>
          <w:rFonts w:ascii="Arial" w:cs="Arial" w:eastAsia="Arial" w:hAnsi="Arial"/>
          <w:sz w:val="15"/>
          <w:szCs w:val="15"/>
          <w:i w:val="1"/>
          <w:iCs w:val="1"/>
          <w:color w:val="auto"/>
        </w:rPr>
        <w:t xml:space="preserve"> </w:t>
      </w:r>
      <w:r>
        <w:rPr>
          <w:rFonts w:ascii="Arial" w:cs="Arial" w:eastAsia="Arial" w:hAnsi="Arial"/>
          <w:sz w:val="15"/>
          <w:szCs w:val="15"/>
          <w:color w:val="auto"/>
        </w:rPr>
        <w:t>$7.3 million received by the Company from the exercise of equity compensation.</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Net cash outflow</w:t>
      </w:r>
    </w:p>
    <w:p>
      <w:pPr>
        <w:spacing w:after="0" w:line="240"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As a result of these cash flows, cash and cash equivalents decreased by $69.9 million for the nine months ended September 30, 2025 compared to an increase of $317.4 million for the nine months ended September 30, 2024.</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73660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39" w:name="page40"/>
    <w:bookmarkEnd w:id="39"/>
    <w:p>
      <w:pPr>
        <w:spacing w:after="0"/>
        <w:rPr>
          <w:sz w:val="20"/>
          <w:szCs w:val="20"/>
          <w:color w:val="auto"/>
        </w:rPr>
      </w:pPr>
      <w:r>
        <w:rPr>
          <w:rFonts w:ascii="Arial" w:cs="Arial" w:eastAsia="Arial" w:hAnsi="Arial"/>
          <w:sz w:val="15"/>
          <w:szCs w:val="15"/>
          <w:b w:val="1"/>
          <w:bCs w:val="1"/>
          <w:color w:val="auto"/>
        </w:rPr>
        <w:t>Summarized financial information of issuers and guarantors</w:t>
      </w:r>
    </w:p>
    <w:p>
      <w:pPr>
        <w:spacing w:after="0" w:line="242"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In connection with the offering of the New Notes by one of our subsidiaries, ICON Investments Six Designated Activity Company (the "Issuer"), disclosures required by Rule 13-01(a)(1) through (3) of Regulation S-X are provided below.</w:t>
      </w:r>
    </w:p>
    <w:p>
      <w:pPr>
        <w:spacing w:after="0" w:line="157"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The New Notes are guaranteed on a senior secured basis by ICON and its existing and future wholly owned subsidiaries organized in the United States, Ireland and the Grand Duchy of Luxembourg (“Luxembourg”), in each case that guarantee the obligations under our Senior Secured Credit Facilities and the 2026 Notes (the “Subsidiary Guarantors” and, collectively with ICON, the “Guarantors”).</w:t>
      </w:r>
    </w:p>
    <w:p>
      <w:pPr>
        <w:spacing w:after="0" w:line="178" w:lineRule="exact"/>
        <w:rPr>
          <w:sz w:val="20"/>
          <w:szCs w:val="20"/>
          <w:color w:val="auto"/>
        </w:rPr>
      </w:pPr>
    </w:p>
    <w:p>
      <w:pPr>
        <w:jc w:val="both"/>
        <w:ind w:firstLine="619"/>
        <w:spacing w:after="0" w:line="263" w:lineRule="auto"/>
        <w:rPr>
          <w:sz w:val="20"/>
          <w:szCs w:val="20"/>
          <w:color w:val="auto"/>
        </w:rPr>
      </w:pPr>
      <w:r>
        <w:rPr>
          <w:rFonts w:ascii="Arial" w:cs="Arial" w:eastAsia="Arial" w:hAnsi="Arial"/>
          <w:sz w:val="15"/>
          <w:szCs w:val="15"/>
          <w:color w:val="auto"/>
        </w:rPr>
        <w:t>The New Notes are the senior secured obligations of the Issuer and the Guarantors and the New Notes rank equally in right of payment to all of the Issuer’s and Guarantors’ existing and future senior debt (including the Senior Secured Credit Facilities and the 2026 Notes) and senior in right of payment to all of the Issuer’s and Guarantors’ existing and future subordinated debt. The New Notes and the guarantees are secured on a first-lien basis by substantially all of the existing and future assets of the Issuer and the guarantors that also secure the Issuer’s and the guarantors’ obligations under the Senior Secured Credit Facilities and the 2026 Notes on a pari passu basis, subject to permitted liens, and the liens on the collateral securing the New Notes (the “Collateral”) rank equally in priority with the liens on the collateral securing borrowings and guarantees under the Senior Secured Credit Facilities, the 2026 Notes and any other future pari passu first lien indebtedness. The New Notes and the guarantees are effectively senior to any of the Issuer’s and the guarantors’ existing and future unsecured indebtedness to the extent of the value of the assets securing the New Notes and the guarantees. The New Notes and the guarantees are structurally subordinated to all existing and future indebtedness and other liabilities of ICON’s subsidiaries that will not guarantee the New Notes, which includes all of ICON’s subsidiaries organized outside the United States, Ireland and Luxembourg and any other subsidiaries that do not guarantee the Senior Secured Credit Facilities or the 2026 Notes.</w:t>
      </w:r>
    </w:p>
    <w:p>
      <w:pPr>
        <w:spacing w:after="0" w:line="198"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The New Notes are, jointly and severally, unconditionally, guaranteed on a senior secured basis by ICON and its existing and future wholly owned subsidiaries organized in a covered jurisdiction that guarantee the obligations under the Senior Secured Credit Facilities and the 2026 Notes. The obligations of each Guarantor under its note guarantee are limited as necessary to prevent the relevant note guarantee from constituting a fraudulent conveyance, fraudulent transfer or unlawful financial assistance under applicable law, or otherwise to reflect limitations under applicable law. By virtue of these limitations, the obligations of a Guarantor under its note guarantee could be significantly less than amounts payable with respect to the notes of any series or a Guarantor may have effectively no obligations under its respective note guarantee. ICON may, at any time, cause a subsidiary to become a Guarantor by executing and delivering a supplemental indenture providing for the Guarantee of payment of the applicable series of notes by such subsidiary on the basis provided in the applicable indenture.</w:t>
      </w:r>
    </w:p>
    <w:p>
      <w:pPr>
        <w:spacing w:after="0" w:line="191"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Any Guarantor will be automatically and unconditionally released from all obligations under its note guarantee, and such note guarantee shall thereupon terminate and be discharged and of no further force and effect:</w:t>
      </w:r>
    </w:p>
    <w:p>
      <w:pPr>
        <w:spacing w:after="0" w:line="183" w:lineRule="exact"/>
        <w:rPr>
          <w:sz w:val="20"/>
          <w:szCs w:val="20"/>
          <w:color w:val="auto"/>
        </w:rPr>
      </w:pPr>
    </w:p>
    <w:p>
      <w:pPr>
        <w:jc w:val="both"/>
        <w:ind w:left="620" w:hanging="307"/>
        <w:spacing w:after="0" w:line="263" w:lineRule="auto"/>
        <w:tabs>
          <w:tab w:leader="none" w:pos="609" w:val="left"/>
        </w:tabs>
        <w:numPr>
          <w:ilvl w:val="0"/>
          <w:numId w:val="3"/>
        </w:numPr>
        <w:rPr>
          <w:rFonts w:ascii="Arial" w:cs="Arial" w:eastAsia="Arial" w:hAnsi="Arial"/>
          <w:sz w:val="15"/>
          <w:szCs w:val="15"/>
          <w:color w:val="auto"/>
        </w:rPr>
      </w:pPr>
      <w:r>
        <w:rPr>
          <w:rFonts w:ascii="Arial" w:cs="Arial" w:eastAsia="Arial" w:hAnsi="Arial"/>
          <w:sz w:val="15"/>
          <w:szCs w:val="15"/>
          <w:color w:val="auto"/>
        </w:rPr>
        <w:t>concurrently with any sale, exchange, disposition or transfer (by merger or otherwise) described in the preliminary prospectus supplement for the offering of New Notes, of any capital stock, or all or substantially all assets of such Guarantor following which such Guarantor is no longer a subsidiary of ICON or ceases to be organized in a covered jurisdiction;</w:t>
      </w:r>
    </w:p>
    <w:p>
      <w:pPr>
        <w:spacing w:after="0" w:line="1" w:lineRule="exact"/>
        <w:rPr>
          <w:rFonts w:ascii="Arial" w:cs="Arial" w:eastAsia="Arial" w:hAnsi="Arial"/>
          <w:sz w:val="15"/>
          <w:szCs w:val="15"/>
          <w:color w:val="auto"/>
        </w:rPr>
      </w:pPr>
    </w:p>
    <w:p>
      <w:pPr>
        <w:ind w:left="620" w:hanging="307"/>
        <w:spacing w:after="0"/>
        <w:tabs>
          <w:tab w:leader="none" w:pos="620" w:val="left"/>
        </w:tabs>
        <w:numPr>
          <w:ilvl w:val="0"/>
          <w:numId w:val="3"/>
        </w:numPr>
        <w:rPr>
          <w:rFonts w:ascii="Arial" w:cs="Arial" w:eastAsia="Arial" w:hAnsi="Arial"/>
          <w:sz w:val="15"/>
          <w:szCs w:val="15"/>
          <w:color w:val="auto"/>
        </w:rPr>
      </w:pPr>
      <w:r>
        <w:rPr>
          <w:rFonts w:ascii="Arial" w:cs="Arial" w:eastAsia="Arial" w:hAnsi="Arial"/>
          <w:sz w:val="15"/>
          <w:szCs w:val="15"/>
          <w:color w:val="auto"/>
        </w:rPr>
        <w:t>as to all Guarantors (other than ICON), at the time of any collateral release event;</w:t>
      </w:r>
    </w:p>
    <w:p>
      <w:pPr>
        <w:spacing w:after="0" w:line="8" w:lineRule="exact"/>
        <w:rPr>
          <w:rFonts w:ascii="Arial" w:cs="Arial" w:eastAsia="Arial" w:hAnsi="Arial"/>
          <w:sz w:val="15"/>
          <w:szCs w:val="15"/>
          <w:color w:val="auto"/>
        </w:rPr>
      </w:pPr>
    </w:p>
    <w:p>
      <w:pPr>
        <w:ind w:left="620" w:hanging="307"/>
        <w:spacing w:after="0"/>
        <w:tabs>
          <w:tab w:leader="none" w:pos="620" w:val="left"/>
        </w:tabs>
        <w:numPr>
          <w:ilvl w:val="0"/>
          <w:numId w:val="3"/>
        </w:numPr>
        <w:rPr>
          <w:rFonts w:ascii="Arial" w:cs="Arial" w:eastAsia="Arial" w:hAnsi="Arial"/>
          <w:sz w:val="15"/>
          <w:szCs w:val="15"/>
          <w:color w:val="auto"/>
        </w:rPr>
      </w:pPr>
      <w:r>
        <w:rPr>
          <w:rFonts w:ascii="Arial" w:cs="Arial" w:eastAsia="Arial" w:hAnsi="Arial"/>
          <w:sz w:val="15"/>
          <w:szCs w:val="15"/>
          <w:color w:val="auto"/>
        </w:rPr>
        <w:t>upon legal defeasance, covenant defeasance or satisfaction and discharge of the indenture governing the New Notes;</w:t>
      </w:r>
    </w:p>
    <w:p>
      <w:pPr>
        <w:spacing w:after="0" w:line="17" w:lineRule="exact"/>
        <w:rPr>
          <w:rFonts w:ascii="Arial" w:cs="Arial" w:eastAsia="Arial" w:hAnsi="Arial"/>
          <w:sz w:val="15"/>
          <w:szCs w:val="15"/>
          <w:color w:val="auto"/>
        </w:rPr>
      </w:pPr>
    </w:p>
    <w:p>
      <w:pPr>
        <w:ind w:left="620" w:hanging="307"/>
        <w:spacing w:after="0" w:line="260" w:lineRule="auto"/>
        <w:tabs>
          <w:tab w:leader="none" w:pos="609" w:val="left"/>
        </w:tabs>
        <w:numPr>
          <w:ilvl w:val="0"/>
          <w:numId w:val="3"/>
        </w:numPr>
        <w:rPr>
          <w:rFonts w:ascii="Arial" w:cs="Arial" w:eastAsia="Arial" w:hAnsi="Arial"/>
          <w:sz w:val="15"/>
          <w:szCs w:val="15"/>
          <w:color w:val="auto"/>
        </w:rPr>
      </w:pPr>
      <w:r>
        <w:rPr>
          <w:rFonts w:ascii="Arial" w:cs="Arial" w:eastAsia="Arial" w:hAnsi="Arial"/>
          <w:sz w:val="15"/>
          <w:szCs w:val="15"/>
          <w:color w:val="auto"/>
        </w:rPr>
        <w:t>upon the merger, amalgamation or consolidation of any Guarantor into ICON, the Issuer or another Guarantor or upon the liquidation, dissolution or winding up of such Guarantor;</w:t>
      </w:r>
    </w:p>
    <w:p>
      <w:pPr>
        <w:ind w:left="620" w:hanging="307"/>
        <w:spacing w:after="0" w:line="253" w:lineRule="auto"/>
        <w:tabs>
          <w:tab w:leader="none" w:pos="609"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release of such Guarantor from its guarantee under the Senior Secured Credit Facilities (except in the case of a release from the repayment in full of the Senior Secured Credit Facilities); or</w:t>
      </w:r>
    </w:p>
    <w:p>
      <w:pPr>
        <w:ind w:left="620" w:hanging="307"/>
        <w:spacing w:after="0"/>
        <w:tabs>
          <w:tab w:leader="none" w:pos="620" w:val="left"/>
        </w:tabs>
        <w:numPr>
          <w:ilvl w:val="0"/>
          <w:numId w:val="3"/>
        </w:numPr>
        <w:rPr>
          <w:rFonts w:ascii="Arial" w:cs="Arial" w:eastAsia="Arial" w:hAnsi="Arial"/>
          <w:sz w:val="15"/>
          <w:szCs w:val="15"/>
          <w:color w:val="auto"/>
        </w:rPr>
      </w:pPr>
      <w:r>
        <w:rPr>
          <w:rFonts w:ascii="Arial" w:cs="Arial" w:eastAsia="Arial" w:hAnsi="Arial"/>
          <w:sz w:val="15"/>
          <w:szCs w:val="15"/>
          <w:color w:val="auto"/>
        </w:rPr>
        <w:t>upon such Guarantor becoming an excluded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73660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40" w:name="page41"/>
    <w:bookmarkEnd w:id="40"/>
    <w:p>
      <w:pPr>
        <w:spacing w:after="0"/>
        <w:rPr>
          <w:sz w:val="20"/>
          <w:szCs w:val="20"/>
          <w:color w:val="auto"/>
        </w:rPr>
      </w:pPr>
      <w:r>
        <w:rPr>
          <w:rFonts w:ascii="Arial" w:cs="Arial" w:eastAsia="Arial" w:hAnsi="Arial"/>
          <w:sz w:val="15"/>
          <w:szCs w:val="15"/>
          <w:b w:val="1"/>
          <w:bCs w:val="1"/>
          <w:color w:val="auto"/>
        </w:rPr>
        <w:t>Summarized Combined Financial Information</w:t>
      </w:r>
    </w:p>
    <w:p>
      <w:pPr>
        <w:spacing w:after="0" w:line="242"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5"/>
          <w:szCs w:val="15"/>
          <w:color w:val="auto"/>
        </w:rPr>
        <w:t>Summarized financial information (the "SFI"), as defined under Rule 1-02(bb) of Regulation S-X, is provided below for the Issuer and Guarantor entities, collectively, the "Obligor Group" as of September 30, 2025 and December 31, 2024, and for the nine months ended September 30, 2025 and the year ended December 31, 2024. The SFI is presented on a combined basis with intercompany transactions and balances among the entities included in the Obligor Group eliminated. The Obligor Group SFI excludes investments in non-guarantor entities.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(Unaudited)</w:t>
            </w: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(Unaudited)</w:t>
            </w:r>
          </w:p>
        </w:tc>
      </w:tr>
      <w:tr>
        <w:trPr>
          <w:trHeight w:val="206"/>
        </w:trPr>
        <w:tc>
          <w:tcPr>
            <w:tcW w:w="812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Nine Months Ended</w:t>
            </w: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Year Ended</w:t>
            </w:r>
          </w:p>
        </w:tc>
      </w:tr>
      <w:tr>
        <w:trPr>
          <w:trHeight w:val="148"/>
        </w:trPr>
        <w:tc>
          <w:tcPr>
            <w:tcW w:w="8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8" w:lineRule="exact"/>
              <w:rPr>
                <w:sz w:val="20"/>
                <w:szCs w:val="20"/>
                <w:color w:val="auto"/>
              </w:rPr>
            </w:pPr>
            <w:r>
              <w:rPr>
                <w:rFonts w:ascii="Arial" w:cs="Arial" w:eastAsia="Arial" w:hAnsi="Arial"/>
                <w:sz w:val="15"/>
                <w:szCs w:val="15"/>
                <w:b w:val="1"/>
                <w:bCs w:val="1"/>
                <w:color w:val="auto"/>
              </w:rPr>
              <w:t>September 30,</w:t>
            </w:r>
          </w:p>
        </w:tc>
        <w:tc>
          <w:tcPr>
            <w:tcW w:w="3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8" w:lineRule="exact"/>
              <w:rPr>
                <w:sz w:val="20"/>
                <w:szCs w:val="20"/>
                <w:color w:val="auto"/>
              </w:rPr>
            </w:pPr>
            <w:r>
              <w:rPr>
                <w:rFonts w:ascii="Arial" w:cs="Arial" w:eastAsia="Arial" w:hAnsi="Arial"/>
                <w:sz w:val="15"/>
                <w:szCs w:val="15"/>
                <w:b w:val="1"/>
                <w:bCs w:val="1"/>
                <w:color w:val="auto"/>
              </w:rPr>
              <w:t>December 31,</w:t>
            </w:r>
          </w:p>
        </w:tc>
      </w:tr>
      <w:tr>
        <w:trPr>
          <w:trHeight w:val="206"/>
        </w:trPr>
        <w:tc>
          <w:tcPr>
            <w:tcW w:w="8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2025</w:t>
            </w:r>
          </w:p>
        </w:tc>
        <w:tc>
          <w:tcPr>
            <w:tcW w:w="3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2024</w:t>
            </w:r>
          </w:p>
        </w:tc>
      </w:tr>
      <w:tr>
        <w:trPr>
          <w:trHeight w:val="199"/>
        </w:trPr>
        <w:tc>
          <w:tcPr>
            <w:tcW w:w="8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3"/>
          </w:tcPr>
          <w:p>
            <w:pPr>
              <w:jc w:val="right"/>
              <w:ind w:right="943"/>
              <w:spacing w:after="0"/>
              <w:rPr>
                <w:sz w:val="20"/>
                <w:szCs w:val="20"/>
                <w:color w:val="auto"/>
              </w:rPr>
            </w:pPr>
            <w:r>
              <w:rPr>
                <w:rFonts w:ascii="Arial" w:cs="Arial" w:eastAsia="Arial" w:hAnsi="Arial"/>
                <w:sz w:val="15"/>
                <w:szCs w:val="15"/>
                <w:b w:val="1"/>
                <w:bCs w:val="1"/>
                <w:color w:val="auto"/>
              </w:rPr>
              <w:t>(in thousands)</w:t>
            </w:r>
          </w:p>
        </w:tc>
      </w:tr>
      <w:tr>
        <w:trPr>
          <w:trHeight w:val="199"/>
        </w:trPr>
        <w:tc>
          <w:tcPr>
            <w:tcW w:w="8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Revenue</w:t>
            </w:r>
          </w:p>
        </w:tc>
        <w:tc>
          <w:tcPr>
            <w:tcW w:w="3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5,481,795</w:t>
            </w:r>
          </w:p>
        </w:tc>
        <w:tc>
          <w:tcPr>
            <w:tcW w:w="3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7,474,880</w:t>
            </w:r>
          </w:p>
        </w:tc>
      </w:tr>
      <w:tr>
        <w:trPr>
          <w:trHeight w:val="205"/>
        </w:trPr>
        <w:tc>
          <w:tcPr>
            <w:tcW w:w="81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Total costs and expenses (a)</w:t>
            </w: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4,958,404</w:t>
            </w: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6,647,712</w:t>
            </w:r>
          </w:p>
        </w:tc>
      </w:tr>
      <w:tr>
        <w:trPr>
          <w:trHeight w:val="224"/>
        </w:trPr>
        <w:tc>
          <w:tcPr>
            <w:tcW w:w="8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Income from operations (a)</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523,391</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827,168</w:t>
            </w:r>
          </w:p>
        </w:tc>
      </w:tr>
      <w:tr>
        <w:trPr>
          <w:trHeight w:val="20"/>
        </w:trPr>
        <w:tc>
          <w:tcPr>
            <w:tcW w:w="81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78"/>
        </w:trPr>
        <w:tc>
          <w:tcPr>
            <w:tcW w:w="81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Net income (a) (b)</w:t>
            </w:r>
          </w:p>
        </w:tc>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674,485</w:t>
            </w:r>
          </w:p>
        </w:tc>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699,018</w:t>
            </w:r>
          </w:p>
        </w:tc>
      </w:tr>
      <w:tr>
        <w:trPr>
          <w:trHeight w:val="20"/>
        </w:trPr>
        <w:tc>
          <w:tcPr>
            <w:tcW w:w="8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320" w:hanging="7"/>
        <w:spacing w:after="0" w:line="260" w:lineRule="auto"/>
        <w:tabs>
          <w:tab w:leader="none" w:pos="587" w:val="left"/>
        </w:tabs>
        <w:numPr>
          <w:ilvl w:val="0"/>
          <w:numId w:val="4"/>
        </w:numPr>
        <w:rPr>
          <w:rFonts w:ascii="Arial" w:cs="Arial" w:eastAsia="Arial" w:hAnsi="Arial"/>
          <w:sz w:val="15"/>
          <w:szCs w:val="15"/>
          <w:color w:val="auto"/>
        </w:rPr>
      </w:pPr>
      <w:r>
        <w:rPr>
          <w:rFonts w:ascii="Arial" w:cs="Arial" w:eastAsia="Arial" w:hAnsi="Arial"/>
          <w:sz w:val="15"/>
          <w:szCs w:val="15"/>
          <w:color w:val="auto"/>
        </w:rPr>
        <w:t>Includes amortization of intangible assets of $170.1 million for the nine months ended September 30, 2025 and $344.4 million for the year ended December 31, 2024.</w:t>
      </w:r>
    </w:p>
    <w:p>
      <w:pPr>
        <w:spacing w:after="0" w:line="1" w:lineRule="exact"/>
        <w:rPr>
          <w:rFonts w:ascii="Arial" w:cs="Arial" w:eastAsia="Arial" w:hAnsi="Arial"/>
          <w:sz w:val="15"/>
          <w:szCs w:val="15"/>
          <w:color w:val="auto"/>
        </w:rPr>
      </w:pPr>
    </w:p>
    <w:p>
      <w:pPr>
        <w:ind w:left="320" w:hanging="7"/>
        <w:spacing w:after="0" w:line="293" w:lineRule="auto"/>
        <w:tabs>
          <w:tab w:leader="none" w:pos="585" w:val="left"/>
        </w:tabs>
        <w:numPr>
          <w:ilvl w:val="0"/>
          <w:numId w:val="4"/>
        </w:numPr>
        <w:rPr>
          <w:rFonts w:ascii="Arial" w:cs="Arial" w:eastAsia="Arial" w:hAnsi="Arial"/>
          <w:sz w:val="15"/>
          <w:szCs w:val="15"/>
          <w:color w:val="auto"/>
        </w:rPr>
      </w:pPr>
      <w:r>
        <w:rPr>
          <w:rFonts w:ascii="Arial" w:cs="Arial" w:eastAsia="Arial" w:hAnsi="Arial"/>
          <w:sz w:val="15"/>
          <w:szCs w:val="15"/>
          <w:color w:val="auto"/>
        </w:rPr>
        <w:t>Includes net intercompany interest expense of $32.9 million for the nine months ended September 30, 2025 and $144.4 million for the year ended December 31, 2024.</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(Unaudited)</w:t>
            </w:r>
          </w:p>
        </w:tc>
        <w:tc>
          <w:tcPr>
            <w:tcW w:w="3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(Unaudited)</w:t>
            </w:r>
          </w:p>
        </w:tc>
      </w:tr>
      <w:tr>
        <w:trPr>
          <w:trHeight w:val="148"/>
        </w:trPr>
        <w:tc>
          <w:tcPr>
            <w:tcW w:w="8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September 30,</w:t>
            </w:r>
          </w:p>
        </w:tc>
        <w:tc>
          <w:tcPr>
            <w:tcW w:w="300" w:type="dxa"/>
            <w:vAlign w:val="bottom"/>
          </w:tcPr>
          <w:p>
            <w:pPr>
              <w:spacing w:after="0"/>
              <w:rPr>
                <w:sz w:val="12"/>
                <w:szCs w:val="12"/>
                <w:color w:val="auto"/>
              </w:rPr>
            </w:pPr>
          </w:p>
        </w:tc>
        <w:tc>
          <w:tcPr>
            <w:tcW w:w="124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December 31,</w:t>
            </w:r>
          </w:p>
        </w:tc>
      </w:tr>
      <w:tr>
        <w:trPr>
          <w:trHeight w:val="206"/>
        </w:trPr>
        <w:tc>
          <w:tcPr>
            <w:tcW w:w="8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r>
      <w:tr>
        <w:trPr>
          <w:trHeight w:val="199"/>
        </w:trPr>
        <w:tc>
          <w:tcPr>
            <w:tcW w:w="8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0" w:type="dxa"/>
            <w:vAlign w:val="bottom"/>
            <w:gridSpan w:val="3"/>
            <w:shd w:val="clear" w:color="auto" w:fill="CCEEFF"/>
          </w:tcPr>
          <w:p>
            <w:pPr>
              <w:jc w:val="right"/>
              <w:ind w:right="943"/>
              <w:spacing w:after="0"/>
              <w:rPr>
                <w:sz w:val="20"/>
                <w:szCs w:val="20"/>
                <w:color w:val="auto"/>
              </w:rPr>
            </w:pPr>
            <w:r>
              <w:rPr>
                <w:rFonts w:ascii="Arial" w:cs="Arial" w:eastAsia="Arial" w:hAnsi="Arial"/>
                <w:sz w:val="15"/>
                <w:szCs w:val="15"/>
                <w:b w:val="1"/>
                <w:bCs w:val="1"/>
                <w:color w:val="auto"/>
              </w:rPr>
              <w:t>(in thousands)</w:t>
            </w:r>
          </w:p>
        </w:tc>
      </w:tr>
      <w:tr>
        <w:trPr>
          <w:trHeight w:val="205"/>
        </w:trPr>
        <w:tc>
          <w:tcPr>
            <w:tcW w:w="8120" w:type="dxa"/>
            <w:vAlign w:val="bottom"/>
          </w:tcPr>
          <w:p>
            <w:pPr>
              <w:ind w:left="20"/>
              <w:spacing w:after="0"/>
              <w:rPr>
                <w:sz w:val="20"/>
                <w:szCs w:val="20"/>
                <w:color w:val="auto"/>
              </w:rPr>
            </w:pPr>
            <w:r>
              <w:rPr>
                <w:rFonts w:ascii="Arial" w:cs="Arial" w:eastAsia="Arial" w:hAnsi="Arial"/>
                <w:sz w:val="15"/>
                <w:szCs w:val="15"/>
                <w:color w:val="auto"/>
              </w:rPr>
              <w:t>Current assets</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ind w:right="3"/>
              <w:spacing w:after="0"/>
              <w:rPr>
                <w:sz w:val="20"/>
                <w:szCs w:val="20"/>
                <w:color w:val="auto"/>
              </w:rPr>
            </w:pPr>
            <w:r>
              <w:rPr>
                <w:rFonts w:ascii="Arial" w:cs="Arial" w:eastAsia="Arial" w:hAnsi="Arial"/>
                <w:sz w:val="15"/>
                <w:szCs w:val="15"/>
                <w:color w:val="auto"/>
              </w:rPr>
              <w:t>2,987,435</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3,207,524</w:t>
            </w:r>
          </w:p>
        </w:tc>
      </w:tr>
      <w:tr>
        <w:trPr>
          <w:trHeight w:val="207"/>
        </w:trPr>
        <w:tc>
          <w:tcPr>
            <w:tcW w:w="8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Non-current assets (c)</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60,900,268</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62,996,507</w:t>
            </w:r>
          </w:p>
        </w:tc>
      </w:tr>
      <w:tr>
        <w:trPr>
          <w:trHeight w:val="205"/>
        </w:trPr>
        <w:tc>
          <w:tcPr>
            <w:tcW w:w="81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Intercompany receivables</w:t>
            </w: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1,369,758</w:t>
            </w: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1,309,276</w:t>
            </w:r>
          </w:p>
        </w:tc>
      </w:tr>
      <w:tr>
        <w:trPr>
          <w:trHeight w:val="225"/>
        </w:trPr>
        <w:tc>
          <w:tcPr>
            <w:tcW w:w="8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Total assets</w:t>
            </w:r>
          </w:p>
        </w:tc>
        <w:tc>
          <w:tcPr>
            <w:tcW w:w="3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b w:val="1"/>
                <w:bCs w:val="1"/>
                <w:color w:val="auto"/>
                <w:w w:val="95"/>
              </w:rPr>
              <w:t>$</w:t>
            </w:r>
          </w:p>
        </w:tc>
        <w:tc>
          <w:tcPr>
            <w:tcW w:w="1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65,257,461</w:t>
            </w:r>
          </w:p>
        </w:tc>
        <w:tc>
          <w:tcPr>
            <w:tcW w:w="3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b w:val="1"/>
                <w:bCs w:val="1"/>
                <w:color w:val="auto"/>
                <w:w w:val="9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67,513,307</w:t>
            </w:r>
          </w:p>
        </w:tc>
      </w:tr>
      <w:tr>
        <w:trPr>
          <w:trHeight w:val="20"/>
        </w:trPr>
        <w:tc>
          <w:tcPr>
            <w:tcW w:w="81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6"/>
        </w:trPr>
        <w:tc>
          <w:tcPr>
            <w:tcW w:w="8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Current liabilities</w:t>
            </w:r>
          </w:p>
        </w:tc>
        <w:tc>
          <w:tcPr>
            <w:tcW w:w="3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2,925,131</w:t>
            </w:r>
          </w:p>
        </w:tc>
        <w:tc>
          <w:tcPr>
            <w:tcW w:w="3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2,561,140</w:t>
            </w:r>
          </w:p>
        </w:tc>
      </w:tr>
      <w:tr>
        <w:trPr>
          <w:trHeight w:val="205"/>
        </w:trPr>
        <w:tc>
          <w:tcPr>
            <w:tcW w:w="8120" w:type="dxa"/>
            <w:vAlign w:val="bottom"/>
          </w:tcPr>
          <w:p>
            <w:pPr>
              <w:ind w:left="20"/>
              <w:spacing w:after="0"/>
              <w:rPr>
                <w:sz w:val="20"/>
                <w:szCs w:val="20"/>
                <w:color w:val="auto"/>
              </w:rPr>
            </w:pPr>
            <w:r>
              <w:rPr>
                <w:rFonts w:ascii="Arial" w:cs="Arial" w:eastAsia="Arial" w:hAnsi="Arial"/>
                <w:sz w:val="15"/>
                <w:szCs w:val="15"/>
                <w:color w:val="auto"/>
              </w:rPr>
              <w:t>Non-current liabilities</w:t>
            </w:r>
          </w:p>
        </w:tc>
        <w:tc>
          <w:tcPr>
            <w:tcW w:w="300" w:type="dxa"/>
            <w:vAlign w:val="bottom"/>
          </w:tcPr>
          <w:p>
            <w:pPr>
              <w:spacing w:after="0"/>
              <w:rPr>
                <w:sz w:val="17"/>
                <w:szCs w:val="17"/>
                <w:color w:val="auto"/>
              </w:rPr>
            </w:pPr>
          </w:p>
        </w:tc>
        <w:tc>
          <w:tcPr>
            <w:tcW w:w="1260" w:type="dxa"/>
            <w:vAlign w:val="bottom"/>
          </w:tcPr>
          <w:p>
            <w:pPr>
              <w:jc w:val="right"/>
              <w:ind w:right="3"/>
              <w:spacing w:after="0"/>
              <w:rPr>
                <w:sz w:val="20"/>
                <w:szCs w:val="20"/>
                <w:color w:val="auto"/>
              </w:rPr>
            </w:pPr>
            <w:r>
              <w:rPr>
                <w:rFonts w:ascii="Arial" w:cs="Arial" w:eastAsia="Arial" w:hAnsi="Arial"/>
                <w:sz w:val="15"/>
                <w:szCs w:val="15"/>
                <w:color w:val="auto"/>
              </w:rPr>
              <w:t>3,728,911</w:t>
            </w:r>
          </w:p>
        </w:tc>
        <w:tc>
          <w:tcPr>
            <w:tcW w:w="3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4,380,570</w:t>
            </w:r>
          </w:p>
        </w:tc>
      </w:tr>
      <w:tr>
        <w:trPr>
          <w:trHeight w:val="206"/>
        </w:trPr>
        <w:tc>
          <w:tcPr>
            <w:tcW w:w="8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Intercompany payables</w:t>
            </w:r>
          </w:p>
        </w:tc>
        <w:tc>
          <w:tcPr>
            <w:tcW w:w="3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2,928,120</w:t>
            </w:r>
          </w:p>
        </w:tc>
        <w:tc>
          <w:tcPr>
            <w:tcW w:w="3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5,029,580</w:t>
            </w:r>
          </w:p>
        </w:tc>
      </w:tr>
      <w:tr>
        <w:trPr>
          <w:trHeight w:val="200"/>
        </w:trPr>
        <w:tc>
          <w:tcPr>
            <w:tcW w:w="81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Total liabilities</w:t>
            </w:r>
          </w:p>
        </w:tc>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w w:val="95"/>
              </w:rPr>
              <w:t>$</w:t>
            </w: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9,582,162</w:t>
            </w:r>
          </w:p>
        </w:tc>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w w:val="95"/>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11,971,290</w:t>
            </w:r>
          </w:p>
        </w:tc>
      </w:tr>
      <w:tr>
        <w:trPr>
          <w:trHeight w:val="20"/>
        </w:trPr>
        <w:tc>
          <w:tcPr>
            <w:tcW w:w="8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(c) Non-current assets include each Guarantor's investment in obligor subsidiaries, on a combined aggregated basis.</w:t>
      </w:r>
    </w:p>
    <w:p>
      <w:pPr>
        <w:spacing w:after="0" w:line="240"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In the context of security for the New Notes, the combined financial information of entities whose securities are pledged as collateral (the "Pledgor Group") was determined to be materially consistent with the consolidated financial information of the ICON Group (ICON and all of its subsidiaries) for the periods presented above, and as such, summarized combined financial information has not been presented for the Pledgor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41" w:name="page42"/>
    <w:bookmarkEnd w:id="41"/>
    <w:p>
      <w:pPr>
        <w:spacing w:after="0"/>
        <w:rPr>
          <w:sz w:val="20"/>
          <w:szCs w:val="20"/>
          <w:color w:val="auto"/>
        </w:rPr>
      </w:pP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firstLine="619"/>
        <w:spacing w:after="0" w:line="253" w:lineRule="auto"/>
        <w:rPr>
          <w:sz w:val="20"/>
          <w:szCs w:val="20"/>
          <w:color w:val="auto"/>
        </w:rPr>
      </w:pPr>
      <w:r>
        <w:rPr>
          <w:rFonts w:ascii="Arial" w:cs="Arial" w:eastAsia="Arial" w:hAnsi="Arial"/>
          <w:sz w:val="15"/>
          <w:szCs w:val="15"/>
          <w:color w:val="auto"/>
        </w:rPr>
        <w:t>We do not expect any current litigation to have a materially adverse effect on our financial condition or results of operations. However, from time to time, we may become involved in various lawsuits and legal proceedings which arise in the ordinary course of business. Litigation is subject to inherent uncertainties, and an adverse result in these or other matters may arise from time to time that may harm our business, and one or more unfavorable outcomes could adversely affect us for the period in which they are resolved. In addition, regardless of their merits or their ultimate outcomes, lawsuits and legal proceedings are costly, divert management attention, and may adversely affect our reputation, even if they are resolved in our favor.</w:t>
      </w:r>
    </w:p>
    <w:p>
      <w:pPr>
        <w:spacing w:after="0" w:line="212" w:lineRule="exact"/>
        <w:rPr>
          <w:sz w:val="20"/>
          <w:szCs w:val="20"/>
          <w:color w:val="auto"/>
        </w:rPr>
      </w:pPr>
    </w:p>
    <w:p>
      <w:pPr>
        <w:jc w:val="both"/>
        <w:ind w:firstLine="619"/>
        <w:spacing w:after="0" w:line="247" w:lineRule="auto"/>
        <w:rPr>
          <w:sz w:val="20"/>
          <w:szCs w:val="20"/>
          <w:color w:val="auto"/>
        </w:rPr>
      </w:pPr>
      <w:r>
        <w:rPr>
          <w:rFonts w:ascii="Arial" w:cs="Arial" w:eastAsia="Arial" w:hAnsi="Arial"/>
          <w:sz w:val="15"/>
          <w:szCs w:val="15"/>
          <w:color w:val="auto"/>
        </w:rPr>
        <w:t xml:space="preserve">The Company, its now-former Chief Executive Officer, and its former Chief Financial Officer were named as defendants in two class action lawsuits involving similar claims, filed in the United States District Court for the Eastern District of New York on February 10, 2025 (Shing v. ICON plc, et al.) and April 2, 2025 (Police and Fire Retirement System of the City of Detroit v. ICON plc), respectively, alleging that defendants made misleading statements regarding the Company’s financial performance and future business prospects in violation of Sections 10(b) and 20(a) of the Securities Exchange Act of 1934. The two cases have been consolidated and are proceeding under the caption </w:t>
      </w:r>
      <w:r>
        <w:rPr>
          <w:rFonts w:ascii="Arial" w:cs="Arial" w:eastAsia="Arial" w:hAnsi="Arial"/>
          <w:sz w:val="15"/>
          <w:szCs w:val="15"/>
          <w:i w:val="1"/>
          <w:iCs w:val="1"/>
          <w:color w:val="auto"/>
        </w:rPr>
        <w:t>In re ICON plc Securities Litigation</w:t>
      </w:r>
      <w:r>
        <w:rPr>
          <w:rFonts w:ascii="Arial" w:cs="Arial" w:eastAsia="Arial" w:hAnsi="Arial"/>
          <w:sz w:val="15"/>
          <w:szCs w:val="15"/>
          <w:color w:val="auto"/>
        </w:rPr>
        <w:t>, No. 2:25-cv-00763. Lead plaintiffs and lead counsel for the putative class were appointed on June 10, 2025. On September 12, 2025, the lead plaintiffs filed an amended complaint that names the Company’s current Chief Executive Officer in addition to the original defendants. The Company intends to defend the action vigorously and is preparing a motion to dismiss, which is due by November 12, 2025.</w:t>
      </w:r>
    </w:p>
    <w:p>
      <w:pPr>
        <w:spacing w:after="0" w:line="3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Forward-Looking Statements</w:t>
      </w:r>
    </w:p>
    <w:p>
      <w:pPr>
        <w:spacing w:after="0" w:line="242"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5"/>
          <w:szCs w:val="15"/>
          <w:color w:val="auto"/>
        </w:rPr>
        <w:t>Certain statements contained herein are forward looking statements, particularly in the discussion under the caption “Management’s discussion and analysis of financial condition and results of operations”. All statements other than statements of historical fact are forward-looking. Examples of forward-looking statements include, but are not limited to, statements regarding industry prospects, future business, future results of operations or financial condition, our ability to integrate the businesses we have acquired into our existing operations, management strategies and our competitive position. You can identify many forward-looking statements by words such as “may,” “will,” “would,” “should,” “could,” “expects,” “aims,” “anticipates,” “believes,” “estimates,” “intends,” “plans,” “predicts,” “projects,” “seeks,” “potential,” “opportunities” and other similar expressions and the negatives of such expressions. However, not all forward-looking statements contain these words. These statements are based on management's current expectations and information currently available, including current economic and industry conditions. Actual results may differ materially from those stated or implied by forward looking statements due to risks and uncertainties associated with the Company’s business and forward looking statements are not guarantees of future performance. Such risks and uncertainties include, but are not limited to, the potential loss or delay of our large contracts or of multiple contracts, impairment of goodwill and intangible assets may adversely impact future results of operations, dependence on the pharmaceutical industry and certain clients, the need to regularly win projects and then to execute them efficiently and correctly, the challenges presented by rapid growth, competition and the continuing consolidation of the industry, changes in the regulatory environment, exchange rate fluctuations, inflation and rising labor costs, recession, tariffs and other trade restrictions, risks associated with litigation and other proceedings, and other factors, including those factors described in the section entitled "Risk Factors" of our Form 20-F filed on February 21, 2025 (the "Annual Report"). Forward-looking statements speak only as of the date they are made and we do not undertake any obligation to update publicly any forward-looking statement, either as a result of new information, future events or otherwise. Please also refer to the section entitled "Risk Factors" of our Annual Report for a discussion of some of the principal risks that could adversely affect our business, operations and financial results.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73660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42" w:name="page43"/>
    <w:bookmarkEnd w:id="42"/>
    <w:p>
      <w:pPr>
        <w:spacing w:after="0"/>
        <w:rPr>
          <w:sz w:val="20"/>
          <w:szCs w:val="20"/>
          <w:color w:val="auto"/>
        </w:rPr>
      </w:pPr>
      <w:r>
        <w:rPr>
          <w:rFonts w:ascii="Arial" w:cs="Arial" w:eastAsia="Arial" w:hAnsi="Arial"/>
          <w:sz w:val="15"/>
          <w:szCs w:val="15"/>
          <w:b w:val="1"/>
          <w:bCs w:val="1"/>
          <w:color w:val="auto"/>
        </w:rPr>
        <w:t>Exhibits of ICON plc and subsidiaries</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-106680</wp:posOffset>
            </wp:positionV>
            <wp:extent cx="7122160" cy="229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22160" cy="229235"/>
                    </a:xfrm>
                    <a:prstGeom prst="rect">
                      <a:avLst/>
                    </a:prstGeom>
                    <a:noFill/>
                  </pic:spPr>
                </pic:pic>
              </a:graphicData>
            </a:graphic>
          </wp:anchor>
        </w:drawing>
      </w:r>
    </w:p>
    <w:p>
      <w:pPr>
        <w:ind w:left="20"/>
        <w:spacing w:after="0"/>
        <w:tabs>
          <w:tab w:leader="none" w:pos="1900" w:val="left"/>
        </w:tabs>
        <w:rPr>
          <w:sz w:val="20"/>
          <w:szCs w:val="20"/>
          <w:color w:val="auto"/>
        </w:rPr>
      </w:pPr>
      <w:r>
        <w:rPr>
          <w:rFonts w:ascii="Arial" w:cs="Arial" w:eastAsia="Arial" w:hAnsi="Arial"/>
          <w:sz w:val="15"/>
          <w:szCs w:val="15"/>
          <w:b w:val="1"/>
          <w:bCs w:val="1"/>
          <w:color w:val="auto"/>
        </w:rPr>
        <w:t>Number</w:t>
      </w:r>
      <w:r>
        <w:rPr>
          <w:sz w:val="20"/>
          <w:szCs w:val="20"/>
          <w:color w:val="auto"/>
        </w:rPr>
        <w:tab/>
      </w:r>
      <w:r>
        <w:rPr>
          <w:rFonts w:ascii="Arial" w:cs="Arial" w:eastAsia="Arial" w:hAnsi="Arial"/>
          <w:sz w:val="15"/>
          <w:szCs w:val="15"/>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71221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0000FF"/>
                <w:w w:val="96"/>
              </w:rPr>
              <w:t>22.</w:t>
            </w:r>
            <w:r>
              <w:rPr>
                <w:rFonts w:ascii="Arial" w:cs="Arial" w:eastAsia="Arial" w:hAnsi="Arial"/>
                <w:sz w:val="15"/>
                <w:szCs w:val="15"/>
                <w:u w:val="single" w:color="auto"/>
                <w:color w:val="0000FF"/>
                <w:w w:val="96"/>
              </w:rPr>
              <w:t>1*</w:t>
            </w:r>
          </w:p>
        </w:tc>
        <w:tc>
          <w:tcPr>
            <w:tcW w:w="1120" w:type="dxa"/>
            <w:vAlign w:val="bottom"/>
            <w:shd w:val="clear" w:color="auto" w:fill="CCEEFF"/>
          </w:tcPr>
          <w:p>
            <w:pPr>
              <w:spacing w:after="0"/>
              <w:rPr>
                <w:sz w:val="14"/>
                <w:szCs w:val="14"/>
                <w:color w:val="auto"/>
              </w:rPr>
            </w:pPr>
          </w:p>
        </w:tc>
        <w:tc>
          <w:tcPr>
            <w:tcW w:w="9720" w:type="dxa"/>
            <w:vAlign w:val="bottom"/>
            <w:shd w:val="clear" w:color="auto" w:fill="CCEEFF"/>
          </w:tcPr>
          <w:p>
            <w:pPr>
              <w:ind w:left="420"/>
              <w:spacing w:after="0"/>
              <w:rPr>
                <w:sz w:val="20"/>
                <w:szCs w:val="20"/>
                <w:color w:val="auto"/>
              </w:rPr>
            </w:pPr>
            <w:r>
              <w:rPr>
                <w:rFonts w:ascii="Arial" w:cs="Arial" w:eastAsia="Arial" w:hAnsi="Arial"/>
                <w:sz w:val="15"/>
                <w:szCs w:val="15"/>
                <w:color w:val="auto"/>
              </w:rPr>
              <w:t>List of Subsidiary Guarantors and Issuer of Guaranteed Debt Securities and Affiliates Whose Securities Collateralize Securities of</w:t>
            </w:r>
          </w:p>
        </w:tc>
      </w:tr>
      <w:tr>
        <w:trPr>
          <w:trHeight w:val="212"/>
        </w:trPr>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0000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9720" w:type="dxa"/>
            <w:vAlign w:val="bottom"/>
            <w:tcBorders>
              <w:top w:val="single" w:sz="8" w:color="CCEEFF"/>
            </w:tcBorders>
            <w:shd w:val="clear" w:color="auto" w:fill="CCEEFF"/>
          </w:tcPr>
          <w:p>
            <w:pPr>
              <w:ind w:left="420"/>
              <w:spacing w:after="0"/>
              <w:rPr>
                <w:sz w:val="20"/>
                <w:szCs w:val="20"/>
                <w:color w:val="auto"/>
              </w:rPr>
            </w:pPr>
            <w:r>
              <w:rPr>
                <w:rFonts w:ascii="Arial" w:cs="Arial" w:eastAsia="Arial" w:hAnsi="Arial"/>
                <w:sz w:val="15"/>
                <w:szCs w:val="15"/>
                <w:color w:val="auto"/>
              </w:rPr>
              <w:t>ICON Investments Six Designated Activity Company.</w:t>
            </w:r>
          </w:p>
        </w:tc>
      </w:tr>
      <w:tr>
        <w:trPr>
          <w:trHeight w:val="205"/>
        </w:trPr>
        <w:tc>
          <w:tcPr>
            <w:tcW w:w="1500" w:type="dxa"/>
            <w:vAlign w:val="bottom"/>
            <w:gridSpan w:val="3"/>
          </w:tcPr>
          <w:p>
            <w:pPr>
              <w:ind w:left="20"/>
              <w:spacing w:after="0"/>
              <w:rPr>
                <w:sz w:val="20"/>
                <w:szCs w:val="20"/>
                <w:color w:val="auto"/>
              </w:rPr>
            </w:pPr>
            <w:r>
              <w:rPr>
                <w:rFonts w:ascii="Arial" w:cs="Arial" w:eastAsia="Arial" w:hAnsi="Arial"/>
                <w:sz w:val="15"/>
                <w:szCs w:val="15"/>
                <w:color w:val="auto"/>
              </w:rPr>
              <w:t>* Filed herewith</w:t>
            </w:r>
          </w:p>
        </w:tc>
        <w:tc>
          <w:tcPr>
            <w:tcW w:w="97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60" w:right="359" w:bottom="1440" w:gutter="0" w:footer="0" w:header="0"/>
        </w:sectPr>
      </w:pPr>
    </w:p>
    <w:bookmarkStart w:id="43" w:name="page44"/>
    <w:bookmarkEnd w:id="43"/>
    <w:p>
      <w:pPr>
        <w:spacing w:after="0"/>
        <w:rPr>
          <w:sz w:val="20"/>
          <w:szCs w:val="20"/>
          <w:color w:val="auto"/>
        </w:rPr>
      </w:pPr>
      <w:r>
        <w:rPr>
          <w:rFonts w:ascii="Arial" w:cs="Arial" w:eastAsia="Arial" w:hAnsi="Arial"/>
          <w:sz w:val="15"/>
          <w:szCs w:val="15"/>
          <w:b w:val="1"/>
          <w:bCs w:val="1"/>
          <w:color w:val="auto"/>
        </w:rPr>
        <w:t>SIGNATURES</w:t>
      </w:r>
    </w:p>
    <w:p>
      <w:pPr>
        <w:spacing w:after="0" w:line="242" w:lineRule="exact"/>
        <w:rPr>
          <w:sz w:val="20"/>
          <w:szCs w:val="20"/>
          <w:color w:val="auto"/>
        </w:rPr>
      </w:pPr>
    </w:p>
    <w:p>
      <w:pPr>
        <w:ind w:firstLine="206"/>
        <w:spacing w:after="0" w:line="312" w:lineRule="auto"/>
        <w:rPr>
          <w:sz w:val="20"/>
          <w:szCs w:val="20"/>
          <w:color w:val="auto"/>
        </w:rPr>
      </w:pPr>
      <w:r>
        <w:rPr>
          <w:rFonts w:ascii="Arial" w:cs="Arial" w:eastAsia="Arial" w:hAnsi="Arial"/>
          <w:sz w:val="15"/>
          <w:szCs w:val="15"/>
          <w:color w:val="auto"/>
        </w:rPr>
        <w:t>Pursuant to the requirements of the Securities Exchange Act of 1934, the Registrant has duly caused this report to be signed on its behalf by the undersigned, thereunto duly authorized.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5"/>
                <w:szCs w:val="15"/>
                <w:b w:val="1"/>
                <w:bCs w:val="1"/>
                <w:color w:val="auto"/>
              </w:rPr>
              <w:t>ICON plc</w:t>
            </w:r>
          </w:p>
        </w:tc>
        <w:tc>
          <w:tcPr>
            <w:tcW w:w="0" w:type="dxa"/>
            <w:vAlign w:val="bottom"/>
          </w:tcPr>
          <w:p>
            <w:pPr>
              <w:spacing w:after="0"/>
              <w:rPr>
                <w:sz w:val="1"/>
                <w:szCs w:val="1"/>
                <w:color w:val="auto"/>
              </w:rPr>
            </w:pPr>
          </w:p>
        </w:tc>
      </w:tr>
      <w:tr>
        <w:trPr>
          <w:trHeight w:val="651"/>
        </w:trPr>
        <w:tc>
          <w:tcPr>
            <w:tcW w:w="5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520" w:type="dxa"/>
            <w:vAlign w:val="bottom"/>
            <w:gridSpan w:val="2"/>
          </w:tcPr>
          <w:p>
            <w:pPr>
              <w:spacing w:after="0"/>
              <w:rPr>
                <w:sz w:val="20"/>
                <w:szCs w:val="20"/>
                <w:color w:val="auto"/>
              </w:rPr>
            </w:pPr>
            <w:r>
              <w:rPr>
                <w:rFonts w:ascii="Arial" w:cs="Arial" w:eastAsia="Arial" w:hAnsi="Arial"/>
                <w:sz w:val="15"/>
                <w:szCs w:val="15"/>
                <w:color w:val="auto"/>
              </w:rPr>
              <w:t>/s/ Nigel Clerkin</w:t>
            </w:r>
          </w:p>
        </w:tc>
        <w:tc>
          <w:tcPr>
            <w:tcW w:w="0" w:type="dxa"/>
            <w:vAlign w:val="bottom"/>
          </w:tcPr>
          <w:p>
            <w:pPr>
              <w:spacing w:after="0"/>
              <w:rPr>
                <w:sz w:val="1"/>
                <w:szCs w:val="1"/>
                <w:color w:val="auto"/>
              </w:rPr>
            </w:pP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5"/>
                <w:szCs w:val="15"/>
                <w:color w:val="auto"/>
              </w:rPr>
              <w:t>Nigel Clerkin</w:t>
            </w:r>
          </w:p>
        </w:tc>
        <w:tc>
          <w:tcPr>
            <w:tcW w:w="4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ind w:left="20"/>
              <w:spacing w:after="0"/>
              <w:rPr>
                <w:sz w:val="20"/>
                <w:szCs w:val="20"/>
                <w:color w:val="auto"/>
              </w:rPr>
            </w:pPr>
            <w:r>
              <w:rPr>
                <w:rFonts w:ascii="Arial" w:cs="Arial" w:eastAsia="Arial" w:hAnsi="Arial"/>
                <w:sz w:val="15"/>
                <w:szCs w:val="15"/>
                <w:color w:val="auto"/>
              </w:rPr>
              <w:t>Date:</w:t>
            </w:r>
          </w:p>
        </w:tc>
        <w:tc>
          <w:tcPr>
            <w:tcW w:w="3620" w:type="dxa"/>
            <w:vAlign w:val="bottom"/>
          </w:tcPr>
          <w:p>
            <w:pPr>
              <w:ind w:left="140"/>
              <w:spacing w:after="0"/>
              <w:rPr>
                <w:sz w:val="20"/>
                <w:szCs w:val="20"/>
                <w:color w:val="auto"/>
              </w:rPr>
            </w:pPr>
            <w:r>
              <w:rPr>
                <w:rFonts w:ascii="Arial" w:cs="Arial" w:eastAsia="Arial" w:hAnsi="Arial"/>
                <w:sz w:val="15"/>
                <w:szCs w:val="15"/>
                <w:color w:val="auto"/>
              </w:rPr>
              <w:t>October 23, 2025</w:t>
            </w:r>
          </w:p>
        </w:tc>
        <w:tc>
          <w:tcPr>
            <w:tcW w:w="376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4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520" w:type="dxa"/>
            <w:vAlign w:val="bottom"/>
            <w:gridSpan w:val="2"/>
          </w:tcPr>
          <w:p>
            <w:pPr>
              <w:spacing w:after="0"/>
              <w:rPr>
                <w:sz w:val="20"/>
                <w:szCs w:val="20"/>
                <w:color w:val="auto"/>
              </w:rPr>
            </w:pPr>
            <w:r>
              <w:rPr>
                <w:rFonts w:ascii="Arial" w:cs="Arial" w:eastAsia="Arial" w:hAnsi="Arial"/>
                <w:sz w:val="15"/>
                <w:szCs w:val="15"/>
                <w:color w:val="auto"/>
              </w:rPr>
              <w:t>Chief Financial Officer</w:t>
            </w:r>
          </w:p>
        </w:tc>
        <w:tc>
          <w:tcPr>
            <w:tcW w:w="0" w:type="dxa"/>
            <w:vAlign w:val="bottom"/>
          </w:tcPr>
          <w:p>
            <w:pPr>
              <w:spacing w:after="0"/>
              <w:rPr>
                <w:sz w:val="1"/>
                <w:szCs w:val="1"/>
                <w:color w:val="auto"/>
              </w:rPr>
            </w:pPr>
          </w:p>
        </w:tc>
      </w:tr>
      <w:tr>
        <w:trPr>
          <w:trHeight w:val="825"/>
        </w:trPr>
        <w:tc>
          <w:tcPr>
            <w:tcW w:w="5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760" w:type="dxa"/>
            <w:vAlign w:val="bottom"/>
          </w:tcPr>
          <w:p>
            <w:pPr>
              <w:jc w:val="right"/>
              <w:ind w:right="2123"/>
              <w:spacing w:after="0"/>
              <w:rPr>
                <w:sz w:val="20"/>
                <w:szCs w:val="20"/>
                <w:color w:val="auto"/>
              </w:rPr>
            </w:pPr>
            <w:r>
              <w:rPr>
                <w:rFonts w:ascii="Arial" w:cs="Arial" w:eastAsia="Arial" w:hAnsi="Arial"/>
                <w:sz w:val="15"/>
                <w:szCs w:val="15"/>
                <w:color w:val="auto"/>
              </w:rPr>
              <w:t>43</w:t>
            </w: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92"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7"/>
          <w:szCs w:val="17"/>
          <w:b w:val="1"/>
          <w:bCs w:val="1"/>
          <w:color w:val="auto"/>
        </w:rPr>
        <w:t>Exhibit 22.1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SUBSIDIARY GUARANTORS AND ISSUER OF GUARANTEED SECURITIES AND AFFILIATES WHOSE SECURITIES COLLATERALIZE</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OF</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ICON INVESTMENTS SIX DESIGNATED ACTIVITY COMPANY</w:t>
      </w:r>
    </w:p>
    <w:p>
      <w:pPr>
        <w:spacing w:after="0" w:line="226"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7"/>
          <w:szCs w:val="17"/>
          <w:color w:val="auto"/>
        </w:rPr>
        <w:t>The following subsidiaries of ICON plc, (the “Company”) are guarantors of ICON Investments Six Designated Activity Company’s (the “Issuer”) 5.809% Senior Secured Notes due 2027, 5.849% Senior Secured Notes due 2029 and 6.000% Senior Secured Notes due 2034</w:t>
      </w:r>
      <w:r>
        <w:rPr>
          <w:rFonts w:ascii="Times New Roman" w:cs="Times New Roman" w:eastAsia="Times New Roman" w:hAnsi="Times New Roman"/>
          <w:sz w:val="18"/>
          <w:szCs w:val="18"/>
          <w:color w:val="auto"/>
        </w:rPr>
        <w: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STATE OR OTHER JURISDICTION</w:t>
            </w:r>
          </w:p>
        </w:tc>
        <w:tc>
          <w:tcPr>
            <w:tcW w:w="0" w:type="dxa"/>
            <w:vAlign w:val="bottom"/>
          </w:tcPr>
          <w:p>
            <w:pPr>
              <w:spacing w:after="0"/>
              <w:rPr>
                <w:sz w:val="1"/>
                <w:szCs w:val="1"/>
                <w:color w:val="auto"/>
              </w:rPr>
            </w:pPr>
          </w:p>
        </w:tc>
      </w:tr>
      <w:tr>
        <w:trPr>
          <w:trHeight w:val="168"/>
        </w:trPr>
        <w:tc>
          <w:tcPr>
            <w:tcW w:w="8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NAME OF SUBSIDIARY</w:t>
            </w:r>
          </w:p>
        </w:tc>
        <w:tc>
          <w:tcPr>
            <w:tcW w:w="2980" w:type="dxa"/>
            <w:vAlign w:val="bottom"/>
          </w:tcPr>
          <w:p>
            <w:pPr>
              <w:jc w:val="center"/>
              <w:spacing w:after="0" w:line="167" w:lineRule="exact"/>
              <w:rPr>
                <w:sz w:val="20"/>
                <w:szCs w:val="20"/>
                <w:color w:val="auto"/>
              </w:rPr>
            </w:pPr>
            <w:r>
              <w:rPr>
                <w:rFonts w:ascii="Times New Roman" w:cs="Times New Roman" w:eastAsia="Times New Roman" w:hAnsi="Times New Roman"/>
                <w:sz w:val="17"/>
                <w:szCs w:val="17"/>
                <w:b w:val="1"/>
                <w:bCs w:val="1"/>
                <w:color w:val="auto"/>
              </w:rPr>
              <w:t>OF INCORPORATION OR</w:t>
            </w:r>
          </w:p>
        </w:tc>
        <w:tc>
          <w:tcPr>
            <w:tcW w:w="0" w:type="dxa"/>
            <w:vAlign w:val="bottom"/>
          </w:tcPr>
          <w:p>
            <w:pPr>
              <w:spacing w:after="0"/>
              <w:rPr>
                <w:sz w:val="1"/>
                <w:szCs w:val="1"/>
                <w:color w:val="auto"/>
              </w:rPr>
            </w:pPr>
          </w:p>
        </w:tc>
      </w:tr>
      <w:tr>
        <w:trPr>
          <w:trHeight w:val="232"/>
        </w:trPr>
        <w:tc>
          <w:tcPr>
            <w:tcW w:w="8260" w:type="dxa"/>
            <w:vAlign w:val="bottom"/>
            <w:gridSpan w:val="2"/>
            <w:vMerge w:val="continue"/>
          </w:tcPr>
          <w:p>
            <w:pPr>
              <w:spacing w:after="0"/>
              <w:rPr>
                <w:sz w:val="20"/>
                <w:szCs w:val="20"/>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ORGANIZATION</w:t>
            </w:r>
          </w:p>
        </w:tc>
        <w:tc>
          <w:tcPr>
            <w:tcW w:w="0" w:type="dxa"/>
            <w:vAlign w:val="bottom"/>
          </w:tcPr>
          <w:p>
            <w:pPr>
              <w:spacing w:after="0"/>
              <w:rPr>
                <w:sz w:val="1"/>
                <w:szCs w:val="1"/>
                <w:color w:val="auto"/>
              </w:rPr>
            </w:pPr>
          </w:p>
        </w:tc>
      </w:tr>
      <w:tr>
        <w:trPr>
          <w:trHeight w:val="209"/>
        </w:trPr>
        <w:tc>
          <w:tcPr>
            <w:tcW w:w="69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ICON Global Treasury Unlimited Company</w:t>
            </w:r>
          </w:p>
        </w:tc>
        <w:tc>
          <w:tcPr>
            <w:tcW w:w="1320" w:type="dxa"/>
            <w:vAlign w:val="bottom"/>
          </w:tcPr>
          <w:p>
            <w:pPr>
              <w:spacing w:after="0"/>
              <w:rPr>
                <w:sz w:val="18"/>
                <w:szCs w:val="18"/>
                <w:color w:val="auto"/>
              </w:rPr>
            </w:pPr>
          </w:p>
        </w:tc>
        <w:tc>
          <w:tcPr>
            <w:tcW w:w="29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Ireland</w:t>
            </w:r>
          </w:p>
        </w:tc>
        <w:tc>
          <w:tcPr>
            <w:tcW w:w="0" w:type="dxa"/>
            <w:vAlign w:val="bottom"/>
          </w:tcPr>
          <w:p>
            <w:pPr>
              <w:spacing w:after="0"/>
              <w:rPr>
                <w:sz w:val="1"/>
                <w:szCs w:val="1"/>
                <w:color w:val="auto"/>
              </w:rPr>
            </w:pPr>
          </w:p>
        </w:tc>
      </w:tr>
      <w:tr>
        <w:trPr>
          <w:trHeight w:val="21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ICON Clinical Research Limited</w:t>
            </w:r>
          </w:p>
        </w:tc>
        <w:tc>
          <w:tcPr>
            <w:tcW w:w="2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Ireland</w:t>
            </w:r>
          </w:p>
        </w:tc>
        <w:tc>
          <w:tcPr>
            <w:tcW w:w="0" w:type="dxa"/>
            <w:vAlign w:val="bottom"/>
          </w:tcPr>
          <w:p>
            <w:pPr>
              <w:spacing w:after="0"/>
              <w:rPr>
                <w:sz w:val="1"/>
                <w:szCs w:val="1"/>
                <w:color w:val="auto"/>
              </w:rPr>
            </w:pPr>
          </w:p>
        </w:tc>
      </w:tr>
      <w:tr>
        <w:trPr>
          <w:trHeight w:val="21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ICON Holdings Unlimited Company</w:t>
            </w:r>
          </w:p>
        </w:tc>
        <w:tc>
          <w:tcPr>
            <w:tcW w:w="2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Ireland</w:t>
            </w:r>
          </w:p>
        </w:tc>
        <w:tc>
          <w:tcPr>
            <w:tcW w:w="0" w:type="dxa"/>
            <w:vAlign w:val="bottom"/>
          </w:tcPr>
          <w:p>
            <w:pPr>
              <w:spacing w:after="0"/>
              <w:rPr>
                <w:sz w:val="1"/>
                <w:szCs w:val="1"/>
                <w:color w:val="auto"/>
              </w:rPr>
            </w:pPr>
          </w:p>
        </w:tc>
      </w:tr>
      <w:tr>
        <w:trPr>
          <w:trHeight w:val="21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ICON Clinical Research Property Development (Ireland) Limited</w:t>
            </w:r>
          </w:p>
        </w:tc>
        <w:tc>
          <w:tcPr>
            <w:tcW w:w="2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Ireland</w:t>
            </w:r>
          </w:p>
        </w:tc>
        <w:tc>
          <w:tcPr>
            <w:tcW w:w="0" w:type="dxa"/>
            <w:vAlign w:val="bottom"/>
          </w:tcPr>
          <w:p>
            <w:pPr>
              <w:spacing w:after="0"/>
              <w:rPr>
                <w:sz w:val="1"/>
                <w:szCs w:val="1"/>
                <w:color w:val="auto"/>
              </w:rPr>
            </w:pPr>
          </w:p>
        </w:tc>
      </w:tr>
      <w:tr>
        <w:trPr>
          <w:trHeight w:val="21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Accellacare Limited</w:t>
            </w:r>
          </w:p>
        </w:tc>
        <w:tc>
          <w:tcPr>
            <w:tcW w:w="2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Ireland</w:t>
            </w:r>
          </w:p>
        </w:tc>
        <w:tc>
          <w:tcPr>
            <w:tcW w:w="0" w:type="dxa"/>
            <w:vAlign w:val="bottom"/>
          </w:tcPr>
          <w:p>
            <w:pPr>
              <w:spacing w:after="0"/>
              <w:rPr>
                <w:sz w:val="1"/>
                <w:szCs w:val="1"/>
                <w:color w:val="auto"/>
              </w:rPr>
            </w:pPr>
          </w:p>
        </w:tc>
      </w:tr>
      <w:tr>
        <w:trPr>
          <w:trHeight w:val="21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ICON Operational Holdings Unlimited Company</w:t>
            </w:r>
          </w:p>
        </w:tc>
        <w:tc>
          <w:tcPr>
            <w:tcW w:w="2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Ireland</w:t>
            </w:r>
          </w:p>
        </w:tc>
        <w:tc>
          <w:tcPr>
            <w:tcW w:w="0" w:type="dxa"/>
            <w:vAlign w:val="bottom"/>
          </w:tcPr>
          <w:p>
            <w:pPr>
              <w:spacing w:after="0"/>
              <w:rPr>
                <w:sz w:val="1"/>
                <w:szCs w:val="1"/>
                <w:color w:val="auto"/>
              </w:rPr>
            </w:pPr>
          </w:p>
        </w:tc>
      </w:tr>
      <w:tr>
        <w:trPr>
          <w:trHeight w:val="21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ICON Operational Financing Unlimited Company</w:t>
            </w:r>
          </w:p>
        </w:tc>
        <w:tc>
          <w:tcPr>
            <w:tcW w:w="2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Ireland</w:t>
            </w:r>
          </w:p>
        </w:tc>
        <w:tc>
          <w:tcPr>
            <w:tcW w:w="0" w:type="dxa"/>
            <w:vAlign w:val="bottom"/>
          </w:tcPr>
          <w:p>
            <w:pPr>
              <w:spacing w:after="0"/>
              <w:rPr>
                <w:sz w:val="1"/>
                <w:szCs w:val="1"/>
                <w:color w:val="auto"/>
              </w:rPr>
            </w:pPr>
          </w:p>
        </w:tc>
      </w:tr>
      <w:tr>
        <w:trPr>
          <w:trHeight w:val="21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ICON Clinical Global Holdings Unlimited Company</w:t>
            </w:r>
          </w:p>
        </w:tc>
        <w:tc>
          <w:tcPr>
            <w:tcW w:w="2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Ireland</w:t>
            </w:r>
          </w:p>
        </w:tc>
        <w:tc>
          <w:tcPr>
            <w:tcW w:w="0" w:type="dxa"/>
            <w:vAlign w:val="bottom"/>
          </w:tcPr>
          <w:p>
            <w:pPr>
              <w:spacing w:after="0"/>
              <w:rPr>
                <w:sz w:val="1"/>
                <w:szCs w:val="1"/>
                <w:color w:val="auto"/>
              </w:rPr>
            </w:pPr>
          </w:p>
        </w:tc>
      </w:tr>
      <w:tr>
        <w:trPr>
          <w:trHeight w:val="21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ICON Clinical Research Holdings (Ireland) Unlimited Company</w:t>
            </w:r>
          </w:p>
        </w:tc>
        <w:tc>
          <w:tcPr>
            <w:tcW w:w="2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Ireland</w:t>
            </w:r>
          </w:p>
        </w:tc>
        <w:tc>
          <w:tcPr>
            <w:tcW w:w="0" w:type="dxa"/>
            <w:vAlign w:val="bottom"/>
          </w:tcPr>
          <w:p>
            <w:pPr>
              <w:spacing w:after="0"/>
              <w:rPr>
                <w:sz w:val="1"/>
                <w:szCs w:val="1"/>
                <w:color w:val="auto"/>
              </w:rPr>
            </w:pPr>
          </w:p>
        </w:tc>
      </w:tr>
      <w:tr>
        <w:trPr>
          <w:trHeight w:val="21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ICON Luxembourg S.à r.l.</w:t>
            </w:r>
          </w:p>
        </w:tc>
        <w:tc>
          <w:tcPr>
            <w:tcW w:w="2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Luxembourg</w:t>
            </w:r>
          </w:p>
        </w:tc>
        <w:tc>
          <w:tcPr>
            <w:tcW w:w="0" w:type="dxa"/>
            <w:vAlign w:val="bottom"/>
          </w:tcPr>
          <w:p>
            <w:pPr>
              <w:spacing w:after="0"/>
              <w:rPr>
                <w:sz w:val="1"/>
                <w:szCs w:val="1"/>
                <w:color w:val="auto"/>
              </w:rPr>
            </w:pPr>
          </w:p>
        </w:tc>
      </w:tr>
      <w:tr>
        <w:trPr>
          <w:trHeight w:val="21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ICON Early Phase Services, LLC</w:t>
            </w:r>
          </w:p>
        </w:tc>
        <w:tc>
          <w:tcPr>
            <w:tcW w:w="2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Texas</w:t>
            </w:r>
          </w:p>
        </w:tc>
        <w:tc>
          <w:tcPr>
            <w:tcW w:w="0" w:type="dxa"/>
            <w:vAlign w:val="bottom"/>
          </w:tcPr>
          <w:p>
            <w:pPr>
              <w:spacing w:after="0"/>
              <w:rPr>
                <w:sz w:val="1"/>
                <w:szCs w:val="1"/>
                <w:color w:val="auto"/>
              </w:rPr>
            </w:pPr>
          </w:p>
        </w:tc>
      </w:tr>
      <w:tr>
        <w:trPr>
          <w:trHeight w:val="21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Beacon Bioscience, Inc.</w:t>
            </w:r>
          </w:p>
        </w:tc>
        <w:tc>
          <w:tcPr>
            <w:tcW w:w="2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ICON Clinical Research LLC</w:t>
            </w:r>
          </w:p>
        </w:tc>
        <w:tc>
          <w:tcPr>
            <w:tcW w:w="2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ICON Laboratory Services, Inc.</w:t>
            </w:r>
          </w:p>
        </w:tc>
        <w:tc>
          <w:tcPr>
            <w:tcW w:w="2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MolecularMD Corp.</w:t>
            </w:r>
          </w:p>
        </w:tc>
        <w:tc>
          <w:tcPr>
            <w:tcW w:w="2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ICON US Holdings Inc.</w:t>
            </w:r>
          </w:p>
        </w:tc>
        <w:tc>
          <w:tcPr>
            <w:tcW w:w="2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PriceSpective LLC</w:t>
            </w:r>
          </w:p>
        </w:tc>
        <w:tc>
          <w:tcPr>
            <w:tcW w:w="2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DOCS Global, Inc.</w:t>
            </w:r>
          </w:p>
        </w:tc>
        <w:tc>
          <w:tcPr>
            <w:tcW w:w="2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New Jersey</w:t>
            </w:r>
          </w:p>
        </w:tc>
        <w:tc>
          <w:tcPr>
            <w:tcW w:w="0" w:type="dxa"/>
            <w:vAlign w:val="bottom"/>
          </w:tcPr>
          <w:p>
            <w:pPr>
              <w:spacing w:after="0"/>
              <w:rPr>
                <w:sz w:val="1"/>
                <w:szCs w:val="1"/>
                <w:color w:val="auto"/>
              </w:rPr>
            </w:pPr>
          </w:p>
        </w:tc>
      </w:tr>
      <w:tr>
        <w:trPr>
          <w:trHeight w:val="21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Accellacare US Inc.</w:t>
            </w:r>
          </w:p>
        </w:tc>
        <w:tc>
          <w:tcPr>
            <w:tcW w:w="2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North Carolina</w:t>
            </w:r>
          </w:p>
        </w:tc>
        <w:tc>
          <w:tcPr>
            <w:tcW w:w="0" w:type="dxa"/>
            <w:vAlign w:val="bottom"/>
          </w:tcPr>
          <w:p>
            <w:pPr>
              <w:spacing w:after="0"/>
              <w:rPr>
                <w:sz w:val="1"/>
                <w:szCs w:val="1"/>
                <w:color w:val="auto"/>
              </w:rPr>
            </w:pPr>
          </w:p>
        </w:tc>
      </w:tr>
      <w:tr>
        <w:trPr>
          <w:trHeight w:val="21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Clinical Resource Network, LLC</w:t>
            </w:r>
          </w:p>
        </w:tc>
        <w:tc>
          <w:tcPr>
            <w:tcW w:w="2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Illinois</w:t>
            </w:r>
          </w:p>
        </w:tc>
        <w:tc>
          <w:tcPr>
            <w:tcW w:w="0" w:type="dxa"/>
            <w:vAlign w:val="bottom"/>
          </w:tcPr>
          <w:p>
            <w:pPr>
              <w:spacing w:after="0"/>
              <w:rPr>
                <w:sz w:val="1"/>
                <w:szCs w:val="1"/>
                <w:color w:val="auto"/>
              </w:rPr>
            </w:pPr>
          </w:p>
        </w:tc>
      </w:tr>
      <w:tr>
        <w:trPr>
          <w:trHeight w:val="21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ICON Clinical Investments LLC</w:t>
            </w:r>
          </w:p>
        </w:tc>
        <w:tc>
          <w:tcPr>
            <w:tcW w:w="2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PRA Health Sciences, Inc.</w:t>
            </w:r>
          </w:p>
        </w:tc>
        <w:tc>
          <w:tcPr>
            <w:tcW w:w="2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ReSearch Pharmaceutical Services, Inc.</w:t>
            </w:r>
          </w:p>
        </w:tc>
        <w:tc>
          <w:tcPr>
            <w:tcW w:w="2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Source Healthcare Analytics, LLC</w:t>
            </w:r>
          </w:p>
        </w:tc>
        <w:tc>
          <w:tcPr>
            <w:tcW w:w="2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Symphony Health Solutions Corporation</w:t>
            </w:r>
          </w:p>
        </w:tc>
        <w:tc>
          <w:tcPr>
            <w:tcW w:w="2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Pharmaceutical Research Associates, Inc.</w:t>
            </w:r>
          </w:p>
        </w:tc>
        <w:tc>
          <w:tcPr>
            <w:tcW w:w="2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Virginia</w:t>
            </w:r>
          </w:p>
        </w:tc>
        <w:tc>
          <w:tcPr>
            <w:tcW w:w="0" w:type="dxa"/>
            <w:vAlign w:val="bottom"/>
          </w:tcPr>
          <w:p>
            <w:pPr>
              <w:spacing w:after="0"/>
              <w:rPr>
                <w:sz w:val="1"/>
                <w:szCs w:val="1"/>
                <w:color w:val="auto"/>
              </w:rPr>
            </w:pPr>
          </w:p>
        </w:tc>
      </w:tr>
      <w:tr>
        <w:trPr>
          <w:trHeight w:val="21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PRA Holdings, Inc.</w:t>
            </w:r>
          </w:p>
        </w:tc>
        <w:tc>
          <w:tcPr>
            <w:tcW w:w="2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PRA International, LLC</w:t>
            </w:r>
          </w:p>
        </w:tc>
        <w:tc>
          <w:tcPr>
            <w:tcW w:w="2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RPS Global Holdings, LLC</w:t>
            </w:r>
          </w:p>
        </w:tc>
        <w:tc>
          <w:tcPr>
            <w:tcW w:w="2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RPS Parent Holding LLC</w:t>
            </w:r>
          </w:p>
        </w:tc>
        <w:tc>
          <w:tcPr>
            <w:tcW w:w="2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Roy RPS Holdings LLC</w:t>
            </w:r>
          </w:p>
        </w:tc>
        <w:tc>
          <w:tcPr>
            <w:tcW w:w="2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3"/>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CRN Holdings, LLC</w:t>
            </w:r>
          </w:p>
        </w:tc>
        <w:tc>
          <w:tcPr>
            <w:tcW w:w="2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1240"/>
          </w:cols>
          <w:pgMar w:left="320" w:top="119" w:right="339" w:bottom="1440" w:gutter="0" w:footer="0" w:header="0"/>
        </w:sectPr>
      </w:pPr>
    </w:p>
    <w:bookmarkStart w:id="45" w:name="page46"/>
    <w:bookmarkEnd w:id="45"/>
    <w:p>
      <w:pPr>
        <w:ind w:right="500"/>
        <w:spacing w:after="0" w:line="287" w:lineRule="auto"/>
        <w:rPr>
          <w:sz w:val="20"/>
          <w:szCs w:val="20"/>
          <w:color w:val="auto"/>
        </w:rPr>
      </w:pPr>
      <w:r>
        <w:rPr>
          <w:rFonts w:ascii="Times New Roman" w:cs="Times New Roman" w:eastAsia="Times New Roman" w:hAnsi="Times New Roman"/>
          <w:sz w:val="17"/>
          <w:szCs w:val="17"/>
          <w:color w:val="auto"/>
        </w:rPr>
        <w:t>All issued and outstanding equity securities of the following subsidiaries of the Company, subject to the limitations set forth below, collateralize the Issuer’s 5.809% Senior Secured Notes due 2027, 5.849% Senior Secured Notes due 2029 and 6.000% Senior Secured Notes due 2034:</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NAME (STATE OR OTHER JURISDICTION OF</w:t>
            </w:r>
          </w:p>
        </w:tc>
        <w:tc>
          <w:tcPr>
            <w:tcW w:w="4780" w:type="dxa"/>
            <w:vAlign w:val="bottom"/>
            <w:gridSpan w:val="2"/>
            <w:vMerge w:val="restart"/>
          </w:tcPr>
          <w:p>
            <w:pPr>
              <w:ind w:left="1920"/>
              <w:spacing w:after="0"/>
              <w:rPr>
                <w:sz w:val="20"/>
                <w:szCs w:val="20"/>
                <w:color w:val="auto"/>
              </w:rPr>
            </w:pPr>
            <w:r>
              <w:rPr>
                <w:rFonts w:ascii="Times New Roman" w:cs="Times New Roman" w:eastAsia="Times New Roman" w:hAnsi="Times New Roman"/>
                <w:sz w:val="17"/>
                <w:szCs w:val="17"/>
                <w:b w:val="1"/>
                <w:bCs w:val="1"/>
                <w:color w:val="auto"/>
              </w:rPr>
              <w:t>OWNER</w:t>
            </w:r>
          </w:p>
        </w:tc>
        <w:tc>
          <w:tcPr>
            <w:tcW w:w="150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PERCENT</w:t>
            </w:r>
          </w:p>
        </w:tc>
        <w:tc>
          <w:tcPr>
            <w:tcW w:w="0" w:type="dxa"/>
            <w:vAlign w:val="bottom"/>
          </w:tcPr>
          <w:p>
            <w:pPr>
              <w:spacing w:after="0"/>
              <w:rPr>
                <w:sz w:val="1"/>
                <w:szCs w:val="1"/>
                <w:color w:val="auto"/>
              </w:rPr>
            </w:pPr>
          </w:p>
        </w:tc>
      </w:tr>
      <w:tr>
        <w:trPr>
          <w:trHeight w:val="232"/>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INCORPORATION OR ORGANIZATION)</w:t>
            </w:r>
          </w:p>
        </w:tc>
        <w:tc>
          <w:tcPr>
            <w:tcW w:w="4780" w:type="dxa"/>
            <w:vAlign w:val="bottom"/>
            <w:gridSpan w:val="2"/>
            <w:vMerge w:val="continue"/>
          </w:tcPr>
          <w:p>
            <w:pPr>
              <w:spacing w:after="0"/>
              <w:rPr>
                <w:sz w:val="20"/>
                <w:szCs w:val="20"/>
                <w:color w:val="auto"/>
              </w:rPr>
            </w:pPr>
          </w:p>
        </w:tc>
        <w:tc>
          <w:tcPr>
            <w:tcW w:w="150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PLEDGED</w:t>
            </w:r>
          </w:p>
        </w:tc>
        <w:tc>
          <w:tcPr>
            <w:tcW w:w="0" w:type="dxa"/>
            <w:vAlign w:val="bottom"/>
          </w:tcPr>
          <w:p>
            <w:pPr>
              <w:spacing w:after="0"/>
              <w:rPr>
                <w:sz w:val="1"/>
                <w:szCs w:val="1"/>
                <w:color w:val="auto"/>
              </w:rPr>
            </w:pPr>
          </w:p>
        </w:tc>
      </w:tr>
      <w:tr>
        <w:trPr>
          <w:trHeight w:val="209"/>
        </w:trPr>
        <w:tc>
          <w:tcPr>
            <w:tcW w:w="44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ICON Investments Six Designated Activity Company (Ireland)</w:t>
            </w:r>
          </w:p>
        </w:tc>
        <w:tc>
          <w:tcPr>
            <w:tcW w:w="480" w:type="dxa"/>
            <w:vAlign w:val="bottom"/>
          </w:tcPr>
          <w:p>
            <w:pPr>
              <w:spacing w:after="0"/>
              <w:rPr>
                <w:sz w:val="18"/>
                <w:szCs w:val="18"/>
                <w:color w:val="auto"/>
              </w:rPr>
            </w:pPr>
          </w:p>
        </w:tc>
        <w:tc>
          <w:tcPr>
            <w:tcW w:w="45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ICON plc</w:t>
            </w:r>
          </w:p>
        </w:tc>
        <w:tc>
          <w:tcPr>
            <w:tcW w:w="280" w:type="dxa"/>
            <w:vAlign w:val="bottom"/>
          </w:tcPr>
          <w:p>
            <w:pPr>
              <w:spacing w:after="0"/>
              <w:rPr>
                <w:sz w:val="18"/>
                <w:szCs w:val="18"/>
                <w:color w:val="auto"/>
              </w:rPr>
            </w:pPr>
          </w:p>
        </w:tc>
        <w:tc>
          <w:tcPr>
            <w:tcW w:w="1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19"/>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ICON Clinical Research Limited (Ireland)</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ICON Operational Holdings Unlimited Company</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19"/>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ICON Holdings Unlimited Company (Ireland)</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ICON Operational Financing Unlimited Company</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19"/>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ICON Operational Holdings Unlimited Company (Ireland)</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ICON Operational Financing Unlimited Company</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36"/>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ICON Operational Financing Unlimited Company (Ireland)</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ICON Clinical Global Holdings Unlimited Company</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41"/>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ICON Clinical Global Holdings Unlimited Company (Ireland)</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ICON plc</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171"/>
        </w:trPr>
        <w:tc>
          <w:tcPr>
            <w:tcW w:w="4960" w:type="dxa"/>
            <w:vAlign w:val="bottom"/>
            <w:gridSpan w:val="2"/>
          </w:tcPr>
          <w:p>
            <w:pPr>
              <w:ind w:left="60"/>
              <w:spacing w:after="0" w:line="172" w:lineRule="exact"/>
              <w:rPr>
                <w:sz w:val="20"/>
                <w:szCs w:val="20"/>
                <w:color w:val="auto"/>
              </w:rPr>
            </w:pPr>
            <w:r>
              <w:rPr>
                <w:rFonts w:ascii="Times New Roman" w:cs="Times New Roman" w:eastAsia="Times New Roman" w:hAnsi="Times New Roman"/>
                <w:sz w:val="17"/>
                <w:szCs w:val="17"/>
                <w:color w:val="auto"/>
              </w:rPr>
              <w:t>ICON Clinical Research Property Holdings (Ireland) Limited</w:t>
            </w:r>
          </w:p>
        </w:tc>
        <w:tc>
          <w:tcPr>
            <w:tcW w:w="4780" w:type="dxa"/>
            <w:vAlign w:val="bottom"/>
            <w:gridSpan w:val="2"/>
          </w:tcPr>
          <w:p>
            <w:pPr>
              <w:ind w:left="80"/>
              <w:spacing w:after="0" w:line="172" w:lineRule="exact"/>
              <w:rPr>
                <w:sz w:val="20"/>
                <w:szCs w:val="20"/>
                <w:color w:val="auto"/>
              </w:rPr>
            </w:pPr>
            <w:r>
              <w:rPr>
                <w:rFonts w:ascii="Times New Roman" w:cs="Times New Roman" w:eastAsia="Times New Roman" w:hAnsi="Times New Roman"/>
                <w:sz w:val="17"/>
                <w:szCs w:val="17"/>
                <w:color w:val="auto"/>
              </w:rPr>
              <w:t>ICON plc</w:t>
            </w:r>
          </w:p>
        </w:tc>
        <w:tc>
          <w:tcPr>
            <w:tcW w:w="1500" w:type="dxa"/>
            <w:vAlign w:val="bottom"/>
          </w:tcPr>
          <w:p>
            <w:pPr>
              <w:jc w:val="center"/>
              <w:spacing w:after="0" w:line="172" w:lineRule="exact"/>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3"/>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(Ireland)</w:t>
            </w:r>
          </w:p>
        </w:tc>
        <w:tc>
          <w:tcPr>
            <w:tcW w:w="4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ICON (LR) Limited (Ireland)</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ICON Clinical Research Limited</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171"/>
        </w:trPr>
        <w:tc>
          <w:tcPr>
            <w:tcW w:w="4960" w:type="dxa"/>
            <w:vAlign w:val="bottom"/>
            <w:gridSpan w:val="2"/>
          </w:tcPr>
          <w:p>
            <w:pPr>
              <w:ind w:left="60"/>
              <w:spacing w:after="0" w:line="172" w:lineRule="exact"/>
              <w:rPr>
                <w:sz w:val="20"/>
                <w:szCs w:val="20"/>
                <w:color w:val="auto"/>
              </w:rPr>
            </w:pPr>
            <w:r>
              <w:rPr>
                <w:rFonts w:ascii="Times New Roman" w:cs="Times New Roman" w:eastAsia="Times New Roman" w:hAnsi="Times New Roman"/>
                <w:sz w:val="17"/>
                <w:szCs w:val="17"/>
                <w:color w:val="auto"/>
              </w:rPr>
              <w:t>ICON Holdings Clinical Research International Limited</w:t>
            </w:r>
          </w:p>
        </w:tc>
        <w:tc>
          <w:tcPr>
            <w:tcW w:w="4780" w:type="dxa"/>
            <w:vAlign w:val="bottom"/>
            <w:gridSpan w:val="2"/>
          </w:tcPr>
          <w:p>
            <w:pPr>
              <w:ind w:left="80"/>
              <w:spacing w:after="0" w:line="172" w:lineRule="exact"/>
              <w:rPr>
                <w:sz w:val="20"/>
                <w:szCs w:val="20"/>
                <w:color w:val="auto"/>
              </w:rPr>
            </w:pPr>
            <w:r>
              <w:rPr>
                <w:rFonts w:ascii="Times New Roman" w:cs="Times New Roman" w:eastAsia="Times New Roman" w:hAnsi="Times New Roman"/>
                <w:sz w:val="17"/>
                <w:szCs w:val="17"/>
                <w:color w:val="auto"/>
              </w:rPr>
              <w:t>ICON Holdings Unlimited Company</w:t>
            </w:r>
          </w:p>
        </w:tc>
        <w:tc>
          <w:tcPr>
            <w:tcW w:w="1500" w:type="dxa"/>
            <w:vAlign w:val="bottom"/>
          </w:tcPr>
          <w:p>
            <w:pPr>
              <w:jc w:val="center"/>
              <w:spacing w:after="0" w:line="172" w:lineRule="exact"/>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3"/>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(Ireland)</w:t>
            </w:r>
          </w:p>
        </w:tc>
        <w:tc>
          <w:tcPr>
            <w:tcW w:w="4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Accellacare Limited (Ireland)</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ICON Holdings Unlimited Company</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19"/>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ICON Global Treasury Unlimited Company (Ireland)</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ICON Clinical Research Limited</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19"/>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ICON Global Treasury Unlimited Company (Ireland)</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ICON plc</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19"/>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ICON Luxembourg S.à r.l. (Luxembourg)</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ICON Clinical Research Limited</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171"/>
        </w:trPr>
        <w:tc>
          <w:tcPr>
            <w:tcW w:w="4960" w:type="dxa"/>
            <w:vAlign w:val="bottom"/>
            <w:gridSpan w:val="2"/>
          </w:tcPr>
          <w:p>
            <w:pPr>
              <w:ind w:left="60"/>
              <w:spacing w:after="0" w:line="172" w:lineRule="exact"/>
              <w:rPr>
                <w:sz w:val="20"/>
                <w:szCs w:val="20"/>
                <w:color w:val="auto"/>
              </w:rPr>
            </w:pPr>
            <w:r>
              <w:rPr>
                <w:rFonts w:ascii="Times New Roman" w:cs="Times New Roman" w:eastAsia="Times New Roman" w:hAnsi="Times New Roman"/>
                <w:sz w:val="17"/>
                <w:szCs w:val="17"/>
                <w:color w:val="auto"/>
              </w:rPr>
              <w:t>ICON Early Phase Services, LLC (f/k/a Healthcare</w:t>
            </w:r>
          </w:p>
        </w:tc>
        <w:tc>
          <w:tcPr>
            <w:tcW w:w="4780" w:type="dxa"/>
            <w:vAlign w:val="bottom"/>
            <w:gridSpan w:val="2"/>
          </w:tcPr>
          <w:p>
            <w:pPr>
              <w:ind w:left="80"/>
              <w:spacing w:after="0" w:line="172" w:lineRule="exact"/>
              <w:rPr>
                <w:sz w:val="20"/>
                <w:szCs w:val="20"/>
                <w:color w:val="auto"/>
              </w:rPr>
            </w:pPr>
            <w:r>
              <w:rPr>
                <w:rFonts w:ascii="Times New Roman" w:cs="Times New Roman" w:eastAsia="Times New Roman" w:hAnsi="Times New Roman"/>
                <w:sz w:val="17"/>
                <w:szCs w:val="17"/>
                <w:color w:val="auto"/>
              </w:rPr>
              <w:t>ICON Clinical Research LLC</w:t>
            </w:r>
          </w:p>
        </w:tc>
        <w:tc>
          <w:tcPr>
            <w:tcW w:w="1500" w:type="dxa"/>
            <w:vAlign w:val="bottom"/>
          </w:tcPr>
          <w:p>
            <w:pPr>
              <w:jc w:val="center"/>
              <w:spacing w:after="0" w:line="172" w:lineRule="exact"/>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3"/>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Discoveries, LLC) (Texas)</w:t>
            </w:r>
          </w:p>
        </w:tc>
        <w:tc>
          <w:tcPr>
            <w:tcW w:w="4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Beacon Bioscience, Inc. (Delaware)</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ICON Clinical Research LLC</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19"/>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ICON Clinical Research LLC (Delaware)</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ICON US Holdings Inc.</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171"/>
        </w:trPr>
        <w:tc>
          <w:tcPr>
            <w:tcW w:w="4960" w:type="dxa"/>
            <w:vAlign w:val="bottom"/>
            <w:gridSpan w:val="2"/>
          </w:tcPr>
          <w:p>
            <w:pPr>
              <w:ind w:left="60"/>
              <w:spacing w:after="0" w:line="172" w:lineRule="exact"/>
              <w:rPr>
                <w:sz w:val="20"/>
                <w:szCs w:val="20"/>
                <w:color w:val="auto"/>
              </w:rPr>
            </w:pPr>
            <w:r>
              <w:rPr>
                <w:rFonts w:ascii="Times New Roman" w:cs="Times New Roman" w:eastAsia="Times New Roman" w:hAnsi="Times New Roman"/>
                <w:sz w:val="17"/>
                <w:szCs w:val="17"/>
                <w:color w:val="auto"/>
              </w:rPr>
              <w:t>ICON Laboratory Services, Inc. (f/k/a ICON Central</w:t>
            </w:r>
          </w:p>
        </w:tc>
        <w:tc>
          <w:tcPr>
            <w:tcW w:w="4780" w:type="dxa"/>
            <w:vAlign w:val="bottom"/>
            <w:gridSpan w:val="2"/>
          </w:tcPr>
          <w:p>
            <w:pPr>
              <w:ind w:left="80"/>
              <w:spacing w:after="0" w:line="172" w:lineRule="exact"/>
              <w:rPr>
                <w:sz w:val="20"/>
                <w:szCs w:val="20"/>
                <w:color w:val="auto"/>
              </w:rPr>
            </w:pPr>
            <w:r>
              <w:rPr>
                <w:rFonts w:ascii="Times New Roman" w:cs="Times New Roman" w:eastAsia="Times New Roman" w:hAnsi="Times New Roman"/>
                <w:sz w:val="17"/>
                <w:szCs w:val="17"/>
                <w:color w:val="auto"/>
              </w:rPr>
              <w:t>ICON US Holdings Inc.</w:t>
            </w:r>
          </w:p>
        </w:tc>
        <w:tc>
          <w:tcPr>
            <w:tcW w:w="1500" w:type="dxa"/>
            <w:vAlign w:val="bottom"/>
          </w:tcPr>
          <w:p>
            <w:pPr>
              <w:jc w:val="center"/>
              <w:spacing w:after="0" w:line="172" w:lineRule="exact"/>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3"/>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Laboratories, Inc.) (Delaware)</w:t>
            </w:r>
          </w:p>
        </w:tc>
        <w:tc>
          <w:tcPr>
            <w:tcW w:w="4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4960" w:type="dxa"/>
            <w:vAlign w:val="bottom"/>
            <w:gridSpan w:val="2"/>
          </w:tcPr>
          <w:p>
            <w:pPr>
              <w:ind w:left="60"/>
              <w:spacing w:after="0" w:line="176" w:lineRule="exact"/>
              <w:rPr>
                <w:sz w:val="20"/>
                <w:szCs w:val="20"/>
                <w:color w:val="auto"/>
              </w:rPr>
            </w:pPr>
            <w:r>
              <w:rPr>
                <w:rFonts w:ascii="Times New Roman" w:cs="Times New Roman" w:eastAsia="Times New Roman" w:hAnsi="Times New Roman"/>
                <w:sz w:val="17"/>
                <w:szCs w:val="17"/>
                <w:color w:val="auto"/>
              </w:rPr>
              <w:t>MolecularMD Corp. (Delaware)</w:t>
            </w:r>
          </w:p>
        </w:tc>
        <w:tc>
          <w:tcPr>
            <w:tcW w:w="4780" w:type="dxa"/>
            <w:vAlign w:val="bottom"/>
            <w:gridSpan w:val="2"/>
          </w:tcPr>
          <w:p>
            <w:pPr>
              <w:ind w:left="80"/>
              <w:spacing w:after="0" w:line="176" w:lineRule="exact"/>
              <w:rPr>
                <w:sz w:val="20"/>
                <w:szCs w:val="20"/>
                <w:color w:val="auto"/>
              </w:rPr>
            </w:pPr>
            <w:r>
              <w:rPr>
                <w:rFonts w:ascii="Times New Roman" w:cs="Times New Roman" w:eastAsia="Times New Roman" w:hAnsi="Times New Roman"/>
                <w:sz w:val="17"/>
                <w:szCs w:val="17"/>
                <w:color w:val="auto"/>
              </w:rPr>
              <w:t>ICON Laboratory Services, Inc. (f/k/a ICON Central</w:t>
            </w:r>
          </w:p>
        </w:tc>
        <w:tc>
          <w:tcPr>
            <w:tcW w:w="1500" w:type="dxa"/>
            <w:vAlign w:val="bottom"/>
          </w:tcPr>
          <w:p>
            <w:pPr>
              <w:jc w:val="center"/>
              <w:spacing w:after="0" w:line="176" w:lineRule="exact"/>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3"/>
        </w:trPr>
        <w:tc>
          <w:tcPr>
            <w:tcW w:w="4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Laboratories, Inc.)</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ICON US Holdings Inc. (Delaware)</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ICON Operational Financing Unlimited Company</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58"/>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PriceSpective LLC (Delaware)</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ICON Clinical Research LLC</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41"/>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CRN Holdings, LLC (Delaware)</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ICON Clinical Research LLC</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36"/>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ICON Clinical Investments, LLC (Delaware)</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ICON Luxembourg S.à r.l</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41"/>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Clinical Resource Network, LLC (d/b/a Symphony Clinical</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CRN Holdings, LLC</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3"/>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Research) (Illinois)</w:t>
            </w:r>
          </w:p>
        </w:tc>
        <w:tc>
          <w:tcPr>
            <w:tcW w:w="4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DOCS Global, Inc. (New Jersey)</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ICON Clinical Research LLC</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19"/>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Accellacare US Inc. (North Carolina)</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ICON Clinical Research LLC</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19"/>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RPS Bermuda, Ltd. (Bermuda)</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ReSearch Pharmaceutical Services, Inc.</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65%</w:t>
            </w:r>
          </w:p>
        </w:tc>
        <w:tc>
          <w:tcPr>
            <w:tcW w:w="0" w:type="dxa"/>
            <w:vAlign w:val="bottom"/>
          </w:tcPr>
          <w:p>
            <w:pPr>
              <w:spacing w:after="0"/>
              <w:rPr>
                <w:sz w:val="1"/>
                <w:szCs w:val="1"/>
                <w:color w:val="auto"/>
              </w:rPr>
            </w:pPr>
          </w:p>
        </w:tc>
      </w:tr>
      <w:tr>
        <w:trPr>
          <w:trHeight w:val="219"/>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Services de Recherche Pharmaceutique Srl (Canada)</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ReSearch Pharmaceutical Services, Inc.</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65%</w:t>
            </w:r>
          </w:p>
        </w:tc>
        <w:tc>
          <w:tcPr>
            <w:tcW w:w="0" w:type="dxa"/>
            <w:vAlign w:val="bottom"/>
          </w:tcPr>
          <w:p>
            <w:pPr>
              <w:spacing w:after="0"/>
              <w:rPr>
                <w:sz w:val="1"/>
                <w:szCs w:val="1"/>
                <w:color w:val="auto"/>
              </w:rPr>
            </w:pPr>
          </w:p>
        </w:tc>
      </w:tr>
      <w:tr>
        <w:trPr>
          <w:trHeight w:val="223"/>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PRA Health Sciences Colombia Ltda. (Colombia)</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Pharmaceutical Research Associates, Inc.</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40"/>
          </w:cols>
          <w:pgMar w:left="320" w:top="1361"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95"/>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Pharmaceutical Research Associates Hungary Research and</w:t>
            </w:r>
          </w:p>
        </w:tc>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Pharmaceutical Research Associates, Inc.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65%</w:t>
            </w:r>
          </w:p>
        </w:tc>
      </w:tr>
      <w:tr>
        <w:trPr>
          <w:trHeight w:val="223"/>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Development Ltd. (Hungary)</w:t>
            </w:r>
          </w:p>
        </w:tc>
        <w:tc>
          <w:tcPr>
            <w:tcW w:w="43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5"/>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Pharmaceutical Research Associates Italy S.r.l. (Italy)</w:t>
            </w:r>
          </w:p>
        </w:tc>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Pharmaceutical Research Associates, Inc.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65%</w:t>
            </w:r>
          </w:p>
        </w:tc>
      </w:tr>
      <w:tr>
        <w:trPr>
          <w:trHeight w:val="171"/>
        </w:trPr>
        <w:tc>
          <w:tcPr>
            <w:tcW w:w="4660" w:type="dxa"/>
            <w:vAlign w:val="bottom"/>
          </w:tcPr>
          <w:p>
            <w:pPr>
              <w:spacing w:after="0" w:line="172" w:lineRule="exact"/>
              <w:rPr>
                <w:sz w:val="20"/>
                <w:szCs w:val="20"/>
                <w:color w:val="auto"/>
              </w:rPr>
            </w:pPr>
            <w:r>
              <w:rPr>
                <w:rFonts w:ascii="Times New Roman" w:cs="Times New Roman" w:eastAsia="Times New Roman" w:hAnsi="Times New Roman"/>
                <w:sz w:val="17"/>
                <w:szCs w:val="17"/>
                <w:color w:val="auto"/>
              </w:rPr>
              <w:t>Pharmaceutical Research Associates Mexico S. de R.L. de C.</w:t>
            </w:r>
          </w:p>
        </w:tc>
        <w:tc>
          <w:tcPr>
            <w:tcW w:w="4380" w:type="dxa"/>
            <w:vAlign w:val="bottom"/>
          </w:tcPr>
          <w:p>
            <w:pPr>
              <w:ind w:left="320"/>
              <w:spacing w:after="0" w:line="172" w:lineRule="exact"/>
              <w:rPr>
                <w:sz w:val="20"/>
                <w:szCs w:val="20"/>
                <w:color w:val="auto"/>
              </w:rPr>
            </w:pPr>
            <w:r>
              <w:rPr>
                <w:rFonts w:ascii="Times New Roman" w:cs="Times New Roman" w:eastAsia="Times New Roman" w:hAnsi="Times New Roman"/>
                <w:sz w:val="17"/>
                <w:szCs w:val="17"/>
                <w:color w:val="auto"/>
              </w:rPr>
              <w:t>Pharmaceutical Research Associates, Inc.</w:t>
            </w:r>
          </w:p>
        </w:tc>
        <w:tc>
          <w:tcPr>
            <w:tcW w:w="1600" w:type="dxa"/>
            <w:vAlign w:val="bottom"/>
          </w:tcPr>
          <w:p>
            <w:pPr>
              <w:jc w:val="center"/>
              <w:ind w:left="1114"/>
              <w:spacing w:after="0" w:line="172" w:lineRule="exact"/>
              <w:rPr>
                <w:sz w:val="20"/>
                <w:szCs w:val="20"/>
                <w:color w:val="auto"/>
              </w:rPr>
            </w:pPr>
            <w:r>
              <w:rPr>
                <w:rFonts w:ascii="Times New Roman" w:cs="Times New Roman" w:eastAsia="Times New Roman" w:hAnsi="Times New Roman"/>
                <w:sz w:val="17"/>
                <w:szCs w:val="17"/>
                <w:color w:val="auto"/>
              </w:rPr>
              <w:t>65%</w:t>
            </w:r>
          </w:p>
        </w:tc>
      </w:tr>
      <w:tr>
        <w:trPr>
          <w:trHeight w:val="223"/>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V. (Mexico)</w:t>
            </w:r>
          </w:p>
        </w:tc>
        <w:tc>
          <w:tcPr>
            <w:tcW w:w="43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177"/>
        </w:trPr>
        <w:tc>
          <w:tcPr>
            <w:tcW w:w="466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Pharmaceutical Research Associates Mexico S. de R.L. de C.</w:t>
            </w:r>
          </w:p>
        </w:tc>
        <w:tc>
          <w:tcPr>
            <w:tcW w:w="4380" w:type="dxa"/>
            <w:vAlign w:val="bottom"/>
          </w:tcPr>
          <w:p>
            <w:pPr>
              <w:ind w:left="320"/>
              <w:spacing w:after="0" w:line="176" w:lineRule="exact"/>
              <w:rPr>
                <w:sz w:val="20"/>
                <w:szCs w:val="20"/>
                <w:color w:val="auto"/>
              </w:rPr>
            </w:pPr>
            <w:r>
              <w:rPr>
                <w:rFonts w:ascii="Times New Roman" w:cs="Times New Roman" w:eastAsia="Times New Roman" w:hAnsi="Times New Roman"/>
                <w:sz w:val="17"/>
                <w:szCs w:val="17"/>
                <w:color w:val="auto"/>
              </w:rPr>
              <w:t>PRA International, LLC</w:t>
            </w:r>
          </w:p>
        </w:tc>
        <w:tc>
          <w:tcPr>
            <w:tcW w:w="1600" w:type="dxa"/>
            <w:vAlign w:val="bottom"/>
          </w:tcPr>
          <w:p>
            <w:pPr>
              <w:jc w:val="center"/>
              <w:ind w:left="1114"/>
              <w:spacing w:after="0" w:line="176" w:lineRule="exact"/>
              <w:rPr>
                <w:sz w:val="20"/>
                <w:szCs w:val="20"/>
                <w:color w:val="auto"/>
              </w:rPr>
            </w:pPr>
            <w:r>
              <w:rPr>
                <w:rFonts w:ascii="Times New Roman" w:cs="Times New Roman" w:eastAsia="Times New Roman" w:hAnsi="Times New Roman"/>
                <w:sz w:val="17"/>
                <w:szCs w:val="17"/>
                <w:color w:val="auto"/>
              </w:rPr>
              <w:t>65%</w:t>
            </w:r>
          </w:p>
        </w:tc>
      </w:tr>
      <w:tr>
        <w:trPr>
          <w:trHeight w:val="223"/>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V. (Mexico)</w:t>
            </w:r>
          </w:p>
        </w:tc>
        <w:tc>
          <w:tcPr>
            <w:tcW w:w="43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177"/>
        </w:trPr>
        <w:tc>
          <w:tcPr>
            <w:tcW w:w="466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ReSearch Pharmaceutical Services Netherlands B.V.</w:t>
            </w:r>
          </w:p>
        </w:tc>
        <w:tc>
          <w:tcPr>
            <w:tcW w:w="4380" w:type="dxa"/>
            <w:vAlign w:val="bottom"/>
          </w:tcPr>
          <w:p>
            <w:pPr>
              <w:ind w:left="320"/>
              <w:spacing w:after="0" w:line="176" w:lineRule="exact"/>
              <w:rPr>
                <w:sz w:val="20"/>
                <w:szCs w:val="20"/>
                <w:color w:val="auto"/>
              </w:rPr>
            </w:pPr>
            <w:r>
              <w:rPr>
                <w:rFonts w:ascii="Times New Roman" w:cs="Times New Roman" w:eastAsia="Times New Roman" w:hAnsi="Times New Roman"/>
                <w:sz w:val="17"/>
                <w:szCs w:val="17"/>
                <w:color w:val="auto"/>
              </w:rPr>
              <w:t>ReSearch Pharmaceutical Services, Inc.</w:t>
            </w:r>
          </w:p>
        </w:tc>
        <w:tc>
          <w:tcPr>
            <w:tcW w:w="1600" w:type="dxa"/>
            <w:vAlign w:val="bottom"/>
          </w:tcPr>
          <w:p>
            <w:pPr>
              <w:jc w:val="center"/>
              <w:ind w:left="1114"/>
              <w:spacing w:after="0" w:line="176" w:lineRule="exact"/>
              <w:rPr>
                <w:sz w:val="20"/>
                <w:szCs w:val="20"/>
                <w:color w:val="auto"/>
              </w:rPr>
            </w:pPr>
            <w:r>
              <w:rPr>
                <w:rFonts w:ascii="Times New Roman" w:cs="Times New Roman" w:eastAsia="Times New Roman" w:hAnsi="Times New Roman"/>
                <w:sz w:val="17"/>
                <w:szCs w:val="17"/>
                <w:color w:val="auto"/>
              </w:rPr>
              <w:t>65%</w:t>
            </w:r>
          </w:p>
        </w:tc>
      </w:tr>
      <w:tr>
        <w:trPr>
          <w:trHeight w:val="223"/>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(Netherlands)</w:t>
            </w:r>
          </w:p>
        </w:tc>
        <w:tc>
          <w:tcPr>
            <w:tcW w:w="43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5"/>
        </w:trPr>
        <w:tc>
          <w:tcPr>
            <w:tcW w:w="4660" w:type="dxa"/>
            <w:vAlign w:val="bottom"/>
          </w:tcPr>
          <w:p>
            <w:pPr>
              <w:spacing w:after="0"/>
              <w:rPr>
                <w:sz w:val="20"/>
                <w:szCs w:val="20"/>
                <w:color w:val="auto"/>
              </w:rPr>
            </w:pPr>
            <w:r>
              <w:rPr>
                <w:rFonts w:ascii="Times New Roman" w:cs="Times New Roman" w:eastAsia="Times New Roman" w:hAnsi="Times New Roman"/>
                <w:sz w:val="15"/>
                <w:szCs w:val="15"/>
                <w:color w:val="auto"/>
              </w:rPr>
              <w:t>RPS Perú S.A.C. (Peru)</w:t>
            </w:r>
          </w:p>
        </w:tc>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Pharmaceutical Research Associates, Inc.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65%</w:t>
            </w:r>
          </w:p>
        </w:tc>
      </w:tr>
      <w:tr>
        <w:trPr>
          <w:trHeight w:val="171"/>
        </w:trPr>
        <w:tc>
          <w:tcPr>
            <w:tcW w:w="4660" w:type="dxa"/>
            <w:vAlign w:val="bottom"/>
          </w:tcPr>
          <w:p>
            <w:pPr>
              <w:spacing w:after="0" w:line="172" w:lineRule="exact"/>
              <w:rPr>
                <w:sz w:val="20"/>
                <w:szCs w:val="20"/>
                <w:color w:val="auto"/>
              </w:rPr>
            </w:pPr>
            <w:r>
              <w:rPr>
                <w:rFonts w:ascii="Times New Roman" w:cs="Times New Roman" w:eastAsia="Times New Roman" w:hAnsi="Times New Roman"/>
                <w:sz w:val="17"/>
                <w:szCs w:val="17"/>
                <w:color w:val="auto"/>
              </w:rPr>
              <w:t>Research Pharmaceutical Services Puerto Rico, Inc. (Puerto</w:t>
            </w:r>
          </w:p>
        </w:tc>
        <w:tc>
          <w:tcPr>
            <w:tcW w:w="4380" w:type="dxa"/>
            <w:vAlign w:val="bottom"/>
          </w:tcPr>
          <w:p>
            <w:pPr>
              <w:ind w:left="320"/>
              <w:spacing w:after="0" w:line="172" w:lineRule="exact"/>
              <w:rPr>
                <w:sz w:val="20"/>
                <w:szCs w:val="20"/>
                <w:color w:val="auto"/>
              </w:rPr>
            </w:pPr>
            <w:r>
              <w:rPr>
                <w:rFonts w:ascii="Times New Roman" w:cs="Times New Roman" w:eastAsia="Times New Roman" w:hAnsi="Times New Roman"/>
                <w:sz w:val="17"/>
                <w:szCs w:val="17"/>
                <w:color w:val="auto"/>
              </w:rPr>
              <w:t>ReSearch Pharmaceutical Services, Inc.</w:t>
            </w:r>
          </w:p>
        </w:tc>
        <w:tc>
          <w:tcPr>
            <w:tcW w:w="1600" w:type="dxa"/>
            <w:vAlign w:val="bottom"/>
          </w:tcPr>
          <w:p>
            <w:pPr>
              <w:jc w:val="center"/>
              <w:ind w:left="1114"/>
              <w:spacing w:after="0" w:line="172" w:lineRule="exact"/>
              <w:rPr>
                <w:sz w:val="20"/>
                <w:szCs w:val="20"/>
                <w:color w:val="auto"/>
              </w:rPr>
            </w:pPr>
            <w:r>
              <w:rPr>
                <w:rFonts w:ascii="Times New Roman" w:cs="Times New Roman" w:eastAsia="Times New Roman" w:hAnsi="Times New Roman"/>
                <w:sz w:val="17"/>
                <w:szCs w:val="17"/>
                <w:color w:val="auto"/>
              </w:rPr>
              <w:t>65%</w:t>
            </w:r>
          </w:p>
        </w:tc>
      </w:tr>
      <w:tr>
        <w:trPr>
          <w:trHeight w:val="223"/>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Rico)</w:t>
            </w:r>
          </w:p>
        </w:tc>
        <w:tc>
          <w:tcPr>
            <w:tcW w:w="43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177"/>
        </w:trPr>
        <w:tc>
          <w:tcPr>
            <w:tcW w:w="466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Pharmaceutical Research Associates Romania S.R.L.</w:t>
            </w:r>
          </w:p>
        </w:tc>
        <w:tc>
          <w:tcPr>
            <w:tcW w:w="4380" w:type="dxa"/>
            <w:vAlign w:val="bottom"/>
          </w:tcPr>
          <w:p>
            <w:pPr>
              <w:ind w:left="320"/>
              <w:spacing w:after="0" w:line="176" w:lineRule="exact"/>
              <w:rPr>
                <w:sz w:val="20"/>
                <w:szCs w:val="20"/>
                <w:color w:val="auto"/>
              </w:rPr>
            </w:pPr>
            <w:r>
              <w:rPr>
                <w:rFonts w:ascii="Times New Roman" w:cs="Times New Roman" w:eastAsia="Times New Roman" w:hAnsi="Times New Roman"/>
                <w:sz w:val="17"/>
                <w:szCs w:val="17"/>
                <w:color w:val="auto"/>
              </w:rPr>
              <w:t>Pharmaceutical Research Associates, Inc.</w:t>
            </w:r>
          </w:p>
        </w:tc>
        <w:tc>
          <w:tcPr>
            <w:tcW w:w="1600" w:type="dxa"/>
            <w:vAlign w:val="bottom"/>
          </w:tcPr>
          <w:p>
            <w:pPr>
              <w:jc w:val="center"/>
              <w:ind w:left="1114"/>
              <w:spacing w:after="0" w:line="176" w:lineRule="exact"/>
              <w:rPr>
                <w:sz w:val="20"/>
                <w:szCs w:val="20"/>
                <w:color w:val="auto"/>
              </w:rPr>
            </w:pPr>
            <w:r>
              <w:rPr>
                <w:rFonts w:ascii="Times New Roman" w:cs="Times New Roman" w:eastAsia="Times New Roman" w:hAnsi="Times New Roman"/>
                <w:sz w:val="17"/>
                <w:szCs w:val="17"/>
                <w:color w:val="auto"/>
              </w:rPr>
              <w:t>65%</w:t>
            </w:r>
          </w:p>
        </w:tc>
      </w:tr>
      <w:tr>
        <w:trPr>
          <w:trHeight w:val="223"/>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(Romania)</w:t>
            </w:r>
          </w:p>
        </w:tc>
        <w:tc>
          <w:tcPr>
            <w:tcW w:w="43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5"/>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Pharmaceutical Research Associates España, S.A.U. (Spain)</w:t>
            </w:r>
          </w:p>
        </w:tc>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Pharmaceutical Research Associates, Inc.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65%</w:t>
            </w:r>
          </w:p>
        </w:tc>
      </w:tr>
      <w:tr>
        <w:trPr>
          <w:trHeight w:val="219"/>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PRA International Sweden AB (Sweden)</w:t>
            </w:r>
          </w:p>
        </w:tc>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Pharmaceutical Research Associates, Inc.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65%</w:t>
            </w:r>
          </w:p>
        </w:tc>
      </w:tr>
      <w:tr>
        <w:trPr>
          <w:trHeight w:val="219"/>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RPS Research (Thailand) Co., Ltd. (Thailand)</w:t>
            </w:r>
          </w:p>
        </w:tc>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ReSearch Pharmaceutical Services, Inc.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65%</w:t>
            </w:r>
          </w:p>
        </w:tc>
      </w:tr>
      <w:tr>
        <w:trPr>
          <w:trHeight w:val="219"/>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Sterling Synergy Systems Limited (United Kingdom)</w:t>
            </w:r>
          </w:p>
        </w:tc>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Pharmaceutical Research Associates, Inc.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65%</w:t>
            </w:r>
          </w:p>
        </w:tc>
      </w:tr>
      <w:tr>
        <w:trPr>
          <w:trHeight w:val="219"/>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ClinStar LLC (California)</w:t>
            </w:r>
          </w:p>
        </w:tc>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Pharmaceutical Research Associates, Inc.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Nextrials, Inc. (California)</w:t>
            </w:r>
          </w:p>
        </w:tc>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Pharmaceutical Research Associates, Inc.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Care Innovations, Inc. (Delaware)</w:t>
            </w:r>
          </w:p>
        </w:tc>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Pharmaceutical Research Associates, Inc.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CRI NewCo, Inc. (Delaware)</w:t>
            </w:r>
          </w:p>
        </w:tc>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Pharmaceutical Research Associates, Inc.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International Medical Technical Consultants, LLC (Delaware)</w:t>
            </w:r>
          </w:p>
        </w:tc>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Pharmaceutical Research Associates, Inc.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Parallel 6, Inc. (Delaware)</w:t>
            </w:r>
          </w:p>
        </w:tc>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Pharmaceutical Research Associates, Inc.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171"/>
        </w:trPr>
        <w:tc>
          <w:tcPr>
            <w:tcW w:w="4660" w:type="dxa"/>
            <w:vAlign w:val="bottom"/>
          </w:tcPr>
          <w:p>
            <w:pPr>
              <w:spacing w:after="0" w:line="172" w:lineRule="exact"/>
              <w:rPr>
                <w:sz w:val="20"/>
                <w:szCs w:val="20"/>
                <w:color w:val="auto"/>
              </w:rPr>
            </w:pPr>
            <w:r>
              <w:rPr>
                <w:rFonts w:ascii="Times New Roman" w:cs="Times New Roman" w:eastAsia="Times New Roman" w:hAnsi="Times New Roman"/>
                <w:sz w:val="17"/>
                <w:szCs w:val="17"/>
                <w:color w:val="auto"/>
              </w:rPr>
              <w:t>PRA Early Development Research, Inc. (f/k/a Pharma Bio-</w:t>
            </w:r>
          </w:p>
        </w:tc>
        <w:tc>
          <w:tcPr>
            <w:tcW w:w="4380" w:type="dxa"/>
            <w:vAlign w:val="bottom"/>
          </w:tcPr>
          <w:p>
            <w:pPr>
              <w:ind w:left="320"/>
              <w:spacing w:after="0" w:line="172" w:lineRule="exact"/>
              <w:rPr>
                <w:sz w:val="20"/>
                <w:szCs w:val="20"/>
                <w:color w:val="auto"/>
              </w:rPr>
            </w:pPr>
            <w:r>
              <w:rPr>
                <w:rFonts w:ascii="Times New Roman" w:cs="Times New Roman" w:eastAsia="Times New Roman" w:hAnsi="Times New Roman"/>
                <w:sz w:val="17"/>
                <w:szCs w:val="17"/>
                <w:color w:val="auto"/>
              </w:rPr>
              <w:t>Pharmaceutical Research Associates, Inc.</w:t>
            </w:r>
          </w:p>
        </w:tc>
        <w:tc>
          <w:tcPr>
            <w:tcW w:w="1600" w:type="dxa"/>
            <w:vAlign w:val="bottom"/>
          </w:tcPr>
          <w:p>
            <w:pPr>
              <w:jc w:val="center"/>
              <w:ind w:left="1114"/>
              <w:spacing w:after="0" w:line="172" w:lineRule="exact"/>
              <w:rPr>
                <w:sz w:val="20"/>
                <w:szCs w:val="20"/>
                <w:color w:val="auto"/>
              </w:rPr>
            </w:pPr>
            <w:r>
              <w:rPr>
                <w:rFonts w:ascii="Times New Roman" w:cs="Times New Roman" w:eastAsia="Times New Roman" w:hAnsi="Times New Roman"/>
                <w:sz w:val="17"/>
                <w:szCs w:val="17"/>
                <w:color w:val="auto"/>
              </w:rPr>
              <w:t>100%</w:t>
            </w:r>
          </w:p>
        </w:tc>
      </w:tr>
      <w:tr>
        <w:trPr>
          <w:trHeight w:val="223"/>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Research USA, Inc.) (Delaware)</w:t>
            </w:r>
          </w:p>
        </w:tc>
        <w:tc>
          <w:tcPr>
            <w:tcW w:w="43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5"/>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PRA Health Sciences, Inc. (Delaware)</w:t>
            </w:r>
          </w:p>
        </w:tc>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ICON US Holdings Inc.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PRA Holdings, Inc. (Delaware)</w:t>
            </w:r>
          </w:p>
        </w:tc>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PRA Health Sciences, Inc.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PRA Receivables, LLC (Delaware)</w:t>
            </w:r>
          </w:p>
        </w:tc>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Pharmaceutical Research Associates, Inc.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ReSearch Pharmaceutical Services, Inc. (Delaware)</w:t>
            </w:r>
          </w:p>
        </w:tc>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Roy RPS Holdings, LLC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ReSearch Pharmaceutical Services, LLC (Delaware)</w:t>
            </w:r>
          </w:p>
        </w:tc>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ReSearch Pharmaceutical Services, Inc.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Source Healthcare Analytics, LLC (Delaware)</w:t>
            </w:r>
          </w:p>
        </w:tc>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Symphony Health Solutions Corporation</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Sunset Hills, LLC (Delaware)</w:t>
            </w:r>
          </w:p>
        </w:tc>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Pharmaceutical Research Associates, Inc.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Symphony Health Solutions Corporation (Delaware)</w:t>
            </w:r>
          </w:p>
        </w:tc>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Pharmaceutical Research Associates, Inc.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Pharmaceutical Research Associates, Inc. (Virginia)</w:t>
            </w:r>
          </w:p>
        </w:tc>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PRA International, LLC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PRA International, LLC (Delaware)</w:t>
            </w:r>
          </w:p>
        </w:tc>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PRA Holdings, Inc.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Roy RPS Holdings LLC (Delaware)</w:t>
            </w:r>
          </w:p>
        </w:tc>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RPS Parent Holding LLC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RPS Global Holdings, LLC (Delaware)</w:t>
            </w:r>
          </w:p>
        </w:tc>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PRA Holdings, Inc.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RPS Parent Holding LLC (Delaware)</w:t>
            </w:r>
          </w:p>
        </w:tc>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RPS Global Holdings, LLC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ICON Government and Public Health Solutions, Inc. (Virginia)</w:t>
            </w:r>
          </w:p>
        </w:tc>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ICON US Holdings Inc.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23"/>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Accellacare of Bristol, LLC (Tennessee)</w:t>
            </w:r>
          </w:p>
        </w:tc>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Accellacare US Inc.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0640"/>
          </w:cols>
          <w:pgMar w:left="380" w:top="1375" w:right="87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19"/>
        </w:trPr>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Accellacare of Charleston, LLC (South Carolina)</w:t>
            </w:r>
          </w:p>
        </w:tc>
        <w:tc>
          <w:tcPr>
            <w:tcW w:w="4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Accellacare US Inc.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Accellacare of Charlotte, LLC (North Carolina)</w:t>
            </w:r>
          </w:p>
        </w:tc>
        <w:tc>
          <w:tcPr>
            <w:tcW w:w="4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Accellacare US Inc.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Accellacare of Christie Clinic, LLC (Illinois)</w:t>
            </w:r>
          </w:p>
        </w:tc>
        <w:tc>
          <w:tcPr>
            <w:tcW w:w="4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Accellacare US Inc.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Accellacare of Hickory, LLC (North Carolina)</w:t>
            </w:r>
          </w:p>
        </w:tc>
        <w:tc>
          <w:tcPr>
            <w:tcW w:w="4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Accellacare US Inc.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Accellacare of Raleigh, LLC (North Carolina)</w:t>
            </w:r>
          </w:p>
        </w:tc>
        <w:tc>
          <w:tcPr>
            <w:tcW w:w="4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Accellacare US Inc.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Accellacare of Rocky Mount, LLC (North Carolina)</w:t>
            </w:r>
          </w:p>
        </w:tc>
        <w:tc>
          <w:tcPr>
            <w:tcW w:w="4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Accellacare US Inc.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Accellacare of Salisbury, LLC (North Carolina)</w:t>
            </w:r>
          </w:p>
        </w:tc>
        <w:tc>
          <w:tcPr>
            <w:tcW w:w="4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Accellacare US Inc.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Accellacare of Wilmington, LLC (North Carolina)</w:t>
            </w:r>
          </w:p>
        </w:tc>
        <w:tc>
          <w:tcPr>
            <w:tcW w:w="4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Accellacare US Inc.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Accellacare of Winston-Salem, LLC (North Carolina)</w:t>
            </w:r>
          </w:p>
        </w:tc>
        <w:tc>
          <w:tcPr>
            <w:tcW w:w="4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Accellacare US Inc.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Averion Europe GmbH (Germany)</w:t>
            </w:r>
          </w:p>
        </w:tc>
        <w:tc>
          <w:tcPr>
            <w:tcW w:w="4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ICON Clinical Research LLC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65%</w:t>
            </w:r>
          </w:p>
        </w:tc>
      </w:tr>
      <w:tr>
        <w:trPr>
          <w:trHeight w:val="219"/>
        </w:trPr>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CHC Group, LLC (Delaware)</w:t>
            </w:r>
          </w:p>
        </w:tc>
        <w:tc>
          <w:tcPr>
            <w:tcW w:w="4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ICON Clinical Research LLC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PubsHub LLC (Delaware)</w:t>
            </w:r>
          </w:p>
        </w:tc>
        <w:tc>
          <w:tcPr>
            <w:tcW w:w="4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ICON Clinical Research LLC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Global Pharmaceutical Strategies Group, LLC (Delaware)</w:t>
            </w:r>
          </w:p>
        </w:tc>
        <w:tc>
          <w:tcPr>
            <w:tcW w:w="4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ICON Clinical Research LLC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MMMM Group, LLC (Delaware)</w:t>
            </w:r>
          </w:p>
        </w:tc>
        <w:tc>
          <w:tcPr>
            <w:tcW w:w="4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ICON Clinical Research LLC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ICON Tennessee, LLC (Delaware)</w:t>
            </w:r>
          </w:p>
        </w:tc>
        <w:tc>
          <w:tcPr>
            <w:tcW w:w="4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ICON Clinical Research LLC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ADDPLAN, Inc. (Delaware)</w:t>
            </w:r>
          </w:p>
        </w:tc>
        <w:tc>
          <w:tcPr>
            <w:tcW w:w="4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ICON Clinical Research LLC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36"/>
        </w:trPr>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ICON Clinical Research LP (Delaware)</w:t>
            </w:r>
          </w:p>
        </w:tc>
        <w:tc>
          <w:tcPr>
            <w:tcW w:w="4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ICON Clinical Research LLC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58"/>
        </w:trPr>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ICON Clinical Research LP (Delaware)</w:t>
            </w:r>
          </w:p>
        </w:tc>
        <w:tc>
          <w:tcPr>
            <w:tcW w:w="4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ICON Tennessee, LLC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193"/>
        </w:trPr>
        <w:tc>
          <w:tcPr>
            <w:tcW w:w="4640" w:type="dxa"/>
            <w:vAlign w:val="bottom"/>
          </w:tcPr>
          <w:p>
            <w:pPr>
              <w:spacing w:after="0" w:line="193" w:lineRule="exact"/>
              <w:rPr>
                <w:sz w:val="20"/>
                <w:szCs w:val="20"/>
                <w:color w:val="auto"/>
              </w:rPr>
            </w:pPr>
            <w:r>
              <w:rPr>
                <w:rFonts w:ascii="Times New Roman" w:cs="Times New Roman" w:eastAsia="Times New Roman" w:hAnsi="Times New Roman"/>
                <w:sz w:val="17"/>
                <w:szCs w:val="17"/>
                <w:color w:val="auto"/>
              </w:rPr>
              <w:t>CRN North America, LLC (d/b/a Symphony Clinical Staffing)</w:t>
            </w:r>
          </w:p>
        </w:tc>
        <w:tc>
          <w:tcPr>
            <w:tcW w:w="4400" w:type="dxa"/>
            <w:vAlign w:val="bottom"/>
          </w:tcPr>
          <w:p>
            <w:pPr>
              <w:ind w:left="340"/>
              <w:spacing w:after="0" w:line="193" w:lineRule="exact"/>
              <w:rPr>
                <w:sz w:val="20"/>
                <w:szCs w:val="20"/>
                <w:color w:val="auto"/>
              </w:rPr>
            </w:pPr>
            <w:r>
              <w:rPr>
                <w:rFonts w:ascii="Times New Roman" w:cs="Times New Roman" w:eastAsia="Times New Roman" w:hAnsi="Times New Roman"/>
                <w:sz w:val="17"/>
                <w:szCs w:val="17"/>
                <w:color w:val="auto"/>
              </w:rPr>
              <w:t>CRN Holdings, LLC</w:t>
            </w:r>
          </w:p>
        </w:tc>
        <w:tc>
          <w:tcPr>
            <w:tcW w:w="1600" w:type="dxa"/>
            <w:vAlign w:val="bottom"/>
          </w:tcPr>
          <w:p>
            <w:pPr>
              <w:jc w:val="center"/>
              <w:ind w:left="1114"/>
              <w:spacing w:after="0" w:line="193" w:lineRule="exact"/>
              <w:rPr>
                <w:sz w:val="20"/>
                <w:szCs w:val="20"/>
                <w:color w:val="auto"/>
              </w:rPr>
            </w:pPr>
            <w:r>
              <w:rPr>
                <w:rFonts w:ascii="Times New Roman" w:cs="Times New Roman" w:eastAsia="Times New Roman" w:hAnsi="Times New Roman"/>
                <w:sz w:val="17"/>
                <w:szCs w:val="17"/>
                <w:color w:val="auto"/>
              </w:rPr>
              <w:t>100%</w:t>
            </w:r>
          </w:p>
        </w:tc>
      </w:tr>
      <w:tr>
        <w:trPr>
          <w:trHeight w:val="223"/>
        </w:trPr>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(Delaware)</w:t>
            </w:r>
          </w:p>
        </w:tc>
        <w:tc>
          <w:tcPr>
            <w:tcW w:w="44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5"/>
        </w:trPr>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Symphony Clinical Research Sp. Z O O. (Poland)</w:t>
            </w:r>
          </w:p>
        </w:tc>
        <w:tc>
          <w:tcPr>
            <w:tcW w:w="4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CRN Holdings, LLC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65%</w:t>
            </w:r>
          </w:p>
        </w:tc>
      </w:tr>
      <w:tr>
        <w:trPr>
          <w:trHeight w:val="171"/>
        </w:trPr>
        <w:tc>
          <w:tcPr>
            <w:tcW w:w="4640" w:type="dxa"/>
            <w:vAlign w:val="bottom"/>
          </w:tcPr>
          <w:p>
            <w:pPr>
              <w:spacing w:after="0" w:line="172" w:lineRule="exact"/>
              <w:rPr>
                <w:sz w:val="20"/>
                <w:szCs w:val="20"/>
                <w:color w:val="auto"/>
              </w:rPr>
            </w:pPr>
            <w:r>
              <w:rPr>
                <w:rFonts w:ascii="Times New Roman" w:cs="Times New Roman" w:eastAsia="Times New Roman" w:hAnsi="Times New Roman"/>
                <w:sz w:val="17"/>
                <w:szCs w:val="17"/>
                <w:color w:val="auto"/>
              </w:rPr>
              <w:t>ICON Clinical Research Holdings (U.K.) Limited (United</w:t>
            </w:r>
          </w:p>
        </w:tc>
        <w:tc>
          <w:tcPr>
            <w:tcW w:w="4400" w:type="dxa"/>
            <w:vAlign w:val="bottom"/>
          </w:tcPr>
          <w:p>
            <w:pPr>
              <w:ind w:left="340"/>
              <w:spacing w:after="0" w:line="172" w:lineRule="exact"/>
              <w:rPr>
                <w:sz w:val="20"/>
                <w:szCs w:val="20"/>
                <w:color w:val="auto"/>
              </w:rPr>
            </w:pPr>
            <w:r>
              <w:rPr>
                <w:rFonts w:ascii="Times New Roman" w:cs="Times New Roman" w:eastAsia="Times New Roman" w:hAnsi="Times New Roman"/>
                <w:sz w:val="17"/>
                <w:szCs w:val="17"/>
                <w:color w:val="auto"/>
              </w:rPr>
              <w:t>Pharmaceutical Research Associates, Inc.</w:t>
            </w:r>
          </w:p>
        </w:tc>
        <w:tc>
          <w:tcPr>
            <w:tcW w:w="1600" w:type="dxa"/>
            <w:vAlign w:val="bottom"/>
          </w:tcPr>
          <w:p>
            <w:pPr>
              <w:jc w:val="center"/>
              <w:ind w:left="1114"/>
              <w:spacing w:after="0" w:line="172" w:lineRule="exact"/>
              <w:rPr>
                <w:sz w:val="20"/>
                <w:szCs w:val="20"/>
                <w:color w:val="auto"/>
              </w:rPr>
            </w:pPr>
            <w:r>
              <w:rPr>
                <w:rFonts w:ascii="Times New Roman" w:cs="Times New Roman" w:eastAsia="Times New Roman" w:hAnsi="Times New Roman"/>
                <w:sz w:val="17"/>
                <w:szCs w:val="17"/>
                <w:color w:val="auto"/>
              </w:rPr>
              <w:t>65%</w:t>
            </w:r>
          </w:p>
        </w:tc>
      </w:tr>
      <w:tr>
        <w:trPr>
          <w:trHeight w:val="223"/>
        </w:trPr>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Kingdom)</w:t>
            </w:r>
          </w:p>
        </w:tc>
        <w:tc>
          <w:tcPr>
            <w:tcW w:w="44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5"/>
        </w:trPr>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Oncacare Limited (Ireland)</w:t>
            </w:r>
          </w:p>
        </w:tc>
        <w:tc>
          <w:tcPr>
            <w:tcW w:w="4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ICON Clinical Research Limited</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ICON Clinical Research Holdings (Ireland) Unlimited</w:t>
            </w:r>
          </w:p>
        </w:tc>
        <w:tc>
          <w:tcPr>
            <w:tcW w:w="4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ICON Holdings Unlimited Company</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23"/>
        </w:trPr>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Company (Ireland)</w:t>
            </w:r>
          </w:p>
        </w:tc>
        <w:tc>
          <w:tcPr>
            <w:tcW w:w="4400" w:type="dxa"/>
            <w:vAlign w:val="bottom"/>
          </w:tcPr>
          <w:p>
            <w:pPr>
              <w:spacing w:after="0"/>
              <w:rPr>
                <w:sz w:val="19"/>
                <w:szCs w:val="19"/>
                <w:color w:val="auto"/>
              </w:rPr>
            </w:pPr>
          </w:p>
        </w:tc>
        <w:tc>
          <w:tcPr>
            <w:tcW w:w="16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4</w:t>
      </w:r>
    </w:p>
    <w:sectPr>
      <w:pgSz w:w="11900" w:h="16838" w:orient="portrait"/>
      <w:cols w:equalWidth="0" w:num="1">
        <w:col w:w="10640"/>
      </w:cols>
      <w:pgMar w:left="380" w:top="1399"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2025-10-23T16:03:15Z</dcterms:created>
  <dcterms:modified xsi:type="dcterms:W3CDTF">2025-10-23T16:03:15Z</dcterms:modified>
</cp:coreProperties>
</file>