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3"/>
          <w:szCs w:val="13"/>
          <w:b w:val="1"/>
          <w:bCs w:val="1"/>
          <w:color w:val="auto"/>
        </w:rPr>
        <w:t>UNITED STATES</w:t>
      </w:r>
    </w:p>
    <w:p>
      <w:pPr>
        <w:spacing w:after="0" w:line="2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SECURITIES AND EXCHANGE COMMISSION</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Washington, D.C. 20549</w:t>
      </w:r>
    </w:p>
    <w:p>
      <w:pPr>
        <w:spacing w:after="0" w:line="204" w:lineRule="exact"/>
        <w:rPr>
          <w:sz w:val="24"/>
          <w:szCs w:val="24"/>
          <w:color w:val="auto"/>
        </w:rPr>
      </w:pPr>
    </w:p>
    <w:p>
      <w:pPr>
        <w:ind w:left="5240"/>
        <w:spacing w:after="0"/>
        <w:rPr>
          <w:sz w:val="20"/>
          <w:szCs w:val="20"/>
          <w:color w:val="auto"/>
        </w:rPr>
      </w:pPr>
      <w:r>
        <w:rPr>
          <w:rFonts w:ascii="Arial" w:cs="Arial" w:eastAsia="Arial" w:hAnsi="Arial"/>
          <w:sz w:val="13"/>
          <w:szCs w:val="13"/>
          <w:b w:val="1"/>
          <w:bCs w:val="1"/>
          <w:color w:val="auto"/>
        </w:rPr>
        <w:t>FORM 6-K/A</w:t>
      </w:r>
    </w:p>
    <w:p>
      <w:pPr>
        <w:spacing w:after="0" w:line="217"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Report of Foreign Private Issuer</w:t>
      </w:r>
    </w:p>
    <w:p>
      <w:pPr>
        <w:spacing w:after="0" w:line="2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Pursuant to Rule 13a-16 or 15d-16 under</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 the month of</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May 2026</w:t>
      </w: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333-08704</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(Commission file number)</w:t>
      </w:r>
    </w:p>
    <w:p>
      <w:pPr>
        <w:spacing w:after="0" w:line="39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ICON plc</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(Translation of registrant's name into English)</w:t>
      </w:r>
    </w:p>
    <w:p>
      <w:pPr>
        <w:spacing w:after="0" w:line="394"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South County Business Park, Leopardstown, Dublin 18, D18 X5R3, Ireland</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(Address of principal executive offices)</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26" w:lineRule="exact"/>
        <w:rPr>
          <w:sz w:val="24"/>
          <w:szCs w:val="24"/>
          <w:color w:val="auto"/>
        </w:rPr>
      </w:pPr>
    </w:p>
    <w:p>
      <w:pPr>
        <w:ind w:left="4400"/>
        <w:spacing w:after="0"/>
        <w:tabs>
          <w:tab w:leader="none" w:pos="6540" w:val="left"/>
        </w:tabs>
        <w:rPr>
          <w:sz w:val="20"/>
          <w:szCs w:val="20"/>
          <w:color w:val="auto"/>
        </w:rPr>
      </w:pPr>
      <w:r>
        <w:rPr>
          <w:rFonts w:ascii="Arial" w:cs="Arial" w:eastAsia="Arial" w:hAnsi="Arial"/>
          <w:sz w:val="13"/>
          <w:szCs w:val="13"/>
          <w:color w:val="auto"/>
        </w:rPr>
        <w:t>Form 20-F___</w:t>
      </w:r>
      <w:r>
        <w:rPr>
          <w:rFonts w:ascii="Arial" w:cs="Arial" w:eastAsia="Arial" w:hAnsi="Arial"/>
          <w:sz w:val="13"/>
          <w:szCs w:val="13"/>
          <w:b w:val="1"/>
          <w:bCs w:val="1"/>
          <w:color w:val="auto"/>
        </w:rPr>
        <w:t>X</w:t>
      </w:r>
      <w:r>
        <w:rPr>
          <w:rFonts w:ascii="Arial" w:cs="Arial" w:eastAsia="Arial" w:hAnsi="Arial"/>
          <w:sz w:val="13"/>
          <w:szCs w:val="13"/>
          <w:color w:val="auto"/>
        </w:rPr>
        <w:t>___</w:t>
      </w:r>
      <w:r>
        <w:rPr>
          <w:sz w:val="20"/>
          <w:szCs w:val="20"/>
          <w:color w:val="auto"/>
        </w:rPr>
        <w:tab/>
      </w:r>
      <w:r>
        <w:rPr>
          <w:rFonts w:ascii="Arial" w:cs="Arial" w:eastAsia="Arial" w:hAnsi="Arial"/>
          <w:sz w:val="13"/>
          <w:szCs w:val="13"/>
          <w:color w:val="auto"/>
        </w:rPr>
        <w:t>Form 40-F______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648335</wp:posOffset>
            </wp:positionV>
            <wp:extent cx="718185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0139"/>
          </w:cols>
          <w:pgMar w:left="320" w:top="1050" w:right="1440"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ICON plc</w:t>
      </w:r>
    </w:p>
    <w:p>
      <w:pPr>
        <w:spacing w:after="0" w:line="141" w:lineRule="exact"/>
        <w:rPr>
          <w:sz w:val="20"/>
          <w:szCs w:val="20"/>
          <w:color w:val="auto"/>
        </w:rPr>
      </w:pPr>
    </w:p>
    <w:p>
      <w:pPr>
        <w:jc w:val="both"/>
        <w:ind w:firstLine="533"/>
        <w:spacing w:after="0" w:line="279" w:lineRule="auto"/>
        <w:rPr>
          <w:sz w:val="20"/>
          <w:szCs w:val="20"/>
          <w:color w:val="auto"/>
        </w:rPr>
      </w:pPr>
      <w:r>
        <w:rPr>
          <w:rFonts w:ascii="Arial" w:cs="Arial" w:eastAsia="Arial" w:hAnsi="Arial"/>
          <w:sz w:val="13"/>
          <w:szCs w:val="13"/>
          <w:color w:val="auto"/>
        </w:rPr>
        <w:t>This report on Form 6-K/A is hereby incorporated by reference into the registration statements of ICON plc on Form S-8 (Registration Nos. 333-152802, 333-204153, 333-231527, 333-254891, 333-257578 and 333-282826) and on Form F-3 (Registration No. 333-278943), and this report on Form 6-K/A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615950</wp:posOffset>
            </wp:positionV>
            <wp:extent cx="718185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EXPLANATORY NOTE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described in our Report on Form 6-K furnished on April 29, 2026, the Audit Committee of the Board of Directors (the “Audit Committee”), after discussion with management of the Company, concluded on April 27, 2026, that the Company’s previously issued audited financial statements included in its Annual Reports on Form 20-F for the years ended December 31, 2024 and 2023 (the “Affected Audited Periods”) and the unaudited interim financial statements included in the Company’s Current Reports on Form 6-K for the quarterly periods ending on and falling between September 30, 2025 and March 31, 2023 (the “Affected Unaudited Periods” and together with the Affected Audited Periods, the “Restated Periods”) should no longer be relied upon. We refer to the the Company’s Current Reports on Form 6-K with respect to the Affected Unaudited Periods as the "Affected Form 6-K Reports."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We are filing this Amendment No. 1 on Form 6-K (this "Amendment" or "Form 6-K/A") to amend the Report on Form 6-K originally filed by the Company with the Securities and Exchange Commission (the "SEC") on October 23, 2025 to restate the Company's previously issued unaudited condensed consolidated financial statements for the Affected Unaudited Periods that were included in the Affected Form 6-K Reports. This Amendment also amends certain other information impacted by the Restatement (as defined below) that was included in the Affected Form 6-K Reports. All material restatement information for the Affected Unaudited Periods is included in this Amendment, and the Company does not intend to separately amend other reports it has previously filed with the SEC.</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In this Form 6-K/A, we are including the following:</w:t>
      </w:r>
    </w:p>
    <w:p>
      <w:pPr>
        <w:spacing w:after="0" w:line="206" w:lineRule="exact"/>
        <w:rPr>
          <w:sz w:val="20"/>
          <w:szCs w:val="20"/>
          <w:color w:val="auto"/>
        </w:rPr>
      </w:pPr>
    </w:p>
    <w:p>
      <w:pPr>
        <w:ind w:left="540" w:hanging="26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restated unaudited condensed consolidated Balance Sheets as of March 31, June 30, and September 30, of each of 2023, 2024, and 2025; and</w:t>
      </w:r>
    </w:p>
    <w:p>
      <w:pPr>
        <w:spacing w:after="0" w:line="25" w:lineRule="exact"/>
        <w:rPr>
          <w:rFonts w:ascii="Arial" w:cs="Arial" w:eastAsia="Arial" w:hAnsi="Arial"/>
          <w:sz w:val="13"/>
          <w:szCs w:val="13"/>
          <w:color w:val="auto"/>
        </w:rPr>
      </w:pPr>
    </w:p>
    <w:p>
      <w:pPr>
        <w:ind w:left="540" w:hanging="264"/>
        <w:spacing w:after="0" w:line="258" w:lineRule="auto"/>
        <w:tabs>
          <w:tab w:leader="none" w:pos="531"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restated unaudited condensed consolidated Statements of Operations and, Statements of Comprehensive Income for each of the three months and year to date periods ended March 31, June 30, and September 30, of each of 2023, 2024, and 2025; and</w:t>
      </w:r>
    </w:p>
    <w:p>
      <w:pPr>
        <w:ind w:left="540" w:hanging="264"/>
        <w:spacing w:after="0" w:line="253" w:lineRule="auto"/>
        <w:tabs>
          <w:tab w:leader="none" w:pos="531"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restated unaudited condensed consolidated Statements of Shareholders' Equity for each of the three months ended March 31, June 30, and September 30, of each of 2023, 2024, and 2025; and</w:t>
      </w:r>
    </w:p>
    <w:p>
      <w:pPr>
        <w:ind w:left="540" w:right="20" w:hanging="264"/>
        <w:spacing w:after="0" w:line="288" w:lineRule="auto"/>
        <w:tabs>
          <w:tab w:leader="none" w:pos="531"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restated unaudited condensed consolidated Statements of Cash Flows for each of the year to date periods ended March 31, June 30, and September 30, of each of 2023, 2024, and 2025.</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We refer to the foregoing restatements in this document as the “Restatement.”</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Restatement Background</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As previously disclosed, in October 2025, the Audit Committee initiated an investigation into certain accounting practices and controls, following concerns reported to the Audit Committee through Company management. The Audit Committee promptly engaged outside legal counsel, who were supported by forensic and technical accounting firms, to conduct the investigation (the “Investigation”) and notified the Company’s independent registered public accounting firm. The Company has also self-reported the matter to the SEC and other relevant agencies. The Investigation primarily focused on revenue recognition practices, and, in connection with the Investigation, the Company has determined that improper adjustments were made to the clinical trial services revenue of the Company from the third quarter of 2023 to the fourth quarter of 2024. The Company also identified errors in determining the estimated cost to complete, the assessment of realizable value, and certain manual adjustments in respect of clinical trial services revenue contracts during 2023, 2024 and 2025. The Audit Committee concluded that the Company’s previously issued consolidated financial statements for the Restated Periods should no longer be relied upon and that such financial statements required restatement.</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Company has restated the audited financial statements for the Affected Audited Periods in the Annual Report on Form 20-F for the year ended December 31, 2025 (our "Form 20-F") and is filing this Amendment to restate the unaudited interim financial statements for the Affected Unaudited Periods.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Restatement of Financial Statements for the Affected Unaudited Periods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errors outlined in our Form 20-F, the following errors were identified that impacted the Affected Unaudited Periods.</w:t>
      </w:r>
    </w:p>
    <w:p>
      <w:pPr>
        <w:spacing w:after="0" w:line="206" w:lineRule="exact"/>
        <w:rPr>
          <w:sz w:val="20"/>
          <w:szCs w:val="20"/>
          <w:color w:val="auto"/>
        </w:rPr>
      </w:pPr>
    </w:p>
    <w:p>
      <w:pPr>
        <w:ind w:left="540" w:hanging="264"/>
        <w:spacing w:after="0" w:line="272" w:lineRule="auto"/>
        <w:tabs>
          <w:tab w:leader="none" w:pos="531"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preparing the Company's goodwill impairment assessment as at December 31, 2025, the Company identified additional goodwill impairment and concluded that it should have been recorded as at September 30, 2025 and has included this within the restated September 30, 2025 unaudited condensed consolidated financial statements.</w:t>
      </w:r>
    </w:p>
    <w:p>
      <w:pPr>
        <w:spacing w:after="0" w:line="161" w:lineRule="exact"/>
        <w:rPr>
          <w:rFonts w:ascii="Arial" w:cs="Arial" w:eastAsia="Arial" w:hAnsi="Arial"/>
          <w:sz w:val="13"/>
          <w:szCs w:val="13"/>
          <w:color w:val="auto"/>
        </w:rPr>
      </w:pPr>
    </w:p>
    <w:p>
      <w:pPr>
        <w:jc w:val="both"/>
        <w:ind w:left="540" w:hanging="264"/>
        <w:spacing w:after="0" w:line="270" w:lineRule="auto"/>
        <w:tabs>
          <w:tab w:leader="none" w:pos="531" w:val="left"/>
        </w:tabs>
        <w:numPr>
          <w:ilvl w:val="0"/>
          <w:numId w:val="2"/>
        </w:numPr>
        <w:rPr>
          <w:rFonts w:ascii="Arial" w:cs="Arial" w:eastAsia="Arial" w:hAnsi="Arial"/>
          <w:sz w:val="13"/>
          <w:szCs w:val="13"/>
          <w:color w:val="auto"/>
        </w:rPr>
      </w:pPr>
      <w:r>
        <w:rPr>
          <w:rFonts w:ascii="Arial" w:cs="Arial" w:eastAsia="Arial" w:hAnsi="Arial"/>
          <w:sz w:val="13"/>
          <w:szCs w:val="13"/>
          <w:color w:val="auto"/>
        </w:rPr>
        <w:t>Errors were identified between unbilled revenue and accounts receivable, net of allowance for credit losses as at March 31, and June 30, 2024. An overstatement of $160.0 million and $1.0 million were identified in accounts receivable, net of allowance for credit losses with a corresponding understatement of unbilled revenue as at March 31, and June 30, 2024 respectively.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Effect of Restatement</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The effect of this restatement on the Company's unaudited condensed consolidated Statements of Operations for each of the Affected Unaudited Periods is as follows (only impacted lines are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2025</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June 30, 2025</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2000" w:type="dxa"/>
            <w:vAlign w:val="bottom"/>
            <w:tcBorders>
              <w:top w:val="single" w:sz="8" w:color="auto"/>
              <w:bottom w:val="single" w:sz="8" w:color="auto"/>
            </w:tcBorders>
            <w:gridSpan w:val="4"/>
            <w:shd w:val="clear" w:color="auto" w:fill="CCEEFF"/>
          </w:tcPr>
          <w:p>
            <w:pPr>
              <w:jc w:val="center"/>
              <w:ind w:left="613"/>
              <w:spacing w:after="0"/>
              <w:rPr>
                <w:sz w:val="20"/>
                <w:szCs w:val="20"/>
                <w:color w:val="auto"/>
              </w:rPr>
            </w:pPr>
            <w:r>
              <w:rPr>
                <w:rFonts w:ascii="Arial" w:cs="Arial" w:eastAsia="Arial" w:hAnsi="Arial"/>
                <w:sz w:val="13"/>
                <w:szCs w:val="13"/>
                <w:b w:val="1"/>
                <w:bCs w:val="1"/>
                <w:color w:val="auto"/>
              </w:rPr>
              <w:t>September 30, 2025</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593"/>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593"/>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3"/>
                <w:szCs w:val="13"/>
                <w:b w:val="1"/>
                <w:bCs w:val="1"/>
                <w:color w:val="auto"/>
              </w:rPr>
              <w:t>Three Months Ended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2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As Restated</w:t>
            </w:r>
          </w:p>
        </w:tc>
        <w:tc>
          <w:tcPr>
            <w:tcW w:w="60" w:type="dxa"/>
            <w:vAlign w:val="bottom"/>
          </w:tcPr>
          <w:p>
            <w:pPr>
              <w:spacing w:after="0"/>
              <w:rPr>
                <w:sz w:val="14"/>
                <w:szCs w:val="14"/>
                <w:color w:val="auto"/>
              </w:rPr>
            </w:pPr>
          </w:p>
        </w:tc>
      </w:tr>
      <w:tr>
        <w:trPr>
          <w:trHeight w:val="169"/>
        </w:trPr>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2,001,332</w:t>
            </w:r>
          </w:p>
        </w:tc>
        <w:tc>
          <w:tcPr>
            <w:tcW w:w="2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13,988</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2,015,320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2,017,357</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21,731</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2,039,088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2,042,812</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41,603</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2,084,415</w:t>
            </w:r>
          </w:p>
        </w:tc>
        <w:tc>
          <w:tcPr>
            <w:tcW w:w="60" w:type="dxa"/>
            <w:vAlign w:val="bottom"/>
          </w:tcPr>
          <w:p>
            <w:pPr>
              <w:spacing w:after="0"/>
              <w:rPr>
                <w:sz w:val="15"/>
                <w:szCs w:val="15"/>
                <w:color w:val="auto"/>
              </w:rPr>
            </w:pPr>
          </w:p>
        </w:tc>
      </w:tr>
      <w:tr>
        <w:trPr>
          <w:trHeight w:val="177"/>
        </w:trPr>
        <w:tc>
          <w:tcPr>
            <w:tcW w:w="2220" w:type="dxa"/>
            <w:vAlign w:val="bottom"/>
          </w:tcPr>
          <w:p>
            <w:pPr>
              <w:ind w:left="20"/>
              <w:spacing w:after="0"/>
              <w:rPr>
                <w:sz w:val="20"/>
                <w:szCs w:val="20"/>
                <w:color w:val="auto"/>
              </w:rPr>
            </w:pPr>
            <w:r>
              <w:rPr>
                <w:rFonts w:ascii="Arial" w:cs="Arial" w:eastAsia="Arial" w:hAnsi="Arial"/>
                <w:sz w:val="13"/>
                <w:szCs w:val="13"/>
                <w:color w:val="auto"/>
              </w:rPr>
              <w:t>Direct costs</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1,442,679</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6,579</w:t>
            </w:r>
          </w:p>
        </w:tc>
        <w:tc>
          <w:tcPr>
            <w:tcW w:w="18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1,449,258</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1,455,758</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1,455,758</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1,488,364</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50,587</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1,538,951</w:t>
            </w:r>
          </w:p>
        </w:tc>
        <w:tc>
          <w:tcPr>
            <w:tcW w:w="60" w:type="dxa"/>
            <w:vAlign w:val="bottom"/>
          </w:tcPr>
          <w:p>
            <w:pPr>
              <w:spacing w:after="0"/>
              <w:rPr>
                <w:sz w:val="15"/>
                <w:szCs w:val="15"/>
                <w:color w:val="auto"/>
              </w:rPr>
            </w:pPr>
          </w:p>
        </w:tc>
      </w:tr>
      <w:tr>
        <w:trPr>
          <w:trHeight w:val="179"/>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95,958</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95,958</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97,718</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97,718</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98,495</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99,030</w:t>
            </w:r>
          </w:p>
        </w:tc>
        <w:tc>
          <w:tcPr>
            <w:tcW w:w="60" w:type="dxa"/>
            <w:vAlign w:val="bottom"/>
          </w:tcPr>
          <w:p>
            <w:pPr>
              <w:spacing w:after="0"/>
              <w:rPr>
                <w:sz w:val="15"/>
                <w:szCs w:val="15"/>
                <w:color w:val="auto"/>
              </w:rPr>
            </w:pPr>
          </w:p>
        </w:tc>
      </w:tr>
      <w:tr>
        <w:trPr>
          <w:trHeight w:val="177"/>
        </w:trPr>
        <w:tc>
          <w:tcPr>
            <w:tcW w:w="2220" w:type="dxa"/>
            <w:vAlign w:val="bottom"/>
          </w:tcPr>
          <w:p>
            <w:pPr>
              <w:ind w:left="20"/>
              <w:spacing w:after="0"/>
              <w:rPr>
                <w:sz w:val="20"/>
                <w:szCs w:val="20"/>
                <w:color w:val="auto"/>
              </w:rPr>
            </w:pPr>
            <w:r>
              <w:rPr>
                <w:rFonts w:ascii="Arial" w:cs="Arial" w:eastAsia="Arial" w:hAnsi="Arial"/>
                <w:sz w:val="13"/>
                <w:szCs w:val="13"/>
                <w:color w:val="auto"/>
              </w:rPr>
              <w:t>Goodwill impairment</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165,300</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198,948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364,248</w:t>
            </w:r>
          </w:p>
        </w:tc>
        <w:tc>
          <w:tcPr>
            <w:tcW w:w="60" w:type="dxa"/>
            <w:vAlign w:val="bottom"/>
          </w:tcPr>
          <w:p>
            <w:pPr>
              <w:spacing w:after="0"/>
              <w:rPr>
                <w:sz w:val="15"/>
                <w:szCs w:val="15"/>
                <w:color w:val="auto"/>
              </w:rPr>
            </w:pPr>
          </w:p>
        </w:tc>
      </w:tr>
      <w:tr>
        <w:trPr>
          <w:trHeight w:val="178"/>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Impairment of non-financial assets</w:t>
            </w: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101,027</w:t>
            </w: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101,027</w:t>
            </w:r>
          </w:p>
        </w:tc>
        <w:tc>
          <w:tcPr>
            <w:tcW w:w="60" w:type="dxa"/>
            <w:vAlign w:val="bottom"/>
          </w:tcPr>
          <w:p>
            <w:pPr>
              <w:spacing w:after="0"/>
              <w:rPr>
                <w:sz w:val="15"/>
                <w:szCs w:val="15"/>
                <w:color w:val="auto"/>
              </w:rPr>
            </w:pPr>
          </w:p>
        </w:tc>
      </w:tr>
      <w:tr>
        <w:trPr>
          <w:trHeight w:val="16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costs and expenses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1,781,771</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6,579</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1,788,350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1,808,149</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1,808,149</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1,956,228</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351,097</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2,307,325</w:t>
            </w:r>
          </w:p>
        </w:tc>
        <w:tc>
          <w:tcPr>
            <w:tcW w:w="60" w:type="dxa"/>
            <w:vAlign w:val="bottom"/>
          </w:tcPr>
          <w:p>
            <w:pPr>
              <w:spacing w:after="0"/>
              <w:rPr>
                <w:sz w:val="14"/>
                <w:szCs w:val="14"/>
                <w:color w:val="auto"/>
              </w:rPr>
            </w:pPr>
          </w:p>
        </w:tc>
      </w:tr>
      <w:tr>
        <w:trPr>
          <w:trHeight w:val="169"/>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 (loss) from operations</w:t>
            </w: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219,561</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7,409</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226,970</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209,208</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21,731</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230,939</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86,584</w:t>
            </w: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(309,494)</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(222,910)</w:t>
            </w:r>
          </w:p>
        </w:tc>
        <w:tc>
          <w:tcPr>
            <w:tcW w:w="60" w:type="dxa"/>
            <w:vAlign w:val="bottom"/>
          </w:tcPr>
          <w:p>
            <w:pPr>
              <w:spacing w:after="0"/>
              <w:rPr>
                <w:sz w:val="14"/>
                <w:szCs w:val="14"/>
                <w:color w:val="auto"/>
              </w:rPr>
            </w:pPr>
          </w:p>
        </w:tc>
      </w:tr>
      <w:tr>
        <w:trPr>
          <w:trHeight w:val="16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 / benefit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(19,603)</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(20,351)</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21,861</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(1,187)</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20,674</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(35,747)</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22,956</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(12,791)</w:t>
            </w:r>
          </w:p>
        </w:tc>
        <w:tc>
          <w:tcPr>
            <w:tcW w:w="60" w:type="dxa"/>
            <w:vAlign w:val="bottom"/>
          </w:tcPr>
          <w:p>
            <w:pPr>
              <w:spacing w:after="0"/>
              <w:rPr>
                <w:sz w:val="14"/>
                <w:szCs w:val="14"/>
                <w:color w:val="auto"/>
              </w:rPr>
            </w:pPr>
          </w:p>
        </w:tc>
      </w:tr>
      <w:tr>
        <w:trPr>
          <w:trHeight w:val="194"/>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income / (loss)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154,151</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6,661</w:t>
            </w: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160,812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182,972</w:t>
            </w: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20,544</w:t>
            </w: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203,516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2,355</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(286,538)</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(284,183)</w:t>
            </w:r>
          </w:p>
        </w:tc>
        <w:tc>
          <w:tcPr>
            <w:tcW w:w="60" w:type="dxa"/>
            <w:vAlign w:val="bottom"/>
          </w:tcPr>
          <w:p>
            <w:pPr>
              <w:spacing w:after="0"/>
              <w:rPr>
                <w:sz w:val="16"/>
                <w:szCs w:val="16"/>
                <w:color w:val="auto"/>
              </w:rPr>
            </w:pPr>
          </w:p>
        </w:tc>
      </w:tr>
      <w:tr>
        <w:trPr>
          <w:trHeight w:val="20"/>
        </w:trPr>
        <w:tc>
          <w:tcPr>
            <w:tcW w:w="2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gridSpan w:val="4"/>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66"/>
        </w:trPr>
        <w:tc>
          <w:tcPr>
            <w:tcW w:w="2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22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2024</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June 30, 2024</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gridSpan w:val="4"/>
            <w:shd w:val="clear" w:color="auto" w:fill="CCEEFF"/>
          </w:tcPr>
          <w:p>
            <w:pPr>
              <w:jc w:val="center"/>
              <w:ind w:left="613"/>
              <w:spacing w:after="0"/>
              <w:rPr>
                <w:sz w:val="20"/>
                <w:szCs w:val="20"/>
                <w:color w:val="auto"/>
              </w:rPr>
            </w:pPr>
            <w:r>
              <w:rPr>
                <w:rFonts w:ascii="Arial" w:cs="Arial" w:eastAsia="Arial" w:hAnsi="Arial"/>
                <w:sz w:val="13"/>
                <w:szCs w:val="13"/>
                <w:b w:val="1"/>
                <w:bCs w:val="1"/>
                <w:color w:val="auto"/>
              </w:rPr>
              <w:t>September 30, 2024</w:t>
            </w:r>
          </w:p>
        </w:tc>
        <w:tc>
          <w:tcPr>
            <w:tcW w:w="780" w:type="dxa"/>
            <w:vAlign w:val="bottom"/>
            <w:tcBorders>
              <w:bottom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593"/>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593"/>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3"/>
                <w:szCs w:val="13"/>
                <w:b w:val="1"/>
                <w:bCs w:val="1"/>
                <w:color w:val="auto"/>
              </w:rPr>
              <w:t>Three Months Ended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2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As Restated</w:t>
            </w:r>
          </w:p>
        </w:tc>
        <w:tc>
          <w:tcPr>
            <w:tcW w:w="60" w:type="dxa"/>
            <w:vAlign w:val="bottom"/>
          </w:tcPr>
          <w:p>
            <w:pPr>
              <w:spacing w:after="0"/>
              <w:rPr>
                <w:sz w:val="14"/>
                <w:szCs w:val="14"/>
                <w:color w:val="auto"/>
              </w:rPr>
            </w:pPr>
          </w:p>
        </w:tc>
      </w:tr>
      <w:tr>
        <w:trPr>
          <w:trHeight w:val="169"/>
        </w:trPr>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2,090,386</w:t>
            </w:r>
          </w:p>
        </w:tc>
        <w:tc>
          <w:tcPr>
            <w:tcW w:w="2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(47,132)</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2,043,254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2,120,159</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(78,233)</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2,041,926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2,030,030</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11,913</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2,041,943</w:t>
            </w:r>
          </w:p>
        </w:tc>
        <w:tc>
          <w:tcPr>
            <w:tcW w:w="60" w:type="dxa"/>
            <w:vAlign w:val="bottom"/>
          </w:tcPr>
          <w:p>
            <w:pPr>
              <w:spacing w:after="0"/>
              <w:rPr>
                <w:sz w:val="15"/>
                <w:szCs w:val="15"/>
                <w:color w:val="auto"/>
              </w:rPr>
            </w:pPr>
          </w:p>
        </w:tc>
      </w:tr>
      <w:tr>
        <w:trPr>
          <w:trHeight w:val="177"/>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Direct costs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1,471,367</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(4,083)</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1,467,284</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1,493,600</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(5,344)</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1,488,256</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1,438,616</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(5,222)</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1,433,394</w:t>
            </w:r>
          </w:p>
        </w:tc>
        <w:tc>
          <w:tcPr>
            <w:tcW w:w="60" w:type="dxa"/>
            <w:vAlign w:val="bottom"/>
          </w:tcPr>
          <w:p>
            <w:pPr>
              <w:spacing w:after="0"/>
              <w:rPr>
                <w:sz w:val="15"/>
                <w:szCs w:val="15"/>
                <w:color w:val="auto"/>
              </w:rPr>
            </w:pPr>
          </w:p>
        </w:tc>
      </w:tr>
      <w:tr>
        <w:trPr>
          <w:trHeight w:val="169"/>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costs and expenses</w:t>
            </w: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1,804,889</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(4,083)</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1,800,806</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1,890,302</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(5,344)</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1,884,958</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1,744,596</w:t>
            </w: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(5,222)</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1,739,374</w:t>
            </w:r>
          </w:p>
        </w:tc>
        <w:tc>
          <w:tcPr>
            <w:tcW w:w="60" w:type="dxa"/>
            <w:vAlign w:val="bottom"/>
          </w:tcPr>
          <w:p>
            <w:pPr>
              <w:spacing w:after="0"/>
              <w:rPr>
                <w:sz w:val="14"/>
                <w:szCs w:val="14"/>
                <w:color w:val="auto"/>
              </w:rPr>
            </w:pPr>
          </w:p>
        </w:tc>
      </w:tr>
      <w:tr>
        <w:trPr>
          <w:trHeight w:val="16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from operations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285,497</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(43,049)</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242,448</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229,857</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(72,889)</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156,968</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285,434</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17,135</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302,569</w:t>
            </w:r>
          </w:p>
        </w:tc>
        <w:tc>
          <w:tcPr>
            <w:tcW w:w="60" w:type="dxa"/>
            <w:vAlign w:val="bottom"/>
          </w:tcPr>
          <w:p>
            <w:pPr>
              <w:spacing w:after="0"/>
              <w:rPr>
                <w:sz w:val="14"/>
                <w:szCs w:val="14"/>
                <w:color w:val="auto"/>
              </w:rPr>
            </w:pPr>
          </w:p>
        </w:tc>
      </w:tr>
      <w:tr>
        <w:trPr>
          <w:trHeight w:val="169"/>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(28,324)</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3,948</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(24,376)</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(23,344)</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8,755</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(14,589)</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(37,437)</w:t>
            </w: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(38,432)</w:t>
            </w:r>
          </w:p>
        </w:tc>
        <w:tc>
          <w:tcPr>
            <w:tcW w:w="60" w:type="dxa"/>
            <w:vAlign w:val="bottom"/>
          </w:tcPr>
          <w:p>
            <w:pPr>
              <w:spacing w:after="0"/>
              <w:rPr>
                <w:sz w:val="14"/>
                <w:szCs w:val="14"/>
                <w:color w:val="auto"/>
              </w:rPr>
            </w:pPr>
          </w:p>
        </w:tc>
      </w:tr>
      <w:tr>
        <w:trPr>
          <w:trHeight w:val="16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187,438</w:t>
            </w: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(39,101)</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148,337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146,910</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(64,134)</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82,776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197,128</w:t>
            </w: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16,140</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213,268</w:t>
            </w:r>
          </w:p>
        </w:tc>
        <w:tc>
          <w:tcPr>
            <w:tcW w:w="60" w:type="dxa"/>
            <w:vAlign w:val="bottom"/>
          </w:tcPr>
          <w:p>
            <w:pPr>
              <w:spacing w:after="0"/>
              <w:rPr>
                <w:sz w:val="14"/>
                <w:szCs w:val="14"/>
                <w:color w:val="auto"/>
              </w:rPr>
            </w:pP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5"/>
        </w:trPr>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73"/>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4"/>
        </w:trPr>
        <w:tc>
          <w:tcPr>
            <w:tcW w:w="2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9"/>
        </w:trPr>
        <w:tc>
          <w:tcPr>
            <w:tcW w:w="196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2023</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2000" w:type="dxa"/>
            <w:vAlign w:val="bottom"/>
            <w:tcBorders>
              <w:top w:val="single" w:sz="8" w:color="auto"/>
              <w:bottom w:val="single" w:sz="8" w:color="auto"/>
            </w:tcBorders>
            <w:gridSpan w:val="4"/>
            <w:shd w:val="clear" w:color="auto" w:fill="CCEEFF"/>
          </w:tcPr>
          <w:p>
            <w:pPr>
              <w:jc w:val="center"/>
              <w:ind w:left="613"/>
              <w:spacing w:after="0"/>
              <w:rPr>
                <w:sz w:val="20"/>
                <w:szCs w:val="20"/>
                <w:color w:val="auto"/>
              </w:rPr>
            </w:pPr>
            <w:r>
              <w:rPr>
                <w:rFonts w:ascii="Arial" w:cs="Arial" w:eastAsia="Arial" w:hAnsi="Arial"/>
                <w:sz w:val="13"/>
                <w:szCs w:val="13"/>
                <w:b w:val="1"/>
                <w:bCs w:val="1"/>
                <w:color w:val="auto"/>
              </w:rPr>
              <w:t>September 30, 2023</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1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593"/>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3"/>
                <w:szCs w:val="13"/>
                <w:b w:val="1"/>
                <w:bCs w:val="1"/>
                <w:color w:val="auto"/>
              </w:rPr>
              <w:t>Three Months Ended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1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6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9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As Restated</w:t>
            </w:r>
          </w:p>
        </w:tc>
        <w:tc>
          <w:tcPr>
            <w:tcW w:w="60" w:type="dxa"/>
            <w:vAlign w:val="bottom"/>
          </w:tcPr>
          <w:p>
            <w:pPr>
              <w:spacing w:after="0"/>
              <w:rPr>
                <w:sz w:val="14"/>
                <w:szCs w:val="14"/>
                <w:color w:val="auto"/>
              </w:rPr>
            </w:pPr>
          </w:p>
        </w:tc>
      </w:tr>
      <w:tr>
        <w:trPr>
          <w:trHeight w:val="169"/>
        </w:trPr>
        <w:tc>
          <w:tcPr>
            <w:tcW w:w="1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1,978,578</w:t>
            </w:r>
          </w:p>
        </w:tc>
        <w:tc>
          <w:tcPr>
            <w:tcW w:w="2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(12,770)</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1,965,808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2,020,251</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(12,050)</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2,008,201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2,055,099</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(14,785)</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2,040,314</w:t>
            </w:r>
          </w:p>
        </w:tc>
        <w:tc>
          <w:tcPr>
            <w:tcW w:w="60" w:type="dxa"/>
            <w:vAlign w:val="bottom"/>
          </w:tcPr>
          <w:p>
            <w:pPr>
              <w:spacing w:after="0"/>
              <w:rPr>
                <w:sz w:val="15"/>
                <w:szCs w:val="15"/>
                <w:color w:val="auto"/>
              </w:rPr>
            </w:pPr>
          </w:p>
        </w:tc>
      </w:tr>
      <w:tr>
        <w:trPr>
          <w:trHeight w:val="177"/>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Direct costs</w:t>
            </w: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1,395,546</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(3,624)</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1,391,922</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1,429,540</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(3,134)</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1,426,406</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1,449,136</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(3,394)</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1,445,742</w:t>
            </w:r>
          </w:p>
        </w:tc>
        <w:tc>
          <w:tcPr>
            <w:tcW w:w="60" w:type="dxa"/>
            <w:vAlign w:val="bottom"/>
          </w:tcPr>
          <w:p>
            <w:pPr>
              <w:spacing w:after="0"/>
              <w:rPr>
                <w:sz w:val="15"/>
                <w:szCs w:val="15"/>
                <w:color w:val="auto"/>
              </w:rPr>
            </w:pPr>
          </w:p>
        </w:tc>
      </w:tr>
      <w:tr>
        <w:trPr>
          <w:trHeight w:val="169"/>
        </w:trPr>
        <w:tc>
          <w:tcPr>
            <w:tcW w:w="1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costs and expenses</w:t>
            </w:r>
          </w:p>
        </w:tc>
        <w:tc>
          <w:tcPr>
            <w:tcW w:w="5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1,761,789</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(3,624)</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1,758,165</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1,810,767</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(3,134)</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1,807,633</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1,790,788</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1,787,394</w:t>
            </w:r>
          </w:p>
        </w:tc>
        <w:tc>
          <w:tcPr>
            <w:tcW w:w="60" w:type="dxa"/>
            <w:vAlign w:val="bottom"/>
          </w:tcPr>
          <w:p>
            <w:pPr>
              <w:spacing w:after="0"/>
              <w:rPr>
                <w:sz w:val="14"/>
                <w:szCs w:val="14"/>
                <w:color w:val="auto"/>
              </w:rPr>
            </w:pPr>
          </w:p>
        </w:tc>
      </w:tr>
      <w:tr>
        <w:trPr>
          <w:trHeight w:val="16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from operations</w:t>
            </w: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216,789</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(9,146)</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207,643</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209,484</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(8,916)</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200,568</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264,311</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(11,391)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252,920</w:t>
            </w:r>
          </w:p>
        </w:tc>
        <w:tc>
          <w:tcPr>
            <w:tcW w:w="60" w:type="dxa"/>
            <w:vAlign w:val="bottom"/>
          </w:tcPr>
          <w:p>
            <w:pPr>
              <w:spacing w:after="0"/>
              <w:rPr>
                <w:sz w:val="14"/>
                <w:szCs w:val="14"/>
                <w:color w:val="auto"/>
              </w:rPr>
            </w:pPr>
          </w:p>
        </w:tc>
      </w:tr>
      <w:tr>
        <w:trPr>
          <w:trHeight w:val="169"/>
        </w:trPr>
        <w:tc>
          <w:tcPr>
            <w:tcW w:w="1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5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(14,273)</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1,369</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(12,904)</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(9,629)</w:t>
            </w: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(8,266)</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(18,011)</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1,627</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(16,384)</w:t>
            </w:r>
          </w:p>
        </w:tc>
        <w:tc>
          <w:tcPr>
            <w:tcW w:w="60" w:type="dxa"/>
            <w:vAlign w:val="bottom"/>
          </w:tcPr>
          <w:p>
            <w:pPr>
              <w:spacing w:after="0"/>
              <w:rPr>
                <w:sz w:val="14"/>
                <w:szCs w:val="14"/>
                <w:color w:val="auto"/>
              </w:rPr>
            </w:pPr>
          </w:p>
        </w:tc>
      </w:tr>
      <w:tr>
        <w:trPr>
          <w:trHeight w:val="16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116,654</w:t>
            </w: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(7,777)</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108,877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115,598</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(7,553)</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108,045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163,665</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(9,764)</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153,901</w:t>
            </w:r>
          </w:p>
        </w:tc>
        <w:tc>
          <w:tcPr>
            <w:tcW w:w="60" w:type="dxa"/>
            <w:vAlign w:val="bottom"/>
          </w:tcPr>
          <w:p>
            <w:pPr>
              <w:spacing w:after="0"/>
              <w:rPr>
                <w:sz w:val="14"/>
                <w:szCs w:val="14"/>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95"/>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73"/>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4"/>
        </w:trPr>
        <w:tc>
          <w:tcPr>
            <w:tcW w:w="19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GENERAL</w:t>
      </w:r>
    </w:p>
    <w:p>
      <w:pPr>
        <w:spacing w:after="0" w:line="208" w:lineRule="exact"/>
        <w:rPr>
          <w:sz w:val="20"/>
          <w:szCs w:val="20"/>
          <w:color w:val="auto"/>
        </w:rPr>
      </w:pPr>
    </w:p>
    <w:p>
      <w:pPr>
        <w:jc w:val="both"/>
        <w:ind w:firstLine="533"/>
        <w:spacing w:after="0" w:line="308" w:lineRule="auto"/>
        <w:rPr>
          <w:sz w:val="20"/>
          <w:szCs w:val="20"/>
          <w:color w:val="auto"/>
        </w:rPr>
      </w:pPr>
      <w:r>
        <w:rPr>
          <w:rFonts w:ascii="Arial" w:cs="Arial" w:eastAsia="Arial" w:hAnsi="Arial"/>
          <w:sz w:val="13"/>
          <w:szCs w:val="13"/>
          <w:color w:val="auto"/>
        </w:rPr>
        <w:t>As used herein, “ICON plc”, “ICON”, "ICON Group", the “Company” and “we”, "our" or “us” refer to ICON public limited company and its consolidated subsidiaries, unless the context requires otherwise.</w:t>
      </w:r>
    </w:p>
    <w:p>
      <w:pPr>
        <w:spacing w:after="0" w:line="139" w:lineRule="exact"/>
        <w:rPr>
          <w:sz w:val="20"/>
          <w:szCs w:val="20"/>
          <w:color w:val="auto"/>
        </w:rPr>
      </w:pPr>
    </w:p>
    <w:p>
      <w:pPr>
        <w:jc w:val="both"/>
        <w:ind w:firstLine="533"/>
        <w:spacing w:after="0" w:line="308" w:lineRule="auto"/>
        <w:rPr>
          <w:sz w:val="20"/>
          <w:szCs w:val="20"/>
          <w:color w:val="auto"/>
        </w:rPr>
      </w:pPr>
      <w:r>
        <w:rPr>
          <w:rFonts w:ascii="Arial" w:cs="Arial" w:eastAsia="Arial" w:hAnsi="Arial"/>
          <w:sz w:val="13"/>
          <w:szCs w:val="13"/>
          <w:color w:val="auto"/>
        </w:rPr>
        <w:t>Unless otherwise indicated, ICON plc’s financial statements and other financial data contained in this Form 6-K/A are presented in United States dollars (“$”) and are prepared in accordance with generally accepted accounting principles in the United States (“U.S. GAAP”).</w:t>
      </w:r>
    </w:p>
    <w:p>
      <w:pPr>
        <w:spacing w:after="0" w:line="139"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3"/>
          <w:szCs w:val="13"/>
          <w:color w:val="auto"/>
        </w:rPr>
        <w:t>In this Form 6-K/A, references to “U.S. dollars”, “U.S.$” or “$” are to the lawful currency of the United States, references to “euro” or “€” are to the European single currency adopted by certain members of the European Union, references to “pound sterling”, “sterling”, “£”, “pence” or “p” are to the lawful currency of the United Kingdom. ICON publishes its consolidated financial statements in U.S. dollars.</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208"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3"/>
          <w:szCs w:val="13"/>
          <w:color w:val="auto"/>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the remediation of material weaknesses in the Company's internal control over financial reporting and the implementation of the Company's corrective action plan;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risks relating to the Company's strategic partnerships, the dependence on certain key executives, changes in the regulatory environment, exchange rate fluctuations, inflation and rising labor costs, the effect of material weaknesses on our internal control over financial reporting, and the risk that material weaknesses in the Company's internal control over financial reporting are not remediated on the timeline expected or at all. Please also refer to the section entitled "Risk Factors" of our Form 20-F filed on May 27, 2026 for a discussion of some of the principal risks that could adversely affect our business, operations and financial results. The Company’s forward-looking statements speak only as of the date of this report or as of the date they are made, and the Company undertakes no obligation to update its forward-looking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Restatement of Unaudited Condensed Consolidated Financial Statements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Restatement of Previously Issued Quarterly Financial Statements</w:t>
      </w:r>
    </w:p>
    <w:p>
      <w:pPr>
        <w:spacing w:after="0" w:line="206" w:lineRule="exact"/>
        <w:rPr>
          <w:sz w:val="20"/>
          <w:szCs w:val="20"/>
          <w:color w:val="auto"/>
        </w:rPr>
      </w:pPr>
    </w:p>
    <w:p>
      <w:pPr>
        <w:jc w:val="both"/>
        <w:ind w:firstLine="533"/>
        <w:spacing w:after="0" w:line="308" w:lineRule="auto"/>
        <w:rPr>
          <w:sz w:val="20"/>
          <w:szCs w:val="20"/>
          <w:color w:val="auto"/>
        </w:rPr>
      </w:pPr>
      <w:r>
        <w:rPr>
          <w:rFonts w:ascii="Arial" w:cs="Arial" w:eastAsia="Arial" w:hAnsi="Arial"/>
          <w:sz w:val="13"/>
          <w:szCs w:val="13"/>
          <w:color w:val="auto"/>
        </w:rPr>
        <w:t>The Company is presenting herein restated unaudited condensed consolidated financial information for the fiscal quarters and year-to-date periods ended March 31, June 30 and September 30, 2025; March 31, June 30 and September 30, 2024; and March 31, June 30 and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 w:name="page7"/>
    <w:bookmarkEnd w:id="6"/>
    <w:p>
      <w:pPr>
        <w:jc w:val="both"/>
        <w:ind w:firstLine="533"/>
        <w:spacing w:after="0" w:line="262" w:lineRule="auto"/>
        <w:rPr>
          <w:sz w:val="20"/>
          <w:szCs w:val="20"/>
          <w:color w:val="auto"/>
        </w:rPr>
      </w:pPr>
      <w:r>
        <w:rPr>
          <w:rFonts w:ascii="Arial" w:cs="Arial" w:eastAsia="Arial" w:hAnsi="Arial"/>
          <w:sz w:val="13"/>
          <w:szCs w:val="13"/>
          <w:color w:val="auto"/>
        </w:rPr>
        <w:t>The table below sets forth the unaudited condensed Consolidated Statements of Operations, including the balances originally reported in the Company’s unaudited condensed Consolidated financial statements, the effects of the adjustments made and the restated balances for each of the three months and year to date periods ended March 31, June 30, and September 30 of 2025.</w:t>
      </w:r>
    </w:p>
    <w:p>
      <w:pPr>
        <w:jc w:val="center"/>
        <w:ind w:right="20"/>
        <w:spacing w:after="0"/>
        <w:rPr>
          <w:sz w:val="20"/>
          <w:szCs w:val="20"/>
          <w:color w:val="auto"/>
        </w:rPr>
      </w:pPr>
      <w:r>
        <w:rPr>
          <w:rFonts w:ascii="Arial" w:cs="Arial" w:eastAsia="Arial" w:hAnsi="Arial"/>
          <w:sz w:val="13"/>
          <w:szCs w:val="13"/>
          <w:b w:val="1"/>
          <w:bCs w:val="1"/>
          <w:color w:val="auto"/>
        </w:rPr>
        <w:t>ICON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2025</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560" w:type="dxa"/>
            <w:vAlign w:val="bottom"/>
            <w:tcBorders>
              <w:top w:val="single" w:sz="8" w:color="auto"/>
              <w:bottom w:val="single" w:sz="8" w:color="auto"/>
            </w:tcBorders>
            <w:gridSpan w:val="3"/>
            <w:shd w:val="clear" w:color="auto" w:fill="CCEEFF"/>
          </w:tcPr>
          <w:p>
            <w:pPr>
              <w:jc w:val="right"/>
              <w:ind w:right="353"/>
              <w:spacing w:after="0"/>
              <w:rPr>
                <w:sz w:val="20"/>
                <w:szCs w:val="20"/>
                <w:color w:val="auto"/>
              </w:rPr>
            </w:pPr>
            <w:r>
              <w:rPr>
                <w:rFonts w:ascii="Arial" w:cs="Arial" w:eastAsia="Arial" w:hAnsi="Arial"/>
                <w:sz w:val="13"/>
                <w:szCs w:val="13"/>
                <w:b w:val="1"/>
                <w:bCs w:val="1"/>
                <w:color w:val="auto"/>
              </w:rPr>
              <w:t>June 30, 2025</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20" w:type="dxa"/>
            <w:vAlign w:val="bottom"/>
            <w:shd w:val="clear" w:color="auto" w:fill="CCEEFF"/>
          </w:tcPr>
          <w:p>
            <w:pPr>
              <w:spacing w:after="0"/>
              <w:rPr>
                <w:sz w:val="10"/>
                <w:szCs w:val="10"/>
                <w:color w:val="auto"/>
              </w:rPr>
            </w:pPr>
          </w:p>
        </w:tc>
        <w:tc>
          <w:tcPr>
            <w:tcW w:w="16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As Reported</w:t>
            </w:r>
          </w:p>
        </w:tc>
        <w:tc>
          <w:tcPr>
            <w:tcW w:w="100" w:type="dxa"/>
            <w:vAlign w:val="bottom"/>
            <w:shd w:val="clear" w:color="auto" w:fill="CCEEFF"/>
          </w:tcPr>
          <w:p>
            <w:pPr>
              <w:spacing w:after="0"/>
              <w:rPr>
                <w:sz w:val="10"/>
                <w:szCs w:val="10"/>
                <w:color w:val="auto"/>
              </w:rPr>
            </w:pPr>
          </w:p>
        </w:tc>
        <w:tc>
          <w:tcPr>
            <w:tcW w:w="16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00" w:type="dxa"/>
            <w:vAlign w:val="bottom"/>
            <w:shd w:val="clear" w:color="auto" w:fill="CCEEFF"/>
          </w:tcPr>
          <w:p>
            <w:pPr>
              <w:spacing w:after="0"/>
              <w:rPr>
                <w:sz w:val="10"/>
                <w:szCs w:val="10"/>
                <w:color w:val="auto"/>
              </w:rPr>
            </w:pPr>
          </w:p>
        </w:tc>
        <w:tc>
          <w:tcPr>
            <w:tcW w:w="1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0" w:type="dxa"/>
            <w:vAlign w:val="bottom"/>
          </w:tcPr>
          <w:p>
            <w:pPr>
              <w:spacing w:after="0"/>
              <w:rPr>
                <w:sz w:val="1"/>
                <w:szCs w:val="1"/>
                <w:color w:val="auto"/>
              </w:rPr>
            </w:pPr>
          </w:p>
        </w:tc>
      </w:tr>
      <w:tr>
        <w:trPr>
          <w:trHeight w:val="178"/>
        </w:trPr>
        <w:tc>
          <w:tcPr>
            <w:tcW w:w="3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gridSpan w:val="3"/>
            <w:vMerge w:val="continue"/>
            <w:shd w:val="clear" w:color="auto" w:fill="CCEEFF"/>
          </w:tcPr>
          <w:p>
            <w:pPr>
              <w:spacing w:after="0"/>
              <w:rPr>
                <w:sz w:val="15"/>
                <w:szCs w:val="15"/>
                <w:color w:val="auto"/>
              </w:rPr>
            </w:pPr>
          </w:p>
        </w:tc>
        <w:tc>
          <w:tcPr>
            <w:tcW w:w="86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gridSpan w:val="3"/>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0" w:type="dxa"/>
            <w:vAlign w:val="bottom"/>
            <w:gridSpan w:val="9"/>
          </w:tcPr>
          <w:p>
            <w:pPr>
              <w:jc w:val="right"/>
              <w:ind w:right="573"/>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2,001,332</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13,988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2,015,320</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2,017,357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21,731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2,039,088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4,018,689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4,054,408</w:t>
            </w:r>
          </w:p>
        </w:tc>
        <w:tc>
          <w:tcPr>
            <w:tcW w:w="0" w:type="dxa"/>
            <w:vAlign w:val="bottom"/>
          </w:tcPr>
          <w:p>
            <w:pPr>
              <w:spacing w:after="0"/>
              <w:rPr>
                <w:sz w:val="1"/>
                <w:szCs w:val="1"/>
                <w:color w:val="auto"/>
              </w:rPr>
            </w:pPr>
          </w:p>
        </w:tc>
      </w:tr>
      <w:tr>
        <w:trPr>
          <w:trHeight w:val="178"/>
        </w:trPr>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00" w:type="dxa"/>
            <w:vAlign w:val="bottom"/>
          </w:tcPr>
          <w:p>
            <w:pPr>
              <w:ind w:left="300"/>
              <w:spacing w:after="0"/>
              <w:rPr>
                <w:sz w:val="20"/>
                <w:szCs w:val="20"/>
                <w:color w:val="auto"/>
              </w:rPr>
            </w:pPr>
            <w:r>
              <w:rPr>
                <w:rFonts w:ascii="Arial" w:cs="Arial" w:eastAsia="Arial" w:hAnsi="Arial"/>
                <w:sz w:val="13"/>
                <w:szCs w:val="13"/>
                <w:color w:val="auto"/>
              </w:rPr>
              <w:t>Direct costs</w:t>
            </w:r>
          </w:p>
        </w:tc>
        <w:tc>
          <w:tcPr>
            <w:tcW w:w="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1,442,679</w:t>
            </w:r>
          </w:p>
        </w:tc>
        <w:tc>
          <w:tcPr>
            <w:tcW w:w="1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6,579</w:t>
            </w:r>
          </w:p>
        </w:tc>
        <w:tc>
          <w:tcPr>
            <w:tcW w:w="10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1,449,258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1,455,758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1,455,758</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2,898,437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6,579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2,905,016</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Selling, general and administrative</w:t>
            </w: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198,384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198,384</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205,006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205,006</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403,390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403,390</w:t>
            </w:r>
          </w:p>
        </w:tc>
        <w:tc>
          <w:tcPr>
            <w:tcW w:w="0" w:type="dxa"/>
            <w:vAlign w:val="bottom"/>
          </w:tcPr>
          <w:p>
            <w:pPr>
              <w:spacing w:after="0"/>
              <w:rPr>
                <w:sz w:val="1"/>
                <w:szCs w:val="1"/>
                <w:color w:val="auto"/>
              </w:rPr>
            </w:pPr>
          </w:p>
        </w:tc>
      </w:tr>
      <w:tr>
        <w:trPr>
          <w:trHeight w:val="177"/>
        </w:trPr>
        <w:tc>
          <w:tcPr>
            <w:tcW w:w="310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95,958</w:t>
            </w:r>
          </w:p>
        </w:tc>
        <w:tc>
          <w:tcPr>
            <w:tcW w:w="1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95,958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97,718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97,718</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193,676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193,676</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Transaction and integration related</w:t>
            </w: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5,404</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6,717</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12,121</w:t>
            </w:r>
          </w:p>
        </w:tc>
        <w:tc>
          <w:tcPr>
            <w:tcW w:w="0" w:type="dxa"/>
            <w:vAlign w:val="bottom"/>
          </w:tcPr>
          <w:p>
            <w:pPr>
              <w:spacing w:after="0"/>
              <w:rPr>
                <w:sz w:val="1"/>
                <w:szCs w:val="1"/>
                <w:color w:val="auto"/>
              </w:rPr>
            </w:pPr>
          </w:p>
        </w:tc>
      </w:tr>
      <w:tr>
        <w:trPr>
          <w:trHeight w:val="177"/>
        </w:trPr>
        <w:tc>
          <w:tcPr>
            <w:tcW w:w="31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Restructuring</w:t>
            </w: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39,346</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39,346</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42,950</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42,950</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82,296</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82,296</w:t>
            </w:r>
          </w:p>
        </w:tc>
        <w:tc>
          <w:tcPr>
            <w:tcW w:w="0" w:type="dxa"/>
            <w:vAlign w:val="bottom"/>
          </w:tcPr>
          <w:p>
            <w:pPr>
              <w:spacing w:after="0"/>
              <w:rPr>
                <w:sz w:val="1"/>
                <w:szCs w:val="1"/>
                <w:color w:val="auto"/>
              </w:rPr>
            </w:pPr>
          </w:p>
        </w:tc>
      </w:tr>
      <w:tr>
        <w:trPr>
          <w:trHeight w:val="169"/>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costs and expenses</w:t>
            </w:r>
          </w:p>
        </w:tc>
        <w:tc>
          <w:tcPr>
            <w:tcW w:w="5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1,781,771</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6,579</w:t>
            </w: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1,788,350</w:t>
            </w: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1,808,149</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1,808,149</w:t>
            </w: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3,589,920</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6,579</w:t>
            </w: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3,596,499</w:t>
            </w: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219,561</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7,409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226,970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209,208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21,731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230,939</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428,769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29,140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457,909</w:t>
            </w:r>
          </w:p>
        </w:tc>
        <w:tc>
          <w:tcPr>
            <w:tcW w:w="0" w:type="dxa"/>
            <w:vAlign w:val="bottom"/>
          </w:tcPr>
          <w:p>
            <w:pPr>
              <w:spacing w:after="0"/>
              <w:rPr>
                <w:sz w:val="1"/>
                <w:szCs w:val="1"/>
                <w:color w:val="auto"/>
              </w:rPr>
            </w:pPr>
          </w:p>
        </w:tc>
      </w:tr>
      <w:tr>
        <w:trPr>
          <w:trHeight w:val="177"/>
        </w:trPr>
        <w:tc>
          <w:tcPr>
            <w:tcW w:w="3100" w:type="dxa"/>
            <w:vAlign w:val="bottom"/>
          </w:tcPr>
          <w:p>
            <w:pPr>
              <w:ind w:left="300"/>
              <w:spacing w:after="0"/>
              <w:rPr>
                <w:sz w:val="20"/>
                <w:szCs w:val="20"/>
                <w:color w:val="auto"/>
              </w:rPr>
            </w:pPr>
            <w:r>
              <w:rPr>
                <w:rFonts w:ascii="Arial" w:cs="Arial" w:eastAsia="Arial" w:hAnsi="Arial"/>
                <w:sz w:val="13"/>
                <w:szCs w:val="13"/>
                <w:color w:val="auto"/>
              </w:rPr>
              <w:t>Interest income</w:t>
            </w:r>
          </w:p>
        </w:tc>
        <w:tc>
          <w:tcPr>
            <w:tcW w:w="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1,802</w:t>
            </w:r>
          </w:p>
        </w:tc>
        <w:tc>
          <w:tcPr>
            <w:tcW w:w="1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1,802</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2,054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2,054</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3,856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3,856</w:t>
            </w:r>
          </w:p>
        </w:tc>
        <w:tc>
          <w:tcPr>
            <w:tcW w:w="0" w:type="dxa"/>
            <w:vAlign w:val="bottom"/>
          </w:tcPr>
          <w:p>
            <w:pPr>
              <w:spacing w:after="0"/>
              <w:rPr>
                <w:sz w:val="1"/>
                <w:szCs w:val="1"/>
                <w:color w:val="auto"/>
              </w:rPr>
            </w:pPr>
          </w:p>
        </w:tc>
      </w:tr>
      <w:tr>
        <w:trPr>
          <w:trHeight w:val="178"/>
        </w:trPr>
        <w:tc>
          <w:tcPr>
            <w:tcW w:w="3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Interest expense</w:t>
            </w: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(47,609)</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(47,609)</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(50,151)</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(50,151)</w:t>
            </w: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(97,760)</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(97,760)</w:t>
            </w: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 / benefit</w:t>
            </w: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173,754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7,409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181,163</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161,111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21,731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182,842</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334,865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29,140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364,005</w:t>
            </w:r>
          </w:p>
        </w:tc>
        <w:tc>
          <w:tcPr>
            <w:tcW w:w="0" w:type="dxa"/>
            <w:vAlign w:val="bottom"/>
          </w:tcPr>
          <w:p>
            <w:pPr>
              <w:spacing w:after="0"/>
              <w:rPr>
                <w:sz w:val="1"/>
                <w:szCs w:val="1"/>
                <w:color w:val="auto"/>
              </w:rPr>
            </w:pPr>
          </w:p>
        </w:tc>
      </w:tr>
      <w:tr>
        <w:trPr>
          <w:trHeight w:val="177"/>
        </w:trPr>
        <w:tc>
          <w:tcPr>
            <w:tcW w:w="31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Income tax (expense) / benefit</w:t>
            </w: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(19,603)</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(20,351)</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21,861</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(1,187)</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20,674</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2,258</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(1,935)</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59"/>
        </w:trPr>
        <w:tc>
          <w:tcPr>
            <w:tcW w:w="3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154,151</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6,661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160,812</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182,972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203,516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337,123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364,328</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00" w:type="dxa"/>
            <w:vAlign w:val="bottom"/>
          </w:tcPr>
          <w:p>
            <w:pPr>
              <w:ind w:left="20"/>
              <w:spacing w:after="0"/>
              <w:rPr>
                <w:sz w:val="20"/>
                <w:szCs w:val="20"/>
                <w:color w:val="auto"/>
              </w:rPr>
            </w:pPr>
            <w:r>
              <w:rPr>
                <w:rFonts w:ascii="Arial" w:cs="Arial" w:eastAsia="Arial" w:hAnsi="Arial"/>
                <w:sz w:val="13"/>
                <w:szCs w:val="13"/>
                <w:color w:val="auto"/>
              </w:rPr>
              <w:t>Net income per ordinary share:</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00" w:type="dxa"/>
            <w:vAlign w:val="bottom"/>
          </w:tcPr>
          <w:p>
            <w:pPr>
              <w:ind w:left="20"/>
              <w:spacing w:after="0"/>
              <w:rPr>
                <w:sz w:val="20"/>
                <w:szCs w:val="20"/>
                <w:color w:val="auto"/>
              </w:rPr>
            </w:pPr>
            <w:r>
              <w:rPr>
                <w:rFonts w:ascii="Arial" w:cs="Arial" w:eastAsia="Arial" w:hAnsi="Arial"/>
                <w:sz w:val="13"/>
                <w:szCs w:val="13"/>
                <w:color w:val="auto"/>
              </w:rPr>
              <w:t>Basic</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2.00</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2.57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82"/>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1.99</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7156450" cy="113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6450" cy="113030"/>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Weighted average number of ordinary shares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276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80,552,734</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80,552,734</w:t>
            </w:r>
          </w:p>
        </w:tc>
        <w:tc>
          <w:tcPr>
            <w:tcW w:w="132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79,245,448</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79,245,448</w:t>
            </w:r>
          </w:p>
        </w:tc>
        <w:tc>
          <w:tcPr>
            <w:tcW w:w="132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79,899,091</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79,899,091</w:t>
            </w:r>
          </w:p>
        </w:tc>
      </w:tr>
      <w:tr>
        <w:trPr>
          <w:trHeight w:val="177"/>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27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color w:val="auto"/>
              </w:rPr>
              <w:t>80,924,355</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80,924,355</w:t>
            </w: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color w:val="auto"/>
              </w:rPr>
              <w:t>79,547,444</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79,547,444</w:t>
            </w:r>
          </w:p>
        </w:tc>
        <w:tc>
          <w:tcPr>
            <w:tcW w:w="13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color w:val="auto"/>
              </w:rPr>
              <w:t>80,235,900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80,235,900</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7" w:name="page8"/>
    <w:bookmarkEnd w:id="7"/>
    <w:p>
      <w:pPr>
        <w:ind w:left="5620"/>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713549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20015"/>
                    </a:xfrm>
                    <a:prstGeom prst="rect">
                      <a:avLst/>
                    </a:prstGeom>
                    <a:noFill/>
                  </pic:spPr>
                </pic:pic>
              </a:graphicData>
            </a:graphic>
          </wp:anchor>
        </w:drawing>
      </w:r>
    </w:p>
    <w:p>
      <w:pPr>
        <w:spacing w:after="0" w:line="28"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auto"/>
        </w:rPr>
        <w:t>September 30,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Nine Months Ended</w:t>
            </w: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r>
      <w:tr>
        <w:trPr>
          <w:trHeight w:val="169"/>
        </w:trPr>
        <w:tc>
          <w:tcPr>
            <w:tcW w:w="29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40" w:type="dxa"/>
            <w:vAlign w:val="bottom"/>
            <w:gridSpan w:val="6"/>
          </w:tcPr>
          <w:p>
            <w:pPr>
              <w:jc w:val="right"/>
              <w:ind w:right="93"/>
              <w:spacing w:after="0"/>
              <w:rPr>
                <w:sz w:val="20"/>
                <w:szCs w:val="20"/>
                <w:color w:val="auto"/>
              </w:rPr>
            </w:pPr>
            <w:r>
              <w:rPr>
                <w:rFonts w:ascii="Arial" w:cs="Arial" w:eastAsia="Arial" w:hAnsi="Arial"/>
                <w:sz w:val="13"/>
                <w:szCs w:val="13"/>
                <w:b w:val="1"/>
                <w:bCs w:val="1"/>
                <w:color w:val="auto"/>
              </w:rPr>
              <w:t>(in thousands, except share and per share data)</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2,042,812</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41,603</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2,084,415</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6,061,501</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77,322</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6,138,823</w:t>
            </w:r>
          </w:p>
        </w:tc>
      </w:tr>
      <w:tr>
        <w:trPr>
          <w:trHeight w:val="178"/>
        </w:trPr>
        <w:tc>
          <w:tcPr>
            <w:tcW w:w="2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8"/>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7"/>
        </w:trPr>
        <w:tc>
          <w:tcPr>
            <w:tcW w:w="2940" w:type="dxa"/>
            <w:vAlign w:val="bottom"/>
          </w:tcPr>
          <w:p>
            <w:pPr>
              <w:ind w:left="300"/>
              <w:spacing w:after="0"/>
              <w:rPr>
                <w:sz w:val="20"/>
                <w:szCs w:val="20"/>
                <w:color w:val="auto"/>
              </w:rPr>
            </w:pPr>
            <w:r>
              <w:rPr>
                <w:rFonts w:ascii="Arial" w:cs="Arial" w:eastAsia="Arial" w:hAnsi="Arial"/>
                <w:sz w:val="13"/>
                <w:szCs w:val="13"/>
                <w:color w:val="auto"/>
              </w:rPr>
              <w:t>Direct costs</w:t>
            </w:r>
          </w:p>
        </w:tc>
        <w:tc>
          <w:tcPr>
            <w:tcW w:w="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1,488,364</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50,587</w:t>
            </w:r>
          </w:p>
        </w:tc>
        <w:tc>
          <w:tcPr>
            <w:tcW w:w="3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1,538,951</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4,386,801</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57,166</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4,443,967</w:t>
            </w:r>
          </w:p>
        </w:tc>
      </w:tr>
      <w:tr>
        <w:trPr>
          <w:trHeight w:val="179"/>
        </w:trPr>
        <w:tc>
          <w:tcPr>
            <w:tcW w:w="29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Selling, general and administrative</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197,049</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197,049</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600,439</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600,439</w:t>
            </w:r>
          </w:p>
        </w:tc>
      </w:tr>
      <w:tr>
        <w:trPr>
          <w:trHeight w:val="177"/>
        </w:trPr>
        <w:tc>
          <w:tcPr>
            <w:tcW w:w="294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98,495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535</w:t>
            </w:r>
          </w:p>
        </w:tc>
        <w:tc>
          <w:tcPr>
            <w:tcW w:w="3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99,030</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292,171</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535</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292,706</w:t>
            </w:r>
          </w:p>
        </w:tc>
      </w:tr>
      <w:tr>
        <w:trPr>
          <w:trHeight w:val="179"/>
        </w:trPr>
        <w:tc>
          <w:tcPr>
            <w:tcW w:w="29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Transaction and integration related</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7,020</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7,020</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19,141</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19,141</w:t>
            </w:r>
          </w:p>
        </w:tc>
      </w:tr>
      <w:tr>
        <w:trPr>
          <w:trHeight w:val="177"/>
        </w:trPr>
        <w:tc>
          <w:tcPr>
            <w:tcW w:w="2940" w:type="dxa"/>
            <w:vAlign w:val="bottom"/>
          </w:tcPr>
          <w:p>
            <w:pPr>
              <w:ind w:left="300"/>
              <w:spacing w:after="0"/>
              <w:rPr>
                <w:sz w:val="20"/>
                <w:szCs w:val="20"/>
                <w:color w:val="auto"/>
              </w:rPr>
            </w:pPr>
            <w:r>
              <w:rPr>
                <w:rFonts w:ascii="Arial" w:cs="Arial" w:eastAsia="Arial" w:hAnsi="Arial"/>
                <w:sz w:val="13"/>
                <w:szCs w:val="13"/>
                <w:color w:val="auto"/>
              </w:rPr>
              <w:t>Restructuring</w:t>
            </w:r>
          </w:p>
        </w:tc>
        <w:tc>
          <w:tcPr>
            <w:tcW w:w="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82,296</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82,296</w:t>
            </w:r>
          </w:p>
        </w:tc>
      </w:tr>
      <w:tr>
        <w:trPr>
          <w:trHeight w:val="179"/>
        </w:trPr>
        <w:tc>
          <w:tcPr>
            <w:tcW w:w="29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Goodwill impairment</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165,300</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198,948</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364,248</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165,300</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198,948</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364,248</w:t>
            </w:r>
          </w:p>
        </w:tc>
      </w:tr>
      <w:tr>
        <w:trPr>
          <w:trHeight w:val="177"/>
        </w:trPr>
        <w:tc>
          <w:tcPr>
            <w:tcW w:w="29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Impairment of non-financial assets</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101,027</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101,027</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101,027</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101,027</w:t>
            </w:r>
          </w:p>
        </w:tc>
      </w:tr>
      <w:tr>
        <w:trPr>
          <w:trHeight w:val="169"/>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costs and expenses</w:t>
            </w:r>
          </w:p>
        </w:tc>
        <w:tc>
          <w:tcPr>
            <w:tcW w:w="7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1,956,228</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351,097</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2,307,325</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5,546,148</w:t>
            </w: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357,676</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5,903,824</w:t>
            </w:r>
          </w:p>
        </w:tc>
      </w:tr>
      <w:tr>
        <w:trPr>
          <w:trHeight w:val="159"/>
        </w:trPr>
        <w:tc>
          <w:tcPr>
            <w:tcW w:w="2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 income from operations</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86,584</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(309,494)</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(222,910)</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515,353</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(280,354)</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234,999</w:t>
            </w:r>
          </w:p>
        </w:tc>
      </w:tr>
      <w:tr>
        <w:trPr>
          <w:trHeight w:val="177"/>
        </w:trPr>
        <w:tc>
          <w:tcPr>
            <w:tcW w:w="2940" w:type="dxa"/>
            <w:vAlign w:val="bottom"/>
          </w:tcPr>
          <w:p>
            <w:pPr>
              <w:ind w:left="300"/>
              <w:spacing w:after="0"/>
              <w:rPr>
                <w:sz w:val="20"/>
                <w:szCs w:val="20"/>
                <w:color w:val="auto"/>
              </w:rPr>
            </w:pPr>
            <w:r>
              <w:rPr>
                <w:rFonts w:ascii="Arial" w:cs="Arial" w:eastAsia="Arial" w:hAnsi="Arial"/>
                <w:sz w:val="13"/>
                <w:szCs w:val="13"/>
                <w:color w:val="auto"/>
              </w:rPr>
              <w:t>Interest income</w:t>
            </w:r>
          </w:p>
        </w:tc>
        <w:tc>
          <w:tcPr>
            <w:tcW w:w="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1,761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1,761</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5,617</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5,617</w:t>
            </w:r>
          </w:p>
        </w:tc>
      </w:tr>
      <w:tr>
        <w:trPr>
          <w:trHeight w:val="178"/>
        </w:trPr>
        <w:tc>
          <w:tcPr>
            <w:tcW w:w="2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Interest expense</w:t>
            </w:r>
          </w:p>
        </w:tc>
        <w:tc>
          <w:tcPr>
            <w:tcW w:w="7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(50,243)</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(50,243)</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(148,003)</w:t>
            </w: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(148,003)</w:t>
            </w:r>
          </w:p>
        </w:tc>
      </w:tr>
      <w:tr>
        <w:trPr>
          <w:trHeight w:val="159"/>
        </w:trPr>
        <w:tc>
          <w:tcPr>
            <w:tcW w:w="2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 income before income tax expense</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38,102</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(309,494)</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(271,392)</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372,967</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(280,354)</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92,613</w:t>
            </w:r>
          </w:p>
        </w:tc>
      </w:tr>
      <w:tr>
        <w:trPr>
          <w:trHeight w:val="177"/>
        </w:trPr>
        <w:tc>
          <w:tcPr>
            <w:tcW w:w="29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Income tax expense</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(35,747)</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22,956</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(33,489)</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21,021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(12,468)</w:t>
            </w:r>
          </w:p>
        </w:tc>
      </w:tr>
      <w:tr>
        <w:trPr>
          <w:trHeight w:val="159"/>
        </w:trPr>
        <w:tc>
          <w:tcPr>
            <w:tcW w:w="29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r>
      <w:tr>
        <w:trPr>
          <w:trHeight w:val="168"/>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(loss) / income</w:t>
            </w: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2,355</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(286,538)</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(284,183)</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339,478</w:t>
            </w: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(259,333)</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80,145</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1"/>
        </w:trPr>
        <w:tc>
          <w:tcPr>
            <w:tcW w:w="2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77"/>
        </w:trPr>
        <w:tc>
          <w:tcPr>
            <w:tcW w:w="2940" w:type="dxa"/>
            <w:vAlign w:val="bottom"/>
          </w:tcPr>
          <w:p>
            <w:pPr>
              <w:ind w:left="20"/>
              <w:spacing w:after="0"/>
              <w:rPr>
                <w:sz w:val="20"/>
                <w:szCs w:val="20"/>
                <w:color w:val="auto"/>
              </w:rPr>
            </w:pPr>
            <w:r>
              <w:rPr>
                <w:rFonts w:ascii="Arial" w:cs="Arial" w:eastAsia="Arial" w:hAnsi="Arial"/>
                <w:sz w:val="13"/>
                <w:szCs w:val="13"/>
                <w:color w:val="auto"/>
              </w:rPr>
              <w:t>Net (loss) / income per ordinary share:</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9"/>
        </w:trPr>
        <w:tc>
          <w:tcPr>
            <w:tcW w:w="2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7"/>
        </w:trPr>
        <w:tc>
          <w:tcPr>
            <w:tcW w:w="2940" w:type="dxa"/>
            <w:vAlign w:val="bottom"/>
          </w:tcPr>
          <w:p>
            <w:pPr>
              <w:ind w:left="20"/>
              <w:spacing w:after="0"/>
              <w:rPr>
                <w:sz w:val="20"/>
                <w:szCs w:val="20"/>
                <w:color w:val="auto"/>
              </w:rPr>
            </w:pPr>
            <w:r>
              <w:rPr>
                <w:rFonts w:ascii="Arial" w:cs="Arial" w:eastAsia="Arial" w:hAnsi="Arial"/>
                <w:sz w:val="13"/>
                <w:szCs w:val="13"/>
                <w:color w:val="auto"/>
              </w:rPr>
              <w:t>Basic</w:t>
            </w:r>
          </w:p>
        </w:tc>
        <w:tc>
          <w:tcPr>
            <w:tcW w:w="7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0.03</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(3.67)</w:t>
            </w:r>
          </w:p>
        </w:tc>
        <w:tc>
          <w:tcPr>
            <w:tcW w:w="3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4.29</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203"/>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7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r>
      <w:tr>
        <w:trPr>
          <w:trHeight w:val="20"/>
        </w:trPr>
        <w:tc>
          <w:tcPr>
            <w:tcW w:w="3640" w:type="dxa"/>
            <w:vAlign w:val="bottom"/>
            <w:tcBorders>
              <w:top w:val="single" w:sz="8" w:color="CCEEFF"/>
              <w:bottom w:val="single" w:sz="8" w:color="auto"/>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2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78"/>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number of ordinary shares outstanding:</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8"/>
        </w:trPr>
        <w:tc>
          <w:tcPr>
            <w:tcW w:w="2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8"/>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77,373,534</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77,373,534</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79,057,239</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79,057,239</w:t>
            </w:r>
          </w:p>
        </w:tc>
      </w:tr>
      <w:tr>
        <w:trPr>
          <w:trHeight w:val="17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78,082,459</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77,373,534</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79,518,086</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79,518,086</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394" w:right="359" w:bottom="1440" w:gutter="0" w:footer="0" w:header="0"/>
        </w:sectPr>
      </w:pPr>
    </w:p>
    <w:bookmarkStart w:id="8" w:name="page9"/>
    <w:bookmarkEnd w:id="8"/>
    <w:p>
      <w:pPr>
        <w:jc w:val="both"/>
        <w:ind w:firstLine="533"/>
        <w:spacing w:after="0" w:line="272" w:lineRule="auto"/>
        <w:rPr>
          <w:sz w:val="20"/>
          <w:szCs w:val="20"/>
          <w:color w:val="auto"/>
        </w:rPr>
      </w:pPr>
      <w:r>
        <w:rPr>
          <w:rFonts w:ascii="Arial" w:cs="Arial" w:eastAsia="Arial" w:hAnsi="Arial"/>
          <w:sz w:val="13"/>
          <w:szCs w:val="13"/>
          <w:color w:val="auto"/>
        </w:rPr>
        <w:t>The table below sets forth the unaudited condensed Consolidated Statements of Comprehensive Income, including the balances originally reported in the Company’s unaudited condensed Consolidated financial statements, the effects of the adjustments made and the restated balances for each of the three months and year to date periods ended March 31, June 30, and September 30 of 2025.</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CONDENSED CONSOLIDATED STATEMENTS OF COMPREHENSIVE INCOME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2025</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gridSpan w:val="3"/>
            <w:shd w:val="clear" w:color="auto" w:fill="CCEEFF"/>
          </w:tcPr>
          <w:p>
            <w:pPr>
              <w:jc w:val="right"/>
              <w:ind w:right="373"/>
              <w:spacing w:after="0"/>
              <w:rPr>
                <w:sz w:val="20"/>
                <w:szCs w:val="20"/>
                <w:color w:val="auto"/>
              </w:rPr>
            </w:pPr>
            <w:r>
              <w:rPr>
                <w:rFonts w:ascii="Arial" w:cs="Arial" w:eastAsia="Arial" w:hAnsi="Arial"/>
                <w:sz w:val="13"/>
                <w:szCs w:val="13"/>
                <w:b w:val="1"/>
                <w:bCs w:val="1"/>
                <w:color w:val="auto"/>
              </w:rPr>
              <w:t>June 30, 2025</w:t>
            </w: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560"/>
              <w:spacing w:after="0"/>
              <w:rPr>
                <w:sz w:val="20"/>
                <w:szCs w:val="20"/>
                <w:color w:val="auto"/>
              </w:rPr>
            </w:pPr>
            <w:r>
              <w:rPr>
                <w:rFonts w:ascii="Arial" w:cs="Arial" w:eastAsia="Arial" w:hAnsi="Arial"/>
                <w:sz w:val="13"/>
                <w:szCs w:val="13"/>
                <w:b w:val="1"/>
                <w:bCs w:val="1"/>
                <w:color w:val="auto"/>
              </w:rPr>
              <w:t>Six Months Ended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880" w:type="dxa"/>
            <w:vAlign w:val="bottom"/>
            <w:gridSpan w:val="4"/>
            <w:vMerge w:val="restart"/>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Adjustments As Restated</w:t>
            </w:r>
          </w:p>
        </w:tc>
        <w:tc>
          <w:tcPr>
            <w:tcW w:w="8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As Reported</w:t>
            </w:r>
          </w:p>
        </w:tc>
        <w:tc>
          <w:tcPr>
            <w:tcW w:w="1860" w:type="dxa"/>
            <w:vAlign w:val="bottom"/>
            <w:gridSpan w:val="4"/>
            <w:vMerge w:val="restart"/>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Adjustments As Restated</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ind w:left="460"/>
              <w:spacing w:after="0" w:line="124" w:lineRule="exact"/>
              <w:rPr>
                <w:sz w:val="20"/>
                <w:szCs w:val="20"/>
                <w:color w:val="auto"/>
              </w:rPr>
            </w:pPr>
            <w:r>
              <w:rPr>
                <w:rFonts w:ascii="Arial" w:cs="Arial" w:eastAsia="Arial" w:hAnsi="Arial"/>
                <w:sz w:val="13"/>
                <w:szCs w:val="13"/>
                <w:b w:val="1"/>
                <w:bCs w:val="1"/>
                <w:color w:val="auto"/>
              </w:rPr>
              <w:t>As</w:t>
            </w:r>
          </w:p>
        </w:tc>
        <w:tc>
          <w:tcPr>
            <w:tcW w:w="178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880" w:type="dxa"/>
            <w:vAlign w:val="bottom"/>
            <w:tcBorders>
              <w:bottom w:val="single" w:sz="8" w:color="auto"/>
            </w:tcBorders>
            <w:gridSpan w:val="4"/>
            <w:vMerge w:val="continue"/>
            <w:shd w:val="clear" w:color="auto" w:fill="CCEEFF"/>
          </w:tcPr>
          <w:p>
            <w:pPr>
              <w:spacing w:after="0"/>
              <w:rPr>
                <w:sz w:val="15"/>
                <w:szCs w:val="15"/>
                <w:color w:val="auto"/>
              </w:rPr>
            </w:pPr>
          </w:p>
        </w:tc>
        <w:tc>
          <w:tcPr>
            <w:tcW w:w="820" w:type="dxa"/>
            <w:vAlign w:val="bottom"/>
            <w:tcBorders>
              <w:bottom w:val="single" w:sz="8" w:color="auto"/>
            </w:tcBorders>
            <w:gridSpan w:val="2"/>
            <w:vMerge w:val="continue"/>
            <w:shd w:val="clear" w:color="auto" w:fill="CCEEFF"/>
          </w:tcPr>
          <w:p>
            <w:pPr>
              <w:spacing w:after="0"/>
              <w:rPr>
                <w:sz w:val="15"/>
                <w:szCs w:val="15"/>
                <w:color w:val="auto"/>
              </w:rPr>
            </w:pPr>
          </w:p>
        </w:tc>
        <w:tc>
          <w:tcPr>
            <w:tcW w:w="1860" w:type="dxa"/>
            <w:vAlign w:val="bottom"/>
            <w:tcBorders>
              <w:bottom w:val="single" w:sz="8" w:color="auto"/>
            </w:tcBorders>
            <w:gridSpan w:val="4"/>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Reported</w:t>
            </w:r>
          </w:p>
        </w:tc>
        <w:tc>
          <w:tcPr>
            <w:tcW w:w="1780" w:type="dxa"/>
            <w:vAlign w:val="bottom"/>
            <w:tcBorders>
              <w:bottom w:val="single" w:sz="8" w:color="auto"/>
            </w:tcBorders>
            <w:gridSpan w:val="4"/>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154,151</w:t>
            </w:r>
          </w:p>
        </w:tc>
        <w:tc>
          <w:tcPr>
            <w:tcW w:w="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6,661</w:t>
            </w: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160,812</w:t>
            </w: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182,972</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20,544</w:t>
            </w: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203,516</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337,123</w:t>
            </w:r>
          </w:p>
        </w:tc>
        <w:tc>
          <w:tcPr>
            <w:tcW w:w="5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27,205</w:t>
            </w: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364,328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80" w:type="dxa"/>
            <w:vAlign w:val="bottom"/>
          </w:tcPr>
          <w:p>
            <w:pPr>
              <w:ind w:left="20"/>
              <w:spacing w:after="0"/>
              <w:rPr>
                <w:sz w:val="20"/>
                <w:szCs w:val="20"/>
                <w:color w:val="auto"/>
              </w:rPr>
            </w:pPr>
            <w:r>
              <w:rPr>
                <w:rFonts w:ascii="Arial" w:cs="Arial" w:eastAsia="Arial" w:hAnsi="Arial"/>
                <w:sz w:val="13"/>
                <w:szCs w:val="13"/>
                <w:i w:val="1"/>
                <w:iCs w:val="1"/>
                <w:color w:val="auto"/>
              </w:rPr>
              <w:t>Other comprehensive income, net of tax:</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Currency translation adjustment</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59,158</w:t>
            </w: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59,158</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104,428</w:t>
            </w: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104,428</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163,586</w:t>
            </w: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163,586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Movement on cash flow hedge</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(2,420)</w:t>
            </w:r>
          </w:p>
        </w:tc>
        <w:tc>
          <w:tcPr>
            <w:tcW w:w="5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(2,420)</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(2,420)</w:t>
            </w: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210,889</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6,661</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217,550</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287,400</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20,544</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307,944</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498,289</w:t>
            </w:r>
          </w:p>
        </w:tc>
        <w:tc>
          <w:tcPr>
            <w:tcW w:w="5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27,205</w:t>
            </w: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525,494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ICON plc</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58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gridSpan w:val="12"/>
          </w:tcPr>
          <w:p>
            <w:pPr>
              <w:jc w:val="center"/>
              <w:spacing w:after="0"/>
              <w:rPr>
                <w:sz w:val="20"/>
                <w:szCs w:val="20"/>
                <w:color w:val="auto"/>
              </w:rPr>
            </w:pPr>
            <w:r>
              <w:rPr>
                <w:rFonts w:ascii="Arial" w:cs="Arial" w:eastAsia="Arial" w:hAnsi="Arial"/>
                <w:sz w:val="13"/>
                <w:szCs w:val="13"/>
                <w:b w:val="1"/>
                <w:bCs w:val="1"/>
                <w:color w:val="auto"/>
              </w:rPr>
              <w:t>CONDENSED CONSOLIDATED STATEMENTS OF COMPREHENSIVE INCOME (UNAUDITED)</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September 30, 2025</w:t>
            </w:r>
          </w:p>
        </w:tc>
        <w:tc>
          <w:tcPr>
            <w:tcW w:w="6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Nine Months Ended</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3"/>
                <w:szCs w:val="13"/>
                <w:b w:val="1"/>
                <w:bCs w:val="1"/>
                <w:color w:val="auto"/>
              </w:rPr>
              <w:t>Adjustments</w:t>
            </w:r>
          </w:p>
        </w:tc>
        <w:tc>
          <w:tcPr>
            <w:tcW w:w="4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w:t>
            </w:r>
          </w:p>
        </w:tc>
        <w:tc>
          <w:tcPr>
            <w:tcW w:w="42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(286,538)</w:t>
            </w: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(284,183)</w:t>
            </w: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339,478</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(259,333)</w:t>
            </w:r>
          </w:p>
        </w:tc>
        <w:tc>
          <w:tcPr>
            <w:tcW w:w="46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80,145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40" w:type="dxa"/>
            <w:vAlign w:val="bottom"/>
            <w:gridSpan w:val="2"/>
          </w:tcPr>
          <w:p>
            <w:pPr>
              <w:ind w:left="20"/>
              <w:spacing w:after="0"/>
              <w:rPr>
                <w:sz w:val="20"/>
                <w:szCs w:val="20"/>
                <w:color w:val="auto"/>
              </w:rPr>
            </w:pPr>
            <w:r>
              <w:rPr>
                <w:rFonts w:ascii="Arial" w:cs="Arial" w:eastAsia="Arial" w:hAnsi="Arial"/>
                <w:sz w:val="13"/>
                <w:szCs w:val="13"/>
                <w:i w:val="1"/>
                <w:iCs w:val="1"/>
                <w:color w:val="auto"/>
              </w:rPr>
              <w:t>Other comprehensive (loss) / income, net of tax:</w:t>
            </w: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Currency translation adjustment</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(18,181)</w:t>
            </w: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(18,181)</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145,405</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Movement on cash flow hedge</w:t>
            </w: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(2,420)</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(2,420)</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(loss) /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(15,826)</w:t>
            </w: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(286,538)</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(302,364)</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482,463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3"/>
                <w:szCs w:val="13"/>
                <w:color w:val="auto"/>
              </w:rPr>
              <w:t>(259,333)</w:t>
            </w:r>
          </w:p>
        </w:tc>
        <w:tc>
          <w:tcPr>
            <w:tcW w:w="4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223,130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9" w:name="page10"/>
    <w:bookmarkEnd w:id="9"/>
    <w:p>
      <w:pPr>
        <w:ind w:firstLine="533"/>
        <w:spacing w:after="0" w:line="290" w:lineRule="auto"/>
        <w:rPr>
          <w:sz w:val="20"/>
          <w:szCs w:val="20"/>
          <w:color w:val="auto"/>
        </w:rPr>
      </w:pPr>
      <w:r>
        <w:rPr>
          <w:rFonts w:ascii="Arial" w:cs="Arial" w:eastAsia="Arial" w:hAnsi="Arial"/>
          <w:sz w:val="13"/>
          <w:szCs w:val="13"/>
          <w:color w:val="auto"/>
        </w:rPr>
        <w:t>The table below sets forth unaudited condensed Consolidated Balance Sheets, including the balances originally reported in the Company’s unaudited condensed Consolidated financial statements, the effects of the adjustments made and the restated balances as at March 31, June 30, and September 30 of 2025.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June 30,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2540" w:type="dxa"/>
            <w:vAlign w:val="bottom"/>
            <w:tcBorders>
              <w:top w:val="single" w:sz="8" w:color="auto"/>
              <w:bottom w:val="single" w:sz="8" w:color="auto"/>
            </w:tcBorders>
            <w:gridSpan w:val="5"/>
            <w:shd w:val="clear" w:color="auto" w:fill="CCEEFF"/>
          </w:tcPr>
          <w:p>
            <w:pPr>
              <w:jc w:val="right"/>
              <w:ind w:right="633"/>
              <w:spacing w:after="0"/>
              <w:rPr>
                <w:sz w:val="20"/>
                <w:szCs w:val="20"/>
                <w:color w:val="auto"/>
              </w:rPr>
            </w:pPr>
            <w:r>
              <w:rPr>
                <w:rFonts w:ascii="Arial" w:cs="Arial" w:eastAsia="Arial" w:hAnsi="Arial"/>
                <w:sz w:val="13"/>
                <w:szCs w:val="13"/>
                <w:b w:val="1"/>
                <w:bCs w:val="1"/>
                <w:color w:val="auto"/>
              </w:rPr>
              <w:t>September 30, 2025</w:t>
            </w:r>
          </w:p>
        </w:tc>
      </w:tr>
      <w:tr>
        <w:trPr>
          <w:trHeight w:val="169"/>
        </w:trPr>
        <w:tc>
          <w:tcPr>
            <w:tcW w:w="3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r>
      <w:tr>
        <w:trPr>
          <w:trHeight w:val="169"/>
        </w:trPr>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8"/>
        </w:trPr>
        <w:tc>
          <w:tcPr>
            <w:tcW w:w="32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526,698</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526,698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390,396</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390,396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468,888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468,888</w:t>
            </w:r>
          </w:p>
        </w:tc>
      </w:tr>
      <w:tr>
        <w:trPr>
          <w:trHeight w:val="135"/>
        </w:trPr>
        <w:tc>
          <w:tcPr>
            <w:tcW w:w="322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Accounts receivable, net of allowance for credit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1,387,462</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1,387,462</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1,367,255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1,367,255</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1,387,690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1,387,690</w:t>
            </w:r>
          </w:p>
        </w:tc>
      </w:tr>
      <w:tr>
        <w:trPr>
          <w:trHeight w:val="177"/>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losses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Unbilled revenue</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1,197,080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(95,569)</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1,101,511</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1,244,560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(71,539)</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1,173,021</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1,258,706</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(62,959)</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1,195,747</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receivables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87,490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87,490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80,637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80,637</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91,018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91,018</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Prepayments and other current assets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153,340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153,340</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143,263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143,263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140,713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(1,925)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138,788</w:t>
            </w:r>
          </w:p>
        </w:tc>
      </w:tr>
      <w:tr>
        <w:trPr>
          <w:trHeight w:val="178"/>
        </w:trPr>
        <w:tc>
          <w:tcPr>
            <w:tcW w:w="3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Income taxes receivable</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63,969</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63,969</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83,292</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83,292</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61,626</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61,626</w:t>
            </w:r>
          </w:p>
        </w:tc>
      </w:tr>
      <w:tr>
        <w:trPr>
          <w:trHeight w:val="169"/>
        </w:trPr>
        <w:tc>
          <w:tcPr>
            <w:tcW w:w="3220" w:type="dxa"/>
            <w:vAlign w:val="bottom"/>
          </w:tcPr>
          <w:p>
            <w:pPr>
              <w:ind w:left="300"/>
              <w:spacing w:after="0"/>
              <w:rPr>
                <w:sz w:val="20"/>
                <w:szCs w:val="20"/>
                <w:color w:val="auto"/>
              </w:rPr>
            </w:pPr>
            <w:r>
              <w:rPr>
                <w:rFonts w:ascii="Arial" w:cs="Arial" w:eastAsia="Arial" w:hAnsi="Arial"/>
                <w:sz w:val="13"/>
                <w:szCs w:val="13"/>
                <w:color w:val="auto"/>
              </w:rPr>
              <w:t>Total current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3,416,039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(95,569)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3,320,470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3,309,403</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(71,539)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3,237,864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3,408,641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(64,884)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3,343,757</w:t>
            </w:r>
          </w:p>
        </w:tc>
      </w:tr>
      <w:tr>
        <w:trPr>
          <w:trHeight w:val="212"/>
        </w:trPr>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77"/>
        </w:trPr>
        <w:tc>
          <w:tcPr>
            <w:tcW w:w="322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Property, plant and equipment, net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378,253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378,253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377,979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377,979</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390,837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(12,898)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377,939</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9,065,335</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9,065,335</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9,092,410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9,092,410</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8,927,323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(198,948)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8,728,375</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Intangible assets, net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3,501,307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3,501,307</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3,443,096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3,443,096</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3,384,322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(86,739)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3,297,583</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Operating right-of-use assets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147,377</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147,377</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140,352</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140,352</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134,341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134,341</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receivables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75,122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75,122</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85,032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85,032</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89,932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89,932</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Income taxes receivable</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11,395</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11,395</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11,395</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11,395</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11,395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11,395</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asset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77,404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79,860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86,275</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88,731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100,810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103,266</w:t>
            </w:r>
          </w:p>
        </w:tc>
      </w:tr>
      <w:tr>
        <w:trPr>
          <w:trHeight w:val="177"/>
        </w:trPr>
        <w:tc>
          <w:tcPr>
            <w:tcW w:w="322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Investments in equity</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62,160</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62,160</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67,743</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67,743</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71,284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71,284</w:t>
            </w:r>
          </w:p>
        </w:tc>
      </w:tr>
      <w:tr>
        <w:trPr>
          <w:trHeight w:val="194"/>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16,722,997</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16,641,279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16,602,290</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16,544,602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16,507,490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(349,618)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16,157,872</w:t>
            </w: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SHAREHOLDERS’ EQUITY</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7"/>
        </w:trPr>
        <w:tc>
          <w:tcPr>
            <w:tcW w:w="32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118,168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118,168</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94,503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94,503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113,288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113,288</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Unearned revenue</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1,497,166</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1,495,847</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1,514,442</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1,515,422</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1,528,343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18,544</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1,546,887</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994,308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987,060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898,909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891,661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998,472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991,224</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Income taxes payable</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49,888</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50,636</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19,347</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1,935</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21,282</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49,350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1,448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50,798</w:t>
            </w:r>
          </w:p>
        </w:tc>
      </w:tr>
      <w:tr>
        <w:trPr>
          <w:trHeight w:val="178"/>
        </w:trPr>
        <w:tc>
          <w:tcPr>
            <w:tcW w:w="3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Current bank credit lines, loan facilities and notes</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29,762</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29,762</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29,762</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29,762</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529,762</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529,762</w:t>
            </w:r>
          </w:p>
        </w:tc>
      </w:tr>
      <w:tr>
        <w:trPr>
          <w:trHeight w:val="168"/>
        </w:trPr>
        <w:tc>
          <w:tcPr>
            <w:tcW w:w="3220" w:type="dxa"/>
            <w:vAlign w:val="bottom"/>
          </w:tcPr>
          <w:p>
            <w:pPr>
              <w:ind w:left="300"/>
              <w:spacing w:after="0"/>
              <w:rPr>
                <w:sz w:val="20"/>
                <w:szCs w:val="20"/>
                <w:color w:val="auto"/>
              </w:rPr>
            </w:pPr>
            <w:r>
              <w:rPr>
                <w:rFonts w:ascii="Arial" w:cs="Arial" w:eastAsia="Arial" w:hAnsi="Arial"/>
                <w:sz w:val="13"/>
                <w:szCs w:val="13"/>
                <w:color w:val="auto"/>
              </w:rPr>
              <w:t>Total current liabilities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2,689,292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(7,819)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2,681,473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2,556,963</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(4,333)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2,552,630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3,219,215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12,744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3,231,959</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June 30,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2540" w:type="dxa"/>
            <w:vAlign w:val="bottom"/>
            <w:tcBorders>
              <w:top w:val="single" w:sz="8" w:color="auto"/>
              <w:bottom w:val="single" w:sz="8" w:color="auto"/>
            </w:tcBorders>
            <w:gridSpan w:val="5"/>
            <w:shd w:val="clear" w:color="auto" w:fill="CCEEFF"/>
          </w:tcPr>
          <w:p>
            <w:pPr>
              <w:jc w:val="right"/>
              <w:ind w:right="633"/>
              <w:spacing w:after="0"/>
              <w:rPr>
                <w:sz w:val="20"/>
                <w:szCs w:val="20"/>
                <w:color w:val="auto"/>
              </w:rPr>
            </w:pPr>
            <w:r>
              <w:rPr>
                <w:rFonts w:ascii="Arial" w:cs="Arial" w:eastAsia="Arial" w:hAnsi="Arial"/>
                <w:sz w:val="13"/>
                <w:szCs w:val="13"/>
                <w:b w:val="1"/>
                <w:bCs w:val="1"/>
                <w:color w:val="auto"/>
              </w:rPr>
              <w:t>September 30, 2025</w:t>
            </w:r>
          </w:p>
        </w:tc>
      </w:tr>
      <w:tr>
        <w:trPr>
          <w:trHeight w:val="169"/>
        </w:trPr>
        <w:tc>
          <w:tcPr>
            <w:tcW w:w="3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r>
      <w:tr>
        <w:trPr>
          <w:trHeight w:val="169"/>
        </w:trPr>
        <w:tc>
          <w:tcPr>
            <w:tcW w:w="3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Non-current liabilities: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35"/>
        </w:trPr>
        <w:tc>
          <w:tcPr>
            <w:tcW w:w="3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Non-current bank credit lines, loan facilities and</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3,390,438</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3,390,438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3,384,488</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3,384,488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2,878,547</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2,878,547</w:t>
            </w:r>
          </w:p>
        </w:tc>
      </w:tr>
      <w:tr>
        <w:trPr>
          <w:trHeight w:val="177"/>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notes, net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7"/>
        </w:trPr>
        <w:tc>
          <w:tcPr>
            <w:tcW w:w="3200" w:type="dxa"/>
            <w:vAlign w:val="bottom"/>
          </w:tcPr>
          <w:p>
            <w:pPr>
              <w:ind w:left="300"/>
              <w:spacing w:after="0"/>
              <w:rPr>
                <w:sz w:val="20"/>
                <w:szCs w:val="20"/>
                <w:color w:val="auto"/>
              </w:rPr>
            </w:pPr>
            <w:r>
              <w:rPr>
                <w:rFonts w:ascii="Arial" w:cs="Arial" w:eastAsia="Arial" w:hAnsi="Arial"/>
                <w:sz w:val="13"/>
                <w:szCs w:val="13"/>
                <w:color w:val="auto"/>
              </w:rPr>
              <w:t>Lease liabilities</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138,354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138,354</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132,713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132,713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125,110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125,110</w:t>
            </w:r>
          </w:p>
        </w:tc>
      </w:tr>
      <w:tr>
        <w:trPr>
          <w:trHeight w:val="179"/>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Non-current other liabilities</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85,713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84,961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97,057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96,305</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99,490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98,738</w:t>
            </w:r>
          </w:p>
        </w:tc>
      </w:tr>
      <w:tr>
        <w:trPr>
          <w:trHeight w:val="177"/>
        </w:trPr>
        <w:tc>
          <w:tcPr>
            <w:tcW w:w="3200" w:type="dxa"/>
            <w:vAlign w:val="bottom"/>
          </w:tcPr>
          <w:p>
            <w:pPr>
              <w:ind w:left="300"/>
              <w:spacing w:after="0"/>
              <w:rPr>
                <w:sz w:val="20"/>
                <w:szCs w:val="20"/>
                <w:color w:val="auto"/>
              </w:rPr>
            </w:pPr>
            <w:r>
              <w:rPr>
                <w:rFonts w:ascii="Arial" w:cs="Arial" w:eastAsia="Arial" w:hAnsi="Arial"/>
                <w:sz w:val="13"/>
                <w:szCs w:val="13"/>
                <w:color w:val="auto"/>
              </w:rPr>
              <w:t>Non-current income taxes payable</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129,529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1,710</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131,239</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100,916</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1,710</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102,626</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105,832</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1,710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107,542</w:t>
            </w:r>
          </w:p>
        </w:tc>
      </w:tr>
      <w:tr>
        <w:trPr>
          <w:trHeight w:val="179"/>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liability</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788,816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788,943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775,066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775,193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744,450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722,108</w:t>
            </w:r>
          </w:p>
        </w:tc>
      </w:tr>
      <w:tr>
        <w:trPr>
          <w:trHeight w:val="177"/>
        </w:trPr>
        <w:tc>
          <w:tcPr>
            <w:tcW w:w="32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7,222,142</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7,215,408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7,047,203</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7,043,955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7,172,644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7,164,004</w:t>
            </w:r>
          </w:p>
        </w:tc>
      </w:t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8"/>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Shareholders' Equity:</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34"/>
        </w:trPr>
        <w:tc>
          <w:tcPr>
            <w:tcW w:w="3200" w:type="dxa"/>
            <w:vAlign w:val="bottom"/>
          </w:tcPr>
          <w:p>
            <w:pPr>
              <w:ind w:left="300"/>
              <w:spacing w:after="0" w:line="134" w:lineRule="exact"/>
              <w:rPr>
                <w:sz w:val="20"/>
                <w:szCs w:val="20"/>
                <w:color w:val="auto"/>
              </w:rPr>
            </w:pPr>
            <w:r>
              <w:rPr>
                <w:rFonts w:ascii="Arial" w:cs="Arial" w:eastAsia="Arial" w:hAnsi="Arial"/>
                <w:sz w:val="13"/>
                <w:szCs w:val="13"/>
                <w:color w:val="auto"/>
              </w:rPr>
              <w:t>Ordinary shares par value 6 euro cents per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76"/>
        </w:trPr>
        <w:tc>
          <w:tcPr>
            <w:tcW w:w="3200" w:type="dxa"/>
            <w:vAlign w:val="bottom"/>
          </w:tcPr>
          <w:p>
            <w:pPr>
              <w:ind w:left="300"/>
              <w:spacing w:after="0"/>
              <w:rPr>
                <w:sz w:val="20"/>
                <w:szCs w:val="20"/>
                <w:color w:val="auto"/>
              </w:rPr>
            </w:pPr>
            <w:r>
              <w:rPr>
                <w:rFonts w:ascii="Arial" w:cs="Arial" w:eastAsia="Arial" w:hAnsi="Arial"/>
                <w:sz w:val="13"/>
                <w:szCs w:val="13"/>
                <w:color w:val="auto"/>
              </w:rPr>
              <w:t>share; 100,000,000 shares authorized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35"/>
        </w:trPr>
        <w:tc>
          <w:tcPr>
            <w:tcW w:w="3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79,464,252 shares issued and outstanding at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6,505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6,505</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6,390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6,390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6,290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6,290</w:t>
            </w:r>
          </w:p>
        </w:tc>
      </w:tr>
      <w:tr>
        <w:trPr>
          <w:trHeight w:val="133"/>
        </w:trPr>
        <w:tc>
          <w:tcPr>
            <w:tcW w:w="320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March 31, 2025 (June 30, 2025: 77,772,130 and</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77"/>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September 30, 2025: 76,359,932)</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7"/>
        </w:trPr>
        <w:tc>
          <w:tcPr>
            <w:tcW w:w="3200" w:type="dxa"/>
            <w:vAlign w:val="bottom"/>
          </w:tcPr>
          <w:p>
            <w:pPr>
              <w:ind w:left="300"/>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7,037,344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7,037,344</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7,054,324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7,054,324</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7,100,059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7,100,059</w:t>
            </w:r>
          </w:p>
        </w:tc>
      </w:tr>
      <w:tr>
        <w:trPr>
          <w:trHeight w:val="179"/>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undenominated capital</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1,389</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1,506</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w:t>
            </w:r>
          </w:p>
        </w:tc>
      </w:tr>
      <w:tr>
        <w:trPr>
          <w:trHeight w:val="177"/>
        </w:trPr>
        <w:tc>
          <w:tcPr>
            <w:tcW w:w="3200" w:type="dxa"/>
            <w:vAlign w:val="bottom"/>
          </w:tcPr>
          <w:p>
            <w:pPr>
              <w:ind w:left="300"/>
              <w:spacing w:after="0"/>
              <w:rPr>
                <w:sz w:val="20"/>
                <w:szCs w:val="20"/>
                <w:color w:val="auto"/>
              </w:rPr>
            </w:pPr>
            <w:r>
              <w:rPr>
                <w:rFonts w:ascii="Arial" w:cs="Arial" w:eastAsia="Arial" w:hAnsi="Arial"/>
                <w:sz w:val="13"/>
                <w:szCs w:val="13"/>
                <w:color w:val="auto"/>
              </w:rPr>
              <w:t>Accumulated other comprehensive loss</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(173,191)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(173,191)</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(68,763)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(68,763)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(86,944)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(86,944)</w:t>
            </w:r>
          </w:p>
        </w:tc>
      </w:tr>
      <w:tr>
        <w:trPr>
          <w:trHeight w:val="178"/>
        </w:trPr>
        <w:tc>
          <w:tcPr>
            <w:tcW w:w="3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Retained earnings</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2,628,808</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(74,984)</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2,553,824</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2,561,630</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(54,440)</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2,507,190</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2,313,835</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(340,978)</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1,972,857</w:t>
            </w:r>
          </w:p>
        </w:tc>
      </w:tr>
      <w:tr>
        <w:trPr>
          <w:trHeight w:val="169"/>
        </w:trPr>
        <w:tc>
          <w:tcPr>
            <w:tcW w:w="32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Total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9,500,855</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(74,984)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9,425,871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9,555,087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9,500,647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9,334,846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(340,978)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8,993,868</w:t>
            </w:r>
          </w:p>
        </w:tc>
      </w:tr>
      <w:tr>
        <w:trPr>
          <w:trHeight w:val="194"/>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16,722,997</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16,641,279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16,602,290</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16,544,602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16,507,490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(349,618)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16,157,872</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94" w:right="319" w:bottom="1440" w:gutter="0" w:footer="0" w:header="0"/>
        </w:sectPr>
      </w:pPr>
    </w:p>
    <w:bookmarkStart w:id="11" w:name="page12"/>
    <w:bookmarkEnd w:id="11"/>
    <w:p>
      <w:pPr>
        <w:ind w:firstLine="533"/>
        <w:spacing w:after="0" w:line="283" w:lineRule="auto"/>
        <w:rPr>
          <w:sz w:val="20"/>
          <w:szCs w:val="20"/>
          <w:color w:val="auto"/>
        </w:rPr>
      </w:pPr>
      <w:r>
        <w:rPr>
          <w:rFonts w:ascii="Arial" w:cs="Arial" w:eastAsia="Arial" w:hAnsi="Arial"/>
          <w:sz w:val="13"/>
          <w:szCs w:val="13"/>
          <w:color w:val="auto"/>
        </w:rPr>
        <w:t>The following table presents summarized restated unaudited condensed Consolidated Statements of Shareholders’ Equity for three months ended March 31, June 30, and September 30 of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SHAREHOLDERS' EQUITY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0" w:type="dxa"/>
            <w:vAlign w:val="bottom"/>
          </w:tcPr>
          <w:p>
            <w:pPr>
              <w:spacing w:after="0"/>
              <w:rPr>
                <w:sz w:val="10"/>
                <w:szCs w:val="10"/>
                <w:color w:val="auto"/>
              </w:rPr>
            </w:pPr>
          </w:p>
        </w:tc>
        <w:tc>
          <w:tcPr>
            <w:tcW w:w="36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Number of</w:t>
            </w:r>
          </w:p>
        </w:tc>
        <w:tc>
          <w:tcPr>
            <w:tcW w:w="2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Ordinary</w:t>
            </w:r>
          </w:p>
        </w:tc>
        <w:tc>
          <w:tcPr>
            <w:tcW w:w="1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Additional</w:t>
            </w:r>
          </w:p>
        </w:tc>
        <w:tc>
          <w:tcPr>
            <w:tcW w:w="1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Other</w:t>
            </w:r>
          </w:p>
        </w:tc>
        <w:tc>
          <w:tcPr>
            <w:tcW w:w="1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Retained</w:t>
            </w: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r>
      <w:tr>
        <w:trPr>
          <w:trHeight w:val="133"/>
        </w:trPr>
        <w:tc>
          <w:tcPr>
            <w:tcW w:w="40" w:type="dxa"/>
            <w:vAlign w:val="bottom"/>
          </w:tcPr>
          <w:p>
            <w:pPr>
              <w:spacing w:after="0"/>
              <w:rPr>
                <w:sz w:val="11"/>
                <w:szCs w:val="11"/>
                <w:color w:val="auto"/>
              </w:rPr>
            </w:pPr>
          </w:p>
        </w:tc>
        <w:tc>
          <w:tcPr>
            <w:tcW w:w="36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Ordinary</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Shares</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Paid-in</w:t>
            </w:r>
          </w:p>
        </w:tc>
        <w:tc>
          <w:tcPr>
            <w:tcW w:w="14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Undenominated Comprehensive Loss</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Earnings</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78"/>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Capital</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Capital</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8"/>
        </w:trPr>
        <w:tc>
          <w:tcPr>
            <w:tcW w:w="40" w:type="dxa"/>
            <w:vAlign w:val="bottom"/>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3"/>
                <w:szCs w:val="13"/>
                <w:b w:val="1"/>
                <w:bCs w:val="1"/>
                <w:color w:val="auto"/>
              </w:rPr>
              <w:t>( in thousands, except share data)</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0" w:type="dxa"/>
            <w:vAlign w:val="bottom"/>
          </w:tcPr>
          <w:p>
            <w:pPr>
              <w:spacing w:after="0"/>
              <w:rPr>
                <w:sz w:val="14"/>
                <w:szCs w:val="14"/>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80,756,860</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6,586</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7,020,231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(229,929)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2,643,162</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9,441,354</w:t>
            </w:r>
          </w:p>
        </w:tc>
        <w:tc>
          <w:tcPr>
            <w:tcW w:w="2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Comprehensive income (net of tax):</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160,812</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160,812</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Pr>
          <w:p>
            <w:pPr>
              <w:ind w:left="8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59,158</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59,158</w:t>
            </w:r>
          </w:p>
        </w:tc>
        <w:tc>
          <w:tcPr>
            <w:tcW w:w="20" w:type="dxa"/>
            <w:vAlign w:val="bottom"/>
          </w:tcPr>
          <w:p>
            <w:pPr>
              <w:spacing w:after="0"/>
              <w:rPr>
                <w:sz w:val="15"/>
                <w:szCs w:val="15"/>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Movement on cash flow hedge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20" w:type="dxa"/>
            <w:vAlign w:val="bottom"/>
          </w:tcPr>
          <w:p>
            <w:pPr>
              <w:spacing w:after="0"/>
              <w:rPr>
                <w:sz w:val="15"/>
                <w:szCs w:val="15"/>
                <w:color w:val="auto"/>
              </w:rPr>
            </w:pPr>
          </w:p>
        </w:tc>
      </w:tr>
      <w:tr>
        <w:trPr>
          <w:trHeight w:val="168"/>
        </w:trPr>
        <w:tc>
          <w:tcPr>
            <w:tcW w:w="4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b w:val="1"/>
                <w:bCs w:val="1"/>
                <w:color w:val="auto"/>
              </w:rPr>
              <w:t>Total Comprehensive Income (as restated)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217,550</w:t>
            </w:r>
          </w:p>
        </w:tc>
        <w:tc>
          <w:tcPr>
            <w:tcW w:w="2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Exercise of share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40,883</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4,759</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4,762</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27,046</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12,359</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12,359</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Share issuance costs</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Repurchase of ordinary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(1,360,537)</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 repurchase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5"/>
                <w:szCs w:val="15"/>
                <w:color w:val="auto"/>
              </w:rPr>
            </w:pPr>
          </w:p>
        </w:tc>
      </w:tr>
      <w:tr>
        <w:trPr>
          <w:trHeight w:val="170"/>
        </w:trPr>
        <w:tc>
          <w:tcPr>
            <w:tcW w:w="40" w:type="dxa"/>
            <w:vAlign w:val="bottom"/>
          </w:tcPr>
          <w:p>
            <w:pPr>
              <w:spacing w:after="0"/>
              <w:rPr>
                <w:sz w:val="14"/>
                <w:szCs w:val="14"/>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79,464,252</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6,505</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7,037,344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(173,191)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2,553,824</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9,425,871</w:t>
            </w:r>
          </w:p>
        </w:tc>
        <w:tc>
          <w:tcPr>
            <w:tcW w:w="2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Comprehensive income (net of tax):</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203,516</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203,516</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104,428</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104,428</w:t>
            </w:r>
          </w:p>
        </w:tc>
        <w:tc>
          <w:tcPr>
            <w:tcW w:w="20" w:type="dxa"/>
            <w:vAlign w:val="bottom"/>
          </w:tcPr>
          <w:p>
            <w:pPr>
              <w:spacing w:after="0"/>
              <w:rPr>
                <w:sz w:val="15"/>
                <w:szCs w:val="15"/>
                <w:color w:val="auto"/>
              </w:rPr>
            </w:pPr>
          </w:p>
        </w:tc>
      </w:tr>
      <w:tr>
        <w:trPr>
          <w:trHeight w:val="170"/>
        </w:trPr>
        <w:tc>
          <w:tcPr>
            <w:tcW w:w="4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Comprehensive Income (as restated)</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307,944</w:t>
            </w:r>
          </w:p>
        </w:tc>
        <w:tc>
          <w:tcPr>
            <w:tcW w:w="20" w:type="dxa"/>
            <w:vAlign w:val="bottom"/>
          </w:tcPr>
          <w:p>
            <w:pPr>
              <w:spacing w:after="0"/>
              <w:rPr>
                <w:sz w:val="14"/>
                <w:szCs w:val="14"/>
                <w:color w:val="auto"/>
              </w:rPr>
            </w:pPr>
          </w:p>
        </w:tc>
      </w:tr>
      <w:tr>
        <w:trPr>
          <w:trHeight w:val="177"/>
        </w:trPr>
        <w:tc>
          <w:tcPr>
            <w:tcW w:w="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Exercise of share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17,901</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1,733</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1,734</w:t>
            </w:r>
          </w:p>
        </w:tc>
        <w:tc>
          <w:tcPr>
            <w:tcW w:w="20" w:type="dxa"/>
            <w:vAlign w:val="bottom"/>
          </w:tcPr>
          <w:p>
            <w:pPr>
              <w:spacing w:after="0"/>
              <w:rPr>
                <w:sz w:val="15"/>
                <w:szCs w:val="15"/>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7,158</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15,251</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15,251</w:t>
            </w:r>
          </w:p>
        </w:tc>
        <w:tc>
          <w:tcPr>
            <w:tcW w:w="20" w:type="dxa"/>
            <w:vAlign w:val="bottom"/>
          </w:tcPr>
          <w:p>
            <w:pPr>
              <w:spacing w:after="0"/>
              <w:rPr>
                <w:sz w:val="15"/>
                <w:szCs w:val="15"/>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Share issuance costs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Repurchase of ordinary shares</w:t>
            </w:r>
          </w:p>
        </w:tc>
        <w:tc>
          <w:tcPr>
            <w:tcW w:w="1100" w:type="dxa"/>
            <w:vAlign w:val="bottom"/>
          </w:tcPr>
          <w:p>
            <w:pPr>
              <w:jc w:val="right"/>
              <w:spacing w:after="0"/>
              <w:rPr>
                <w:sz w:val="20"/>
                <w:szCs w:val="20"/>
                <w:color w:val="auto"/>
              </w:rPr>
            </w:pPr>
            <w:r>
              <w:rPr>
                <w:rFonts w:ascii="Arial" w:cs="Arial" w:eastAsia="Arial" w:hAnsi="Arial"/>
                <w:sz w:val="13"/>
                <w:szCs w:val="13"/>
                <w:color w:val="auto"/>
              </w:rPr>
              <w:t>(1,717,181)</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(250,000)</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Pr>
          <w:p>
            <w:pPr>
              <w:spacing w:after="0"/>
              <w:rPr>
                <w:sz w:val="15"/>
                <w:szCs w:val="15"/>
                <w:color w:val="auto"/>
              </w:rPr>
            </w:pPr>
          </w:p>
        </w:tc>
      </w:tr>
      <w:tr>
        <w:trPr>
          <w:trHeight w:val="178"/>
        </w:trPr>
        <w:tc>
          <w:tcPr>
            <w:tcW w:w="40" w:type="dxa"/>
            <w:vAlign w:val="bottom"/>
          </w:tcPr>
          <w:p>
            <w:pPr>
              <w:spacing w:after="0"/>
              <w:rPr>
                <w:sz w:val="15"/>
                <w:szCs w:val="15"/>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Share repurchase costs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5"/>
                <w:szCs w:val="15"/>
                <w:color w:val="auto"/>
              </w:rPr>
            </w:pPr>
          </w:p>
        </w:tc>
      </w:tr>
      <w:tr>
        <w:trPr>
          <w:trHeight w:val="170"/>
        </w:trPr>
        <w:tc>
          <w:tcPr>
            <w:tcW w:w="40" w:type="dxa"/>
            <w:vAlign w:val="bottom"/>
          </w:tcPr>
          <w:p>
            <w:pPr>
              <w:spacing w:after="0"/>
              <w:rPr>
                <w:sz w:val="14"/>
                <w:szCs w:val="1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Balance at June 30, 2025 (as restated)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77,772,130</w:t>
            </w:r>
          </w:p>
        </w:tc>
        <w:tc>
          <w:tcPr>
            <w:tcW w:w="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6,390</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7,054,324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(68,763)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2,507,190</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9,500,647</w:t>
            </w:r>
          </w:p>
        </w:tc>
        <w:tc>
          <w:tcPr>
            <w:tcW w:w="20" w:type="dxa"/>
            <w:vAlign w:val="bottom"/>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Comprehensive loss (net of tax):</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40" w:type="dxa"/>
            <w:vAlign w:val="bottom"/>
          </w:tcPr>
          <w:p>
            <w:pPr>
              <w:spacing w:after="0"/>
              <w:rPr>
                <w:sz w:val="15"/>
                <w:szCs w:val="15"/>
                <w:color w:val="auto"/>
              </w:rPr>
            </w:pPr>
          </w:p>
        </w:tc>
        <w:tc>
          <w:tcPr>
            <w:tcW w:w="3680" w:type="dxa"/>
            <w:vAlign w:val="bottom"/>
          </w:tcPr>
          <w:p>
            <w:pPr>
              <w:ind w:left="80"/>
              <w:spacing w:after="0"/>
              <w:rPr>
                <w:sz w:val="20"/>
                <w:szCs w:val="20"/>
                <w:color w:val="auto"/>
              </w:rPr>
            </w:pPr>
            <w:r>
              <w:rPr>
                <w:rFonts w:ascii="Arial" w:cs="Arial" w:eastAsia="Arial" w:hAnsi="Arial"/>
                <w:sz w:val="13"/>
                <w:szCs w:val="13"/>
                <w:color w:val="auto"/>
              </w:rPr>
              <w:t>Net loss (as restated)</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(284,183)</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(284,183)</w:t>
            </w:r>
          </w:p>
        </w:tc>
        <w:tc>
          <w:tcPr>
            <w:tcW w:w="20" w:type="dxa"/>
            <w:vAlign w:val="bottom"/>
          </w:tcPr>
          <w:p>
            <w:pPr>
              <w:spacing w:after="0"/>
              <w:rPr>
                <w:sz w:val="15"/>
                <w:szCs w:val="15"/>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(18,181)</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(18,181)</w:t>
            </w:r>
          </w:p>
        </w:tc>
        <w:tc>
          <w:tcPr>
            <w:tcW w:w="20" w:type="dxa"/>
            <w:vAlign w:val="bottom"/>
          </w:tcPr>
          <w:p>
            <w:pPr>
              <w:spacing w:after="0"/>
              <w:rPr>
                <w:sz w:val="15"/>
                <w:szCs w:val="15"/>
                <w:color w:val="auto"/>
              </w:rPr>
            </w:pPr>
          </w:p>
        </w:tc>
      </w:tr>
      <w:tr>
        <w:trPr>
          <w:trHeight w:val="169"/>
        </w:trPr>
        <w:tc>
          <w:tcPr>
            <w:tcW w:w="4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b w:val="1"/>
                <w:bCs w:val="1"/>
                <w:color w:val="auto"/>
              </w:rPr>
              <w:t>Total Comprehensive Loss (as restated)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(302,364)</w:t>
            </w:r>
          </w:p>
        </w:tc>
        <w:tc>
          <w:tcPr>
            <w:tcW w:w="20" w:type="dxa"/>
            <w:vAlign w:val="bottom"/>
          </w:tcPr>
          <w:p>
            <w:pPr>
              <w:spacing w:after="0"/>
              <w:rPr>
                <w:sz w:val="14"/>
                <w:szCs w:val="14"/>
                <w:color w:val="auto"/>
              </w:rPr>
            </w:pPr>
          </w:p>
        </w:tc>
      </w:tr>
      <w:tr>
        <w:trPr>
          <w:trHeight w:val="178"/>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Exercise of share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7,304</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44,919</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44,919</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Share issuance costs</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r>
      <w:tr>
        <w:trPr>
          <w:trHeight w:val="179"/>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Repurchase of ordinary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(1,426,612)</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 repurchase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5"/>
                <w:szCs w:val="15"/>
                <w:color w:val="auto"/>
              </w:rPr>
            </w:pPr>
          </w:p>
        </w:tc>
      </w:tr>
      <w:tr>
        <w:trPr>
          <w:trHeight w:val="195"/>
        </w:trPr>
        <w:tc>
          <w:tcPr>
            <w:tcW w:w="40" w:type="dxa"/>
            <w:vAlign w:val="bottom"/>
          </w:tcPr>
          <w:p>
            <w:pPr>
              <w:spacing w:after="0"/>
              <w:rPr>
                <w:sz w:val="16"/>
                <w:szCs w:val="16"/>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2025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76,359,932</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6,290</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7,100,059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1,606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(86,944)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1,972,857</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8,993,868</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7"/>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2"/>
        </w:trPr>
        <w:tc>
          <w:tcPr>
            <w:tcW w:w="4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12" w:name="page13"/>
    <w:bookmarkEnd w:id="12"/>
    <w:p>
      <w:pPr>
        <w:ind w:firstLine="533"/>
        <w:spacing w:after="0" w:line="290" w:lineRule="auto"/>
        <w:rPr>
          <w:sz w:val="20"/>
          <w:szCs w:val="20"/>
          <w:color w:val="auto"/>
        </w:rPr>
      </w:pPr>
      <w:r>
        <w:rPr>
          <w:rFonts w:ascii="Arial" w:cs="Arial" w:eastAsia="Arial" w:hAnsi="Arial"/>
          <w:sz w:val="13"/>
          <w:szCs w:val="13"/>
          <w:color w:val="auto"/>
        </w:rPr>
        <w:t>The following table presents summarized restated unaudited condensed Consolidated Statements of Cash Flows, including the balances originally reported in the Company's unaudited condensed consolidated financial statements for each of the year to date periods ended March 31, June 30, and September 30 of 2025.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80" w:type="dxa"/>
            <w:vAlign w:val="bottom"/>
            <w:tcBorders>
              <w:top w:val="single" w:sz="8" w:color="auto"/>
              <w:bottom w:val="single" w:sz="8" w:color="auto"/>
            </w:tcBorders>
            <w:shd w:val="clear" w:color="auto" w:fill="CCEEFF"/>
          </w:tcPr>
          <w:p>
            <w:pPr>
              <w:spacing w:after="0"/>
              <w:rPr>
                <w:sz w:val="14"/>
                <w:szCs w:val="14"/>
                <w:color w:val="auto"/>
              </w:rPr>
            </w:pPr>
          </w:p>
        </w:tc>
        <w:tc>
          <w:tcPr>
            <w:tcW w:w="2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2000" w:type="dxa"/>
            <w:vAlign w:val="bottom"/>
            <w:tcBorders>
              <w:top w:val="single" w:sz="8" w:color="auto"/>
              <w:bottom w:val="single" w:sz="8" w:color="auto"/>
            </w:tcBorders>
            <w:gridSpan w:val="4"/>
            <w:shd w:val="clear" w:color="auto" w:fill="CCEEFF"/>
          </w:tcPr>
          <w:p>
            <w:pPr>
              <w:jc w:val="center"/>
              <w:ind w:left="613"/>
              <w:spacing w:after="0"/>
              <w:rPr>
                <w:sz w:val="20"/>
                <w:szCs w:val="20"/>
                <w:color w:val="auto"/>
              </w:rPr>
            </w:pPr>
            <w:r>
              <w:rPr>
                <w:rFonts w:ascii="Arial" w:cs="Arial" w:eastAsia="Arial" w:hAnsi="Arial"/>
                <w:sz w:val="13"/>
                <w:szCs w:val="13"/>
                <w:b w:val="1"/>
                <w:bCs w:val="1"/>
                <w:color w:val="auto"/>
              </w:rPr>
              <w:t>Six Months Ended</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2020" w:type="dxa"/>
            <w:vAlign w:val="bottom"/>
            <w:tcBorders>
              <w:top w:val="single" w:sz="8" w:color="auto"/>
              <w:bottom w:val="single" w:sz="8" w:color="auto"/>
            </w:tcBorders>
            <w:gridSpan w:val="4"/>
            <w:shd w:val="clear" w:color="auto" w:fill="CCEEFF"/>
          </w:tcPr>
          <w:p>
            <w:pPr>
              <w:ind w:left="72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March 31, 2025</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June 30, 2025</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720"/>
              <w:spacing w:after="0"/>
              <w:rPr>
                <w:sz w:val="20"/>
                <w:szCs w:val="20"/>
                <w:color w:val="auto"/>
              </w:rPr>
            </w:pPr>
            <w:r>
              <w:rPr>
                <w:rFonts w:ascii="Arial" w:cs="Arial" w:eastAsia="Arial" w:hAnsi="Arial"/>
                <w:sz w:val="13"/>
                <w:szCs w:val="13"/>
                <w:b w:val="1"/>
                <w:bCs w:val="1"/>
                <w:color w:val="auto"/>
              </w:rPr>
              <w:t>September 30, 2025</w:t>
            </w:r>
          </w:p>
        </w:tc>
        <w:tc>
          <w:tcPr>
            <w:tcW w:w="640" w:type="dxa"/>
            <w:vAlign w:val="bottom"/>
            <w:tcBorders>
              <w:bottom w:val="single" w:sz="8" w:color="auto"/>
            </w:tcBorders>
          </w:tcPr>
          <w:p>
            <w:pPr>
              <w:spacing w:after="0"/>
              <w:rPr>
                <w:sz w:val="14"/>
                <w:szCs w:val="14"/>
                <w:color w:val="auto"/>
              </w:rPr>
            </w:pPr>
          </w:p>
        </w:tc>
      </w:tr>
      <w:tr>
        <w:trPr>
          <w:trHeight w:val="169"/>
        </w:trPr>
        <w:tc>
          <w:tcPr>
            <w:tcW w:w="3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r>
      <w:tr>
        <w:trPr>
          <w:trHeight w:val="169"/>
        </w:trPr>
        <w:tc>
          <w:tcPr>
            <w:tcW w:w="3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provided by operating activities:</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7"/>
        </w:trPr>
        <w:tc>
          <w:tcPr>
            <w:tcW w:w="31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jc w:val="right"/>
              <w:spacing w:after="0"/>
              <w:rPr>
                <w:sz w:val="20"/>
                <w:szCs w:val="20"/>
                <w:color w:val="auto"/>
              </w:rPr>
            </w:pPr>
            <w:r>
              <w:rPr>
                <w:rFonts w:ascii="Arial" w:cs="Arial" w:eastAsia="Arial" w:hAnsi="Arial"/>
                <w:sz w:val="13"/>
                <w:szCs w:val="13"/>
                <w:color w:val="auto"/>
              </w:rPr>
              <w:t>$   154,151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6,661</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160,812</w:t>
            </w:r>
          </w:p>
        </w:tc>
        <w:tc>
          <w:tcPr>
            <w:tcW w:w="860" w:type="dxa"/>
            <w:vAlign w:val="bottom"/>
          </w:tcPr>
          <w:p>
            <w:pPr>
              <w:jc w:val="right"/>
              <w:spacing w:after="0"/>
              <w:rPr>
                <w:sz w:val="20"/>
                <w:szCs w:val="20"/>
                <w:color w:val="auto"/>
              </w:rPr>
            </w:pPr>
            <w:r>
              <w:rPr>
                <w:rFonts w:ascii="Arial" w:cs="Arial" w:eastAsia="Arial" w:hAnsi="Arial"/>
                <w:sz w:val="13"/>
                <w:szCs w:val="13"/>
                <w:color w:val="auto"/>
              </w:rPr>
              <w:t>$   337,123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27,205</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364,328</w:t>
            </w:r>
          </w:p>
        </w:tc>
        <w:tc>
          <w:tcPr>
            <w:tcW w:w="860" w:type="dxa"/>
            <w:vAlign w:val="bottom"/>
          </w:tcPr>
          <w:p>
            <w:pPr>
              <w:jc w:val="right"/>
              <w:spacing w:after="0"/>
              <w:rPr>
                <w:sz w:val="20"/>
                <w:szCs w:val="20"/>
                <w:color w:val="auto"/>
              </w:rPr>
            </w:pPr>
            <w:r>
              <w:rPr>
                <w:rFonts w:ascii="Arial" w:cs="Arial" w:eastAsia="Arial" w:hAnsi="Arial"/>
                <w:sz w:val="13"/>
                <w:szCs w:val="13"/>
                <w:color w:val="auto"/>
              </w:rPr>
              <w:t>$   339,478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(259,333)</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80,145</w:t>
            </w:r>
          </w:p>
        </w:tc>
      </w:tr>
      <w:tr>
        <w:trPr>
          <w:trHeight w:val="212"/>
        </w:trPr>
        <w:tc>
          <w:tcPr>
            <w:tcW w:w="3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34"/>
        </w:trPr>
        <w:tc>
          <w:tcPr>
            <w:tcW w:w="3180" w:type="dxa"/>
            <w:vAlign w:val="bottom"/>
          </w:tcPr>
          <w:p>
            <w:pPr>
              <w:ind w:left="120"/>
              <w:spacing w:after="0" w:line="134" w:lineRule="exact"/>
              <w:rPr>
                <w:sz w:val="20"/>
                <w:szCs w:val="20"/>
                <w:color w:val="auto"/>
              </w:rPr>
            </w:pPr>
            <w:r>
              <w:rPr>
                <w:rFonts w:ascii="Arial" w:cs="Arial" w:eastAsia="Arial" w:hAnsi="Arial"/>
                <w:sz w:val="13"/>
                <w:szCs w:val="13"/>
                <w:color w:val="auto"/>
              </w:rPr>
              <w:t>Adjustments to reconcile net income to net cash</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6"/>
        </w:trPr>
        <w:tc>
          <w:tcPr>
            <w:tcW w:w="3180" w:type="dxa"/>
            <w:vAlign w:val="bottom"/>
          </w:tcPr>
          <w:p>
            <w:pPr>
              <w:ind w:left="120"/>
              <w:spacing w:after="0"/>
              <w:rPr>
                <w:sz w:val="20"/>
                <w:szCs w:val="20"/>
                <w:color w:val="auto"/>
              </w:rPr>
            </w:pPr>
            <w:r>
              <w:rPr>
                <w:rFonts w:ascii="Arial" w:cs="Arial" w:eastAsia="Arial" w:hAnsi="Arial"/>
                <w:sz w:val="13"/>
                <w:szCs w:val="13"/>
                <w:color w:val="auto"/>
              </w:rPr>
              <w:t>provided by operating activities: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Depreciation and amortization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95,958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95,958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193,676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193,676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292,171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292,706</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Goodwill impairment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165,300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198,948</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364,248</w:t>
            </w:r>
          </w:p>
        </w:tc>
      </w:tr>
      <w:tr>
        <w:trPr>
          <w:trHeight w:val="179"/>
        </w:trPr>
        <w:tc>
          <w:tcPr>
            <w:tcW w:w="3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Impairment of non-financial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101,027</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101,027</w:t>
            </w:r>
          </w:p>
        </w:tc>
      </w:tr>
      <w:tr>
        <w:trPr>
          <w:trHeight w:val="134"/>
        </w:trPr>
        <w:tc>
          <w:tcPr>
            <w:tcW w:w="3180" w:type="dxa"/>
            <w:vAlign w:val="bottom"/>
          </w:tcPr>
          <w:p>
            <w:pPr>
              <w:ind w:left="200"/>
              <w:spacing w:after="0" w:line="134" w:lineRule="exact"/>
              <w:rPr>
                <w:sz w:val="20"/>
                <w:szCs w:val="20"/>
                <w:color w:val="auto"/>
              </w:rPr>
            </w:pPr>
            <w:r>
              <w:rPr>
                <w:rFonts w:ascii="Arial" w:cs="Arial" w:eastAsia="Arial" w:hAnsi="Arial"/>
                <w:sz w:val="13"/>
                <w:szCs w:val="13"/>
                <w:color w:val="auto"/>
              </w:rPr>
              <w:t>Impairment of operating right-of-use assets and</w:t>
            </w: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40" w:type="dxa"/>
            <w:vAlign w:val="bottom"/>
          </w:tcPr>
          <w:p>
            <w:pPr>
              <w:jc w:val="right"/>
              <w:ind w:right="33"/>
              <w:spacing w:after="0" w:line="134"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5,573</w:t>
            </w: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tcPr>
          <w:p>
            <w:pPr>
              <w:jc w:val="right"/>
              <w:ind w:right="33"/>
              <w:spacing w:after="0" w:line="134" w:lineRule="exact"/>
              <w:rPr>
                <w:sz w:val="20"/>
                <w:szCs w:val="20"/>
                <w:color w:val="auto"/>
              </w:rPr>
            </w:pPr>
            <w:r>
              <w:rPr>
                <w:rFonts w:ascii="Arial" w:cs="Arial" w:eastAsia="Arial" w:hAnsi="Arial"/>
                <w:sz w:val="13"/>
                <w:szCs w:val="13"/>
                <w:color w:val="auto"/>
              </w:rPr>
              <w:t>5,573</w:t>
            </w: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5,573</w:t>
            </w: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5,573</w:t>
            </w:r>
          </w:p>
        </w:tc>
      </w:tr>
      <w:tr>
        <w:trPr>
          <w:trHeight w:val="176"/>
        </w:trPr>
        <w:tc>
          <w:tcPr>
            <w:tcW w:w="3180" w:type="dxa"/>
            <w:vAlign w:val="bottom"/>
          </w:tcPr>
          <w:p>
            <w:pPr>
              <w:ind w:left="200"/>
              <w:spacing w:after="0"/>
              <w:rPr>
                <w:sz w:val="20"/>
                <w:szCs w:val="20"/>
                <w:color w:val="auto"/>
              </w:rPr>
            </w:pPr>
            <w:r>
              <w:rPr>
                <w:rFonts w:ascii="Arial" w:cs="Arial" w:eastAsia="Arial" w:hAnsi="Arial"/>
                <w:sz w:val="13"/>
                <w:szCs w:val="13"/>
                <w:color w:val="auto"/>
              </w:rPr>
              <w:t>related property, plant and equipment</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35"/>
        </w:trPr>
        <w:tc>
          <w:tcPr>
            <w:tcW w:w="3180" w:type="dxa"/>
            <w:vAlign w:val="bottom"/>
            <w:shd w:val="clear" w:color="auto" w:fill="CCEEFF"/>
          </w:tcPr>
          <w:p>
            <w:pPr>
              <w:ind w:left="200"/>
              <w:spacing w:after="0" w:line="136" w:lineRule="exact"/>
              <w:rPr>
                <w:sz w:val="20"/>
                <w:szCs w:val="20"/>
                <w:color w:val="auto"/>
              </w:rPr>
            </w:pPr>
            <w:r>
              <w:rPr>
                <w:rFonts w:ascii="Arial" w:cs="Arial" w:eastAsia="Arial" w:hAnsi="Arial"/>
                <w:sz w:val="13"/>
                <w:szCs w:val="13"/>
                <w:color w:val="auto"/>
              </w:rPr>
              <w:t>Reduction in carrying value of operating right-of-</w:t>
            </w:r>
          </w:p>
        </w:tc>
        <w:tc>
          <w:tcPr>
            <w:tcW w:w="9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9,384</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9,384</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18,977</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18,977</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29,473</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29,473</w:t>
            </w:r>
          </w:p>
        </w:tc>
      </w:tr>
      <w:tr>
        <w:trPr>
          <w:trHeight w:val="177"/>
        </w:trPr>
        <w:tc>
          <w:tcPr>
            <w:tcW w:w="3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use assets</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Amortization of financing costs and debt discount</w:t>
            </w:r>
          </w:p>
        </w:tc>
        <w:tc>
          <w:tcPr>
            <w:tcW w:w="900" w:type="dxa"/>
            <w:vAlign w:val="bottom"/>
          </w:tcPr>
          <w:p>
            <w:pPr>
              <w:jc w:val="right"/>
              <w:spacing w:after="0"/>
              <w:rPr>
                <w:sz w:val="20"/>
                <w:szCs w:val="20"/>
                <w:color w:val="auto"/>
              </w:rPr>
            </w:pPr>
            <w:r>
              <w:rPr>
                <w:rFonts w:ascii="Arial" w:cs="Arial" w:eastAsia="Arial" w:hAnsi="Arial"/>
                <w:sz w:val="13"/>
                <w:szCs w:val="13"/>
                <w:color w:val="auto"/>
              </w:rPr>
              <w:t>1,480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1,480</w:t>
            </w:r>
          </w:p>
        </w:tc>
        <w:tc>
          <w:tcPr>
            <w:tcW w:w="860" w:type="dxa"/>
            <w:vAlign w:val="bottom"/>
          </w:tcPr>
          <w:p>
            <w:pPr>
              <w:jc w:val="right"/>
              <w:spacing w:after="0"/>
              <w:rPr>
                <w:sz w:val="20"/>
                <w:szCs w:val="20"/>
                <w:color w:val="auto"/>
              </w:rPr>
            </w:pPr>
            <w:r>
              <w:rPr>
                <w:rFonts w:ascii="Arial" w:cs="Arial" w:eastAsia="Arial" w:hAnsi="Arial"/>
                <w:sz w:val="13"/>
                <w:szCs w:val="13"/>
                <w:color w:val="auto"/>
              </w:rPr>
              <w:t>2,971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2,971</w:t>
            </w:r>
          </w:p>
        </w:tc>
        <w:tc>
          <w:tcPr>
            <w:tcW w:w="860" w:type="dxa"/>
            <w:vAlign w:val="bottom"/>
          </w:tcPr>
          <w:p>
            <w:pPr>
              <w:jc w:val="right"/>
              <w:spacing w:after="0"/>
              <w:rPr>
                <w:sz w:val="20"/>
                <w:szCs w:val="20"/>
                <w:color w:val="auto"/>
              </w:rPr>
            </w:pPr>
            <w:r>
              <w:rPr>
                <w:rFonts w:ascii="Arial" w:cs="Arial" w:eastAsia="Arial" w:hAnsi="Arial"/>
                <w:sz w:val="13"/>
                <w:szCs w:val="13"/>
                <w:color w:val="auto"/>
              </w:rPr>
              <w:t>4,470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4,470</w:t>
            </w:r>
          </w:p>
        </w:tc>
      </w:tr>
      <w:tr>
        <w:trPr>
          <w:trHeight w:val="179"/>
        </w:trPr>
        <w:tc>
          <w:tcPr>
            <w:tcW w:w="3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 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12,359</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27,610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27,610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72,529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72,529</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Deferred tax benefit</w:t>
            </w:r>
          </w:p>
        </w:tc>
        <w:tc>
          <w:tcPr>
            <w:tcW w:w="900" w:type="dxa"/>
            <w:vAlign w:val="bottom"/>
          </w:tcPr>
          <w:p>
            <w:pPr>
              <w:jc w:val="right"/>
              <w:spacing w:after="0"/>
              <w:rPr>
                <w:sz w:val="20"/>
                <w:szCs w:val="20"/>
                <w:color w:val="auto"/>
              </w:rPr>
            </w:pPr>
            <w:r>
              <w:rPr>
                <w:rFonts w:ascii="Arial" w:cs="Arial" w:eastAsia="Arial" w:hAnsi="Arial"/>
                <w:sz w:val="13"/>
                <w:szCs w:val="13"/>
                <w:color w:val="auto"/>
              </w:rPr>
              <w:t>(25,014)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(25,014)</w:t>
            </w:r>
          </w:p>
        </w:tc>
        <w:tc>
          <w:tcPr>
            <w:tcW w:w="860" w:type="dxa"/>
            <w:vAlign w:val="bottom"/>
          </w:tcPr>
          <w:p>
            <w:pPr>
              <w:jc w:val="right"/>
              <w:spacing w:after="0"/>
              <w:rPr>
                <w:sz w:val="20"/>
                <w:szCs w:val="20"/>
                <w:color w:val="auto"/>
              </w:rPr>
            </w:pPr>
            <w:r>
              <w:rPr>
                <w:rFonts w:ascii="Arial" w:cs="Arial" w:eastAsia="Arial" w:hAnsi="Arial"/>
                <w:sz w:val="13"/>
                <w:szCs w:val="13"/>
                <w:color w:val="auto"/>
              </w:rPr>
              <w:t>(46,095)</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(46,095)</w:t>
            </w:r>
          </w:p>
        </w:tc>
        <w:tc>
          <w:tcPr>
            <w:tcW w:w="860" w:type="dxa"/>
            <w:vAlign w:val="bottom"/>
          </w:tcPr>
          <w:p>
            <w:pPr>
              <w:jc w:val="right"/>
              <w:spacing w:after="0"/>
              <w:rPr>
                <w:sz w:val="20"/>
                <w:szCs w:val="20"/>
                <w:color w:val="auto"/>
              </w:rPr>
            </w:pPr>
            <w:r>
              <w:rPr>
                <w:rFonts w:ascii="Arial" w:cs="Arial" w:eastAsia="Arial" w:hAnsi="Arial"/>
                <w:sz w:val="13"/>
                <w:szCs w:val="13"/>
                <w:color w:val="auto"/>
              </w:rPr>
              <w:t>(91,788)</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(22,469)</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(114,257)</w:t>
            </w:r>
          </w:p>
        </w:tc>
      </w:tr>
      <w:tr>
        <w:trPr>
          <w:trHeight w:val="179"/>
        </w:trPr>
        <w:tc>
          <w:tcPr>
            <w:tcW w:w="3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foreign exchange movements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18,081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18,081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34,777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34,777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24,661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24,661</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Other non-cash items</w:t>
            </w:r>
          </w:p>
        </w:tc>
        <w:tc>
          <w:tcPr>
            <w:tcW w:w="900" w:type="dxa"/>
            <w:vAlign w:val="bottom"/>
          </w:tcPr>
          <w:p>
            <w:pPr>
              <w:jc w:val="right"/>
              <w:spacing w:after="0"/>
              <w:rPr>
                <w:sz w:val="20"/>
                <w:szCs w:val="20"/>
                <w:color w:val="auto"/>
              </w:rPr>
            </w:pPr>
            <w:r>
              <w:rPr>
                <w:rFonts w:ascii="Arial" w:cs="Arial" w:eastAsia="Arial" w:hAnsi="Arial"/>
                <w:sz w:val="13"/>
                <w:szCs w:val="13"/>
                <w:color w:val="auto"/>
              </w:rPr>
              <w:t>8,240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8,240</w:t>
            </w:r>
          </w:p>
        </w:tc>
        <w:tc>
          <w:tcPr>
            <w:tcW w:w="860" w:type="dxa"/>
            <w:vAlign w:val="bottom"/>
          </w:tcPr>
          <w:p>
            <w:pPr>
              <w:jc w:val="right"/>
              <w:spacing w:after="0"/>
              <w:rPr>
                <w:sz w:val="20"/>
                <w:szCs w:val="20"/>
                <w:color w:val="auto"/>
              </w:rPr>
            </w:pPr>
            <w:r>
              <w:rPr>
                <w:rFonts w:ascii="Arial" w:cs="Arial" w:eastAsia="Arial" w:hAnsi="Arial"/>
                <w:sz w:val="13"/>
                <w:szCs w:val="13"/>
                <w:color w:val="auto"/>
              </w:rPr>
              <w:t>15,266</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15,266</w:t>
            </w:r>
          </w:p>
        </w:tc>
        <w:tc>
          <w:tcPr>
            <w:tcW w:w="860" w:type="dxa"/>
            <w:vAlign w:val="bottom"/>
          </w:tcPr>
          <w:p>
            <w:pPr>
              <w:jc w:val="right"/>
              <w:spacing w:after="0"/>
              <w:rPr>
                <w:sz w:val="20"/>
                <w:szCs w:val="20"/>
                <w:color w:val="auto"/>
              </w:rPr>
            </w:pPr>
            <w:r>
              <w:rPr>
                <w:rFonts w:ascii="Arial" w:cs="Arial" w:eastAsia="Arial" w:hAnsi="Arial"/>
                <w:sz w:val="13"/>
                <w:szCs w:val="13"/>
                <w:color w:val="auto"/>
              </w:rPr>
              <w:t>20,561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20,561</w:t>
            </w:r>
          </w:p>
        </w:tc>
      </w:tr>
      <w:tr>
        <w:trPr>
          <w:trHeight w:val="179"/>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900" w:type="dxa"/>
            <w:vAlign w:val="bottom"/>
          </w:tcPr>
          <w:p>
            <w:pPr>
              <w:jc w:val="right"/>
              <w:spacing w:after="0"/>
              <w:rPr>
                <w:sz w:val="20"/>
                <w:szCs w:val="20"/>
                <w:color w:val="auto"/>
              </w:rPr>
            </w:pPr>
            <w:r>
              <w:rPr>
                <w:rFonts w:ascii="Arial" w:cs="Arial" w:eastAsia="Arial" w:hAnsi="Arial"/>
                <w:sz w:val="13"/>
                <w:szCs w:val="13"/>
                <w:color w:val="auto"/>
              </w:rPr>
              <w:t>9,706</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(9,225)</w:t>
            </w:r>
          </w:p>
        </w:tc>
        <w:tc>
          <w:tcPr>
            <w:tcW w:w="24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481</w:t>
            </w:r>
          </w:p>
        </w:tc>
        <w:tc>
          <w:tcPr>
            <w:tcW w:w="860" w:type="dxa"/>
            <w:vAlign w:val="bottom"/>
          </w:tcPr>
          <w:p>
            <w:pPr>
              <w:jc w:val="right"/>
              <w:spacing w:after="0"/>
              <w:rPr>
                <w:sz w:val="20"/>
                <w:szCs w:val="20"/>
                <w:color w:val="auto"/>
              </w:rPr>
            </w:pPr>
            <w:r>
              <w:rPr>
                <w:rFonts w:ascii="Arial" w:cs="Arial" w:eastAsia="Arial" w:hAnsi="Arial"/>
                <w:sz w:val="13"/>
                <w:szCs w:val="13"/>
                <w:color w:val="auto"/>
              </w:rPr>
              <w:t>24,374</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(9,225)</w:t>
            </w:r>
          </w:p>
        </w:tc>
        <w:tc>
          <w:tcPr>
            <w:tcW w:w="18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15,149</w:t>
            </w:r>
          </w:p>
        </w:tc>
        <w:tc>
          <w:tcPr>
            <w:tcW w:w="860" w:type="dxa"/>
            <w:vAlign w:val="bottom"/>
          </w:tcPr>
          <w:p>
            <w:pPr>
              <w:jc w:val="right"/>
              <w:spacing w:after="0"/>
              <w:rPr>
                <w:sz w:val="20"/>
                <w:szCs w:val="20"/>
                <w:color w:val="auto"/>
              </w:rPr>
            </w:pPr>
            <w:r>
              <w:rPr>
                <w:rFonts w:ascii="Arial" w:cs="Arial" w:eastAsia="Arial" w:hAnsi="Arial"/>
                <w:sz w:val="13"/>
                <w:szCs w:val="13"/>
                <w:color w:val="auto"/>
              </w:rPr>
              <w:t>1,013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(9,225)</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(8,212)</w:t>
            </w:r>
          </w:p>
        </w:tc>
      </w:tr>
      <w:tr>
        <w:trPr>
          <w:trHeight w:val="179"/>
        </w:trPr>
        <w:tc>
          <w:tcPr>
            <w:tcW w:w="3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Unbilled revenue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84,155</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(150,531)</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(66,376)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36,040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(174,561)</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(138,521)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(183,141)</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(157,162)</w:t>
            </w:r>
          </w:p>
        </w:tc>
      </w:tr>
      <w:tr>
        <w:trPr>
          <w:trHeight w:val="177"/>
        </w:trPr>
        <w:tc>
          <w:tcPr>
            <w:tcW w:w="3180" w:type="dxa"/>
            <w:vAlign w:val="bottom"/>
          </w:tcPr>
          <w:p>
            <w:pPr>
              <w:ind w:left="200"/>
              <w:spacing w:after="0"/>
              <w:rPr>
                <w:sz w:val="20"/>
                <w:szCs w:val="20"/>
                <w:color w:val="auto"/>
              </w:rPr>
            </w:pPr>
            <w:r>
              <w:rPr>
                <w:rFonts w:ascii="Arial" w:cs="Arial" w:eastAsia="Arial" w:hAnsi="Arial"/>
                <w:sz w:val="13"/>
                <w:szCs w:val="13"/>
                <w:color w:val="auto"/>
              </w:rPr>
              <w:t>Unearned revenue</w:t>
            </w:r>
          </w:p>
        </w:tc>
        <w:tc>
          <w:tcPr>
            <w:tcW w:w="900" w:type="dxa"/>
            <w:vAlign w:val="bottom"/>
          </w:tcPr>
          <w:p>
            <w:pPr>
              <w:jc w:val="right"/>
              <w:spacing w:after="0"/>
              <w:rPr>
                <w:sz w:val="20"/>
                <w:szCs w:val="20"/>
                <w:color w:val="auto"/>
              </w:rPr>
            </w:pPr>
            <w:r>
              <w:rPr>
                <w:rFonts w:ascii="Arial" w:cs="Arial" w:eastAsia="Arial" w:hAnsi="Arial"/>
                <w:sz w:val="13"/>
                <w:szCs w:val="13"/>
                <w:color w:val="auto"/>
              </w:rPr>
              <w:t>(122,305)</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145,768</w:t>
            </w:r>
          </w:p>
        </w:tc>
        <w:tc>
          <w:tcPr>
            <w:tcW w:w="24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23,463</w:t>
            </w:r>
          </w:p>
        </w:tc>
        <w:tc>
          <w:tcPr>
            <w:tcW w:w="860" w:type="dxa"/>
            <w:vAlign w:val="bottom"/>
          </w:tcPr>
          <w:p>
            <w:pPr>
              <w:jc w:val="right"/>
              <w:spacing w:after="0"/>
              <w:rPr>
                <w:sz w:val="20"/>
                <w:szCs w:val="20"/>
                <w:color w:val="auto"/>
              </w:rPr>
            </w:pPr>
            <w:r>
              <w:rPr>
                <w:rFonts w:ascii="Arial" w:cs="Arial" w:eastAsia="Arial" w:hAnsi="Arial"/>
                <w:sz w:val="13"/>
                <w:szCs w:val="13"/>
                <w:color w:val="auto"/>
              </w:rPr>
              <w:t>(122,306)</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148,067</w:t>
            </w:r>
          </w:p>
        </w:tc>
        <w:tc>
          <w:tcPr>
            <w:tcW w:w="18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25,761</w:t>
            </w:r>
          </w:p>
        </w:tc>
        <w:tc>
          <w:tcPr>
            <w:tcW w:w="860" w:type="dxa"/>
            <w:vAlign w:val="bottom"/>
          </w:tcPr>
          <w:p>
            <w:pPr>
              <w:jc w:val="right"/>
              <w:spacing w:after="0"/>
              <w:rPr>
                <w:sz w:val="20"/>
                <w:szCs w:val="20"/>
                <w:color w:val="auto"/>
              </w:rPr>
            </w:pPr>
            <w:r>
              <w:rPr>
                <w:rFonts w:ascii="Arial" w:cs="Arial" w:eastAsia="Arial" w:hAnsi="Arial"/>
                <w:sz w:val="13"/>
                <w:szCs w:val="13"/>
                <w:color w:val="auto"/>
              </w:rPr>
              <w:t>(101,089)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165,631</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64,542</w:t>
            </w:r>
          </w:p>
        </w:tc>
      </w:tr>
      <w:tr>
        <w:trPr>
          <w:trHeight w:val="178"/>
        </w:trPr>
        <w:tc>
          <w:tcPr>
            <w:tcW w:w="3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Other net assets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22,045</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7,327</w:t>
            </w: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29,372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(113,545)</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8,514</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(105,031)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13,712</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8,027</w:t>
            </w: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21,739</w:t>
            </w:r>
          </w:p>
        </w:tc>
      </w:tr>
      <w:tr>
        <w:trPr>
          <w:trHeight w:val="169"/>
        </w:trPr>
        <w:tc>
          <w:tcPr>
            <w:tcW w:w="318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00" w:type="dxa"/>
            <w:vAlign w:val="bottom"/>
          </w:tcPr>
          <w:p>
            <w:pPr>
              <w:jc w:val="right"/>
              <w:spacing w:after="0"/>
              <w:rPr>
                <w:sz w:val="20"/>
                <w:szCs w:val="20"/>
                <w:color w:val="auto"/>
              </w:rPr>
            </w:pPr>
            <w:r>
              <w:rPr>
                <w:rFonts w:ascii="Arial" w:cs="Arial" w:eastAsia="Arial" w:hAnsi="Arial"/>
                <w:sz w:val="13"/>
                <w:szCs w:val="13"/>
                <w:color w:val="auto"/>
              </w:rPr>
              <w:t>268,240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268,240</w:t>
            </w:r>
          </w:p>
        </w:tc>
        <w:tc>
          <w:tcPr>
            <w:tcW w:w="860" w:type="dxa"/>
            <w:vAlign w:val="bottom"/>
          </w:tcPr>
          <w:p>
            <w:pPr>
              <w:jc w:val="right"/>
              <w:spacing w:after="0"/>
              <w:rPr>
                <w:sz w:val="20"/>
                <w:szCs w:val="20"/>
                <w:color w:val="auto"/>
              </w:rPr>
            </w:pPr>
            <w:r>
              <w:rPr>
                <w:rFonts w:ascii="Arial" w:cs="Arial" w:eastAsia="Arial" w:hAnsi="Arial"/>
                <w:sz w:val="13"/>
                <w:szCs w:val="13"/>
                <w:color w:val="auto"/>
              </w:rPr>
              <w:t>414,441</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414,441</w:t>
            </w:r>
          </w:p>
        </w:tc>
        <w:tc>
          <w:tcPr>
            <w:tcW w:w="860" w:type="dxa"/>
            <w:vAlign w:val="bottom"/>
          </w:tcPr>
          <w:p>
            <w:pPr>
              <w:jc w:val="right"/>
              <w:spacing w:after="0"/>
              <w:rPr>
                <w:sz w:val="20"/>
                <w:szCs w:val="20"/>
                <w:color w:val="auto"/>
              </w:rPr>
            </w:pPr>
            <w:r>
              <w:rPr>
                <w:rFonts w:ascii="Arial" w:cs="Arial" w:eastAsia="Arial" w:hAnsi="Arial"/>
                <w:sz w:val="13"/>
                <w:szCs w:val="13"/>
                <w:color w:val="auto"/>
              </w:rPr>
              <w:t>802,043</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802,043</w:t>
            </w:r>
          </w:p>
        </w:tc>
      </w:tr>
      <w:tr>
        <w:trPr>
          <w:trHeight w:val="212"/>
        </w:trPr>
        <w:tc>
          <w:tcPr>
            <w:tcW w:w="3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8"/>
        </w:trPr>
        <w:tc>
          <w:tcPr>
            <w:tcW w:w="3180" w:type="dxa"/>
            <w:vAlign w:val="bottom"/>
          </w:tcPr>
          <w:p>
            <w:pPr>
              <w:ind w:left="20"/>
              <w:spacing w:after="0"/>
              <w:rPr>
                <w:sz w:val="20"/>
                <w:szCs w:val="20"/>
                <w:color w:val="auto"/>
              </w:rPr>
            </w:pPr>
            <w:r>
              <w:rPr>
                <w:rFonts w:ascii="Arial" w:cs="Arial" w:eastAsia="Arial" w:hAnsi="Arial"/>
                <w:sz w:val="13"/>
                <w:szCs w:val="13"/>
                <w:b w:val="1"/>
                <w:bCs w:val="1"/>
                <w:color w:val="auto"/>
              </w:rPr>
              <w:t>Cash flows used in investing activities: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8"/>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property, plant and equipment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(61,185)</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(61,185)</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(114,885)</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(114,885)</w:t>
            </w:r>
          </w:p>
        </w:tc>
      </w:tr>
      <w:tr>
        <w:trPr>
          <w:trHeight w:val="134"/>
        </w:trPr>
        <w:tc>
          <w:tcPr>
            <w:tcW w:w="3180" w:type="dxa"/>
            <w:vAlign w:val="bottom"/>
          </w:tcPr>
          <w:p>
            <w:pPr>
              <w:ind w:left="120"/>
              <w:spacing w:after="0" w:line="134" w:lineRule="exact"/>
              <w:rPr>
                <w:sz w:val="20"/>
                <w:szCs w:val="20"/>
                <w:color w:val="auto"/>
              </w:rPr>
            </w:pPr>
            <w:r>
              <w:rPr>
                <w:rFonts w:ascii="Arial" w:cs="Arial" w:eastAsia="Arial" w:hAnsi="Arial"/>
                <w:sz w:val="13"/>
                <w:szCs w:val="13"/>
                <w:color w:val="auto"/>
              </w:rPr>
              <w:t>Purchase of subsidiary undertakings (net of cash</w:t>
            </w: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(2,537)</w:t>
            </w: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(2,537)</w:t>
            </w: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(2,537)</w:t>
            </w: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(2,537)</w:t>
            </w: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(2,537)</w:t>
            </w: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(2,537)</w:t>
            </w:r>
          </w:p>
        </w:tc>
      </w:tr>
      <w:tr>
        <w:trPr>
          <w:trHeight w:val="176"/>
        </w:trPr>
        <w:tc>
          <w:tcPr>
            <w:tcW w:w="3180" w:type="dxa"/>
            <w:vAlign w:val="bottom"/>
          </w:tcPr>
          <w:p>
            <w:pPr>
              <w:ind w:left="120"/>
              <w:spacing w:after="0"/>
              <w:rPr>
                <w:sz w:val="20"/>
                <w:szCs w:val="20"/>
                <w:color w:val="auto"/>
              </w:rPr>
            </w:pPr>
            <w:r>
              <w:rPr>
                <w:rFonts w:ascii="Arial" w:cs="Arial" w:eastAsia="Arial" w:hAnsi="Arial"/>
                <w:sz w:val="13"/>
                <w:szCs w:val="13"/>
                <w:color w:val="auto"/>
              </w:rPr>
              <w:t>acquired)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investments in equity</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561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w:t>
            </w:r>
          </w:p>
        </w:tc>
      </w:tr>
      <w:tr>
        <w:trPr>
          <w:trHeight w:val="177"/>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Purchase of investments in equity</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(12,330)</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(16,286)</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(16,286)</w:t>
            </w:r>
          </w:p>
        </w:tc>
      </w:tr>
      <w:tr>
        <w:trPr>
          <w:trHeight w:val="17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(37,282)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(37,282)</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(75,491)</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(75,491)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(131,594)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(131,594)</w:t>
            </w:r>
          </w:p>
        </w:tc>
      </w:tr>
      <w:tr>
        <w:trPr>
          <w:trHeight w:val="542"/>
        </w:trPr>
        <w:tc>
          <w:tcPr>
            <w:tcW w:w="3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3"/>
                <w:szCs w:val="13"/>
                <w:color w:val="auto"/>
              </w:rPr>
              <w:t>11</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2"/>
        </w:trPr>
        <w:tc>
          <w:tcPr>
            <w:tcW w:w="3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00" w:type="dxa"/>
            <w:vAlign w:val="bottom"/>
            <w:tcBorders>
              <w:top w:val="single" w:sz="8" w:color="auto"/>
              <w:bottom w:val="single" w:sz="8" w:color="auto"/>
            </w:tcBorders>
            <w:shd w:val="clear" w:color="auto" w:fill="CCEEFF"/>
          </w:tcPr>
          <w:p>
            <w:pPr>
              <w:spacing w:after="0"/>
              <w:rPr>
                <w:sz w:val="14"/>
                <w:szCs w:val="14"/>
                <w:color w:val="auto"/>
              </w:rPr>
            </w:pPr>
          </w:p>
        </w:tc>
        <w:tc>
          <w:tcPr>
            <w:tcW w:w="2160" w:type="dxa"/>
            <w:vAlign w:val="bottom"/>
            <w:tcBorders>
              <w:top w:val="single" w:sz="8" w:color="auto"/>
              <w:bottom w:val="single" w:sz="8" w:color="auto"/>
            </w:tcBorders>
            <w:gridSpan w:val="3"/>
            <w:shd w:val="clear" w:color="auto" w:fill="CCEEFF"/>
          </w:tcPr>
          <w:p>
            <w:pPr>
              <w:ind w:left="800"/>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2000" w:type="dxa"/>
            <w:vAlign w:val="bottom"/>
            <w:tcBorders>
              <w:top w:val="single" w:sz="8" w:color="auto"/>
              <w:bottom w:val="single" w:sz="8" w:color="auto"/>
            </w:tcBorders>
            <w:gridSpan w:val="3"/>
            <w:shd w:val="clear" w:color="auto" w:fill="CCEEFF"/>
          </w:tcPr>
          <w:p>
            <w:pPr>
              <w:jc w:val="center"/>
              <w:ind w:left="613"/>
              <w:spacing w:after="0"/>
              <w:rPr>
                <w:sz w:val="20"/>
                <w:szCs w:val="20"/>
                <w:color w:val="auto"/>
              </w:rPr>
            </w:pPr>
            <w:r>
              <w:rPr>
                <w:rFonts w:ascii="Arial" w:cs="Arial" w:eastAsia="Arial" w:hAnsi="Arial"/>
                <w:sz w:val="13"/>
                <w:szCs w:val="13"/>
                <w:b w:val="1"/>
                <w:bCs w:val="1"/>
                <w:color w:val="auto"/>
              </w:rPr>
              <w:t>Six Months Ended</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2020" w:type="dxa"/>
            <w:vAlign w:val="bottom"/>
            <w:tcBorders>
              <w:top w:val="single" w:sz="8" w:color="auto"/>
              <w:bottom w:val="single" w:sz="8" w:color="auto"/>
            </w:tcBorders>
            <w:gridSpan w:val="3"/>
            <w:shd w:val="clear" w:color="auto" w:fill="CCEEFF"/>
          </w:tcPr>
          <w:p>
            <w:pPr>
              <w:ind w:left="72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r>
      <w:tr>
        <w:trPr>
          <w:trHeight w:val="169"/>
        </w:trPr>
        <w:tc>
          <w:tcPr>
            <w:tcW w:w="3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March 31, 2025</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13"/>
              <w:spacing w:after="0"/>
              <w:rPr>
                <w:sz w:val="20"/>
                <w:szCs w:val="20"/>
                <w:color w:val="auto"/>
              </w:rPr>
            </w:pPr>
            <w:r>
              <w:rPr>
                <w:rFonts w:ascii="Arial" w:cs="Arial" w:eastAsia="Arial" w:hAnsi="Arial"/>
                <w:sz w:val="13"/>
                <w:szCs w:val="13"/>
                <w:b w:val="1"/>
                <w:bCs w:val="1"/>
                <w:color w:val="auto"/>
              </w:rPr>
              <w:t>June 30, 2025</w:t>
            </w:r>
          </w:p>
        </w:tc>
        <w:tc>
          <w:tcPr>
            <w:tcW w:w="7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September 30, 2025</w:t>
            </w:r>
          </w:p>
        </w:tc>
        <w:tc>
          <w:tcPr>
            <w:tcW w:w="640" w:type="dxa"/>
            <w:vAlign w:val="bottom"/>
            <w:tcBorders>
              <w:bottom w:val="single" w:sz="8" w:color="auto"/>
            </w:tcBorders>
          </w:tcPr>
          <w:p>
            <w:pPr>
              <w:spacing w:after="0"/>
              <w:rPr>
                <w:sz w:val="14"/>
                <w:szCs w:val="14"/>
                <w:color w:val="auto"/>
              </w:rPr>
            </w:pPr>
          </w:p>
        </w:tc>
      </w:tr>
      <w:tr>
        <w:trPr>
          <w:trHeight w:val="169"/>
        </w:trPr>
        <w:tc>
          <w:tcPr>
            <w:tcW w:w="3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As Restated</w:t>
            </w:r>
          </w:p>
        </w:tc>
      </w:tr>
      <w:tr>
        <w:trPr>
          <w:trHeight w:val="169"/>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center"/>
              <w:ind w:right="113"/>
              <w:spacing w:after="0"/>
              <w:rPr>
                <w:sz w:val="20"/>
                <w:szCs w:val="20"/>
                <w:color w:val="auto"/>
              </w:rPr>
            </w:pPr>
            <w:r>
              <w:rPr>
                <w:rFonts w:ascii="Arial" w:cs="Arial" w:eastAsia="Arial" w:hAnsi="Arial"/>
                <w:sz w:val="13"/>
                <w:szCs w:val="13"/>
                <w:b w:val="1"/>
                <w:bCs w:val="1"/>
                <w:color w:val="auto"/>
              </w:rPr>
              <w:t>(in thousands)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used in financing activities:</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7"/>
        </w:trPr>
        <w:tc>
          <w:tcPr>
            <w:tcW w:w="3100" w:type="dxa"/>
            <w:vAlign w:val="bottom"/>
          </w:tcPr>
          <w:p>
            <w:pPr>
              <w:ind w:left="120"/>
              <w:spacing w:after="0"/>
              <w:rPr>
                <w:sz w:val="20"/>
                <w:szCs w:val="20"/>
                <w:color w:val="auto"/>
              </w:rPr>
            </w:pPr>
            <w:r>
              <w:rPr>
                <w:rFonts w:ascii="Arial" w:cs="Arial" w:eastAsia="Arial" w:hAnsi="Arial"/>
                <w:sz w:val="13"/>
                <w:szCs w:val="13"/>
                <w:color w:val="auto"/>
              </w:rPr>
              <w:t>Drawdown of credit lines and loan facilities</w:t>
            </w:r>
          </w:p>
        </w:tc>
        <w:tc>
          <w:tcPr>
            <w:tcW w:w="980" w:type="dxa"/>
            <w:vAlign w:val="bottom"/>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15"/>
                <w:szCs w:val="15"/>
                <w:color w:val="auto"/>
              </w:rPr>
            </w:pPr>
          </w:p>
        </w:tc>
        <w:tc>
          <w:tcPr>
            <w:tcW w:w="1060" w:type="dxa"/>
            <w:vAlign w:val="bottom"/>
          </w:tcPr>
          <w:p>
            <w:pPr>
              <w:ind w:left="6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50,000</w:t>
            </w:r>
          </w:p>
        </w:tc>
        <w:tc>
          <w:tcPr>
            <w:tcW w:w="860" w:type="dxa"/>
            <w:vAlign w:val="bottom"/>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50,000</w:t>
            </w:r>
          </w:p>
        </w:tc>
        <w:tc>
          <w:tcPr>
            <w:tcW w:w="860" w:type="dxa"/>
            <w:vAlign w:val="bottom"/>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9"/>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 of credit lines and loan facilities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(57,440)</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(57,440)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(64,881)</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(64,881)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(72,321)</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(72,321)</w:t>
            </w:r>
          </w:p>
        </w:tc>
      </w:tr>
      <w:tr>
        <w:trPr>
          <w:trHeight w:val="177"/>
        </w:trPr>
        <w:tc>
          <w:tcPr>
            <w:tcW w:w="3100" w:type="dxa"/>
            <w:vAlign w:val="bottom"/>
          </w:tcPr>
          <w:p>
            <w:pPr>
              <w:ind w:left="120"/>
              <w:spacing w:after="0"/>
              <w:rPr>
                <w:sz w:val="20"/>
                <w:szCs w:val="20"/>
                <w:color w:val="auto"/>
              </w:rPr>
            </w:pPr>
            <w:r>
              <w:rPr>
                <w:rFonts w:ascii="Arial" w:cs="Arial" w:eastAsia="Arial" w:hAnsi="Arial"/>
                <w:sz w:val="13"/>
                <w:szCs w:val="13"/>
                <w:color w:val="auto"/>
              </w:rPr>
              <w:t>Proceeds from exercise of equity compensation</w:t>
            </w:r>
          </w:p>
        </w:tc>
        <w:tc>
          <w:tcPr>
            <w:tcW w:w="980" w:type="dxa"/>
            <w:vAlign w:val="bottom"/>
          </w:tcPr>
          <w:p>
            <w:pPr>
              <w:jc w:val="right"/>
              <w:spacing w:after="0"/>
              <w:rPr>
                <w:sz w:val="20"/>
                <w:szCs w:val="20"/>
                <w:color w:val="auto"/>
              </w:rPr>
            </w:pPr>
            <w:r>
              <w:rPr>
                <w:rFonts w:ascii="Arial" w:cs="Arial" w:eastAsia="Arial" w:hAnsi="Arial"/>
                <w:sz w:val="13"/>
                <w:szCs w:val="13"/>
                <w:color w:val="auto"/>
              </w:rPr>
              <w:t>4,763</w:t>
            </w:r>
          </w:p>
        </w:tc>
        <w:tc>
          <w:tcPr>
            <w:tcW w:w="120" w:type="dxa"/>
            <w:vAlign w:val="bottom"/>
          </w:tcPr>
          <w:p>
            <w:pPr>
              <w:spacing w:after="0"/>
              <w:rPr>
                <w:sz w:val="15"/>
                <w:szCs w:val="15"/>
                <w:color w:val="auto"/>
              </w:rPr>
            </w:pPr>
          </w:p>
        </w:tc>
        <w:tc>
          <w:tcPr>
            <w:tcW w:w="1060" w:type="dxa"/>
            <w:vAlign w:val="bottom"/>
          </w:tcPr>
          <w:p>
            <w:pPr>
              <w:ind w:left="6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4,763</w:t>
            </w:r>
          </w:p>
        </w:tc>
        <w:tc>
          <w:tcPr>
            <w:tcW w:w="860" w:type="dxa"/>
            <w:vAlign w:val="bottom"/>
          </w:tcPr>
          <w:p>
            <w:pPr>
              <w:jc w:val="right"/>
              <w:spacing w:after="0"/>
              <w:rPr>
                <w:sz w:val="20"/>
                <w:szCs w:val="20"/>
                <w:color w:val="auto"/>
              </w:rPr>
            </w:pPr>
            <w:r>
              <w:rPr>
                <w:rFonts w:ascii="Arial" w:cs="Arial" w:eastAsia="Arial" w:hAnsi="Arial"/>
                <w:sz w:val="13"/>
                <w:szCs w:val="13"/>
                <w:color w:val="auto"/>
              </w:rPr>
              <w:t>6,498</w:t>
            </w:r>
          </w:p>
        </w:tc>
        <w:tc>
          <w:tcPr>
            <w:tcW w:w="12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6,498</w:t>
            </w:r>
          </w:p>
        </w:tc>
        <w:tc>
          <w:tcPr>
            <w:tcW w:w="860" w:type="dxa"/>
            <w:vAlign w:val="bottom"/>
          </w:tcPr>
          <w:p>
            <w:pPr>
              <w:jc w:val="right"/>
              <w:spacing w:after="0"/>
              <w:rPr>
                <w:sz w:val="20"/>
                <w:szCs w:val="20"/>
                <w:color w:val="auto"/>
              </w:rPr>
            </w:pPr>
            <w:r>
              <w:rPr>
                <w:rFonts w:ascii="Arial" w:cs="Arial" w:eastAsia="Arial" w:hAnsi="Arial"/>
                <w:sz w:val="13"/>
                <w:szCs w:val="13"/>
                <w:color w:val="auto"/>
              </w:rPr>
              <w:t>7,319</w:t>
            </w:r>
          </w:p>
        </w:tc>
        <w:tc>
          <w:tcPr>
            <w:tcW w:w="12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7,319</w:t>
            </w:r>
          </w:p>
        </w:tc>
      </w:tr>
      <w:tr>
        <w:trPr>
          <w:trHeight w:val="179"/>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 issue costs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77"/>
        </w:trPr>
        <w:tc>
          <w:tcPr>
            <w:tcW w:w="3100" w:type="dxa"/>
            <w:vAlign w:val="bottom"/>
          </w:tcPr>
          <w:p>
            <w:pPr>
              <w:ind w:left="120"/>
              <w:spacing w:after="0"/>
              <w:rPr>
                <w:sz w:val="20"/>
                <w:szCs w:val="20"/>
                <w:color w:val="auto"/>
              </w:rPr>
            </w:pPr>
            <w:r>
              <w:rPr>
                <w:rFonts w:ascii="Arial" w:cs="Arial" w:eastAsia="Arial" w:hAnsi="Arial"/>
                <w:sz w:val="13"/>
                <w:szCs w:val="13"/>
                <w:color w:val="auto"/>
              </w:rPr>
              <w:t>Repurchase of ordinary shares</w:t>
            </w:r>
          </w:p>
        </w:tc>
        <w:tc>
          <w:tcPr>
            <w:tcW w:w="980" w:type="dxa"/>
            <w:vAlign w:val="bottom"/>
          </w:tcPr>
          <w:p>
            <w:pPr>
              <w:jc w:val="right"/>
              <w:spacing w:after="0"/>
              <w:rPr>
                <w:sz w:val="20"/>
                <w:szCs w:val="20"/>
                <w:color w:val="auto"/>
              </w:rPr>
            </w:pPr>
            <w:r>
              <w:rPr>
                <w:rFonts w:ascii="Arial" w:cs="Arial" w:eastAsia="Arial" w:hAnsi="Arial"/>
                <w:sz w:val="13"/>
                <w:szCs w:val="13"/>
                <w:color w:val="auto"/>
              </w:rPr>
              <w:t>(250,000)</w:t>
            </w:r>
          </w:p>
        </w:tc>
        <w:tc>
          <w:tcPr>
            <w:tcW w:w="120" w:type="dxa"/>
            <w:vAlign w:val="bottom"/>
          </w:tcPr>
          <w:p>
            <w:pPr>
              <w:spacing w:after="0"/>
              <w:rPr>
                <w:sz w:val="15"/>
                <w:szCs w:val="15"/>
                <w:color w:val="auto"/>
              </w:rPr>
            </w:pPr>
          </w:p>
        </w:tc>
        <w:tc>
          <w:tcPr>
            <w:tcW w:w="1060" w:type="dxa"/>
            <w:vAlign w:val="bottom"/>
          </w:tcPr>
          <w:p>
            <w:pPr>
              <w:ind w:left="6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(250,000)</w:t>
            </w:r>
          </w:p>
        </w:tc>
        <w:tc>
          <w:tcPr>
            <w:tcW w:w="860" w:type="dxa"/>
            <w:vAlign w:val="bottom"/>
          </w:tcPr>
          <w:p>
            <w:pPr>
              <w:jc w:val="right"/>
              <w:spacing w:after="0"/>
              <w:rPr>
                <w:sz w:val="20"/>
                <w:szCs w:val="20"/>
                <w:color w:val="auto"/>
              </w:rPr>
            </w:pPr>
            <w:r>
              <w:rPr>
                <w:rFonts w:ascii="Arial" w:cs="Arial" w:eastAsia="Arial" w:hAnsi="Arial"/>
                <w:sz w:val="13"/>
                <w:szCs w:val="13"/>
                <w:color w:val="auto"/>
              </w:rPr>
              <w:t>(500,000)</w:t>
            </w:r>
          </w:p>
        </w:tc>
        <w:tc>
          <w:tcPr>
            <w:tcW w:w="12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(500,000)</w:t>
            </w:r>
          </w:p>
        </w:tc>
        <w:tc>
          <w:tcPr>
            <w:tcW w:w="860" w:type="dxa"/>
            <w:vAlign w:val="bottom"/>
          </w:tcPr>
          <w:p>
            <w:pPr>
              <w:jc w:val="right"/>
              <w:spacing w:after="0"/>
              <w:rPr>
                <w:sz w:val="20"/>
                <w:szCs w:val="20"/>
                <w:color w:val="auto"/>
              </w:rPr>
            </w:pPr>
            <w:r>
              <w:rPr>
                <w:rFonts w:ascii="Arial" w:cs="Arial" w:eastAsia="Arial" w:hAnsi="Arial"/>
                <w:sz w:val="13"/>
                <w:szCs w:val="13"/>
                <w:color w:val="auto"/>
              </w:rPr>
              <w:t>(750,000)</w:t>
            </w:r>
          </w:p>
        </w:tc>
        <w:tc>
          <w:tcPr>
            <w:tcW w:w="12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(750,000)</w:t>
            </w:r>
          </w:p>
        </w:tc>
      </w:tr>
      <w:tr>
        <w:trPr>
          <w:trHeight w:val="178"/>
        </w:trPr>
        <w:tc>
          <w:tcPr>
            <w:tcW w:w="31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Share repurchase costs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w:t>
            </w:r>
          </w:p>
        </w:tc>
      </w:tr>
      <w:tr>
        <w:trPr>
          <w:trHeight w:val="169"/>
        </w:trPr>
        <w:tc>
          <w:tcPr>
            <w:tcW w:w="3100" w:type="dxa"/>
            <w:vAlign w:val="bottom"/>
          </w:tcPr>
          <w:p>
            <w:pPr>
              <w:ind w:left="20"/>
              <w:spacing w:after="0"/>
              <w:rPr>
                <w:sz w:val="20"/>
                <w:szCs w:val="20"/>
                <w:color w:val="auto"/>
              </w:rPr>
            </w:pPr>
            <w:r>
              <w:rPr>
                <w:rFonts w:ascii="Arial" w:cs="Arial" w:eastAsia="Arial" w:hAnsi="Arial"/>
                <w:sz w:val="13"/>
                <w:szCs w:val="13"/>
                <w:color w:val="auto"/>
              </w:rPr>
              <w:t>Net cash used in financing activities</w:t>
            </w:r>
          </w:p>
        </w:tc>
        <w:tc>
          <w:tcPr>
            <w:tcW w:w="980" w:type="dxa"/>
            <w:vAlign w:val="bottom"/>
          </w:tcPr>
          <w:p>
            <w:pPr>
              <w:jc w:val="right"/>
              <w:spacing w:after="0"/>
              <w:rPr>
                <w:sz w:val="20"/>
                <w:szCs w:val="20"/>
                <w:color w:val="auto"/>
              </w:rPr>
            </w:pPr>
            <w:r>
              <w:rPr>
                <w:rFonts w:ascii="Arial" w:cs="Arial" w:eastAsia="Arial" w:hAnsi="Arial"/>
                <w:sz w:val="13"/>
                <w:szCs w:val="13"/>
                <w:color w:val="auto"/>
              </w:rPr>
              <w:t>(252,832)</w:t>
            </w:r>
          </w:p>
        </w:tc>
        <w:tc>
          <w:tcPr>
            <w:tcW w:w="120" w:type="dxa"/>
            <w:vAlign w:val="bottom"/>
          </w:tcPr>
          <w:p>
            <w:pPr>
              <w:spacing w:after="0"/>
              <w:rPr>
                <w:sz w:val="14"/>
                <w:szCs w:val="14"/>
                <w:color w:val="auto"/>
              </w:rPr>
            </w:pPr>
          </w:p>
        </w:tc>
        <w:tc>
          <w:tcPr>
            <w:tcW w:w="1060" w:type="dxa"/>
            <w:vAlign w:val="bottom"/>
          </w:tcPr>
          <w:p>
            <w:pPr>
              <w:ind w:left="6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(252,832)</w:t>
            </w:r>
          </w:p>
        </w:tc>
        <w:tc>
          <w:tcPr>
            <w:tcW w:w="860" w:type="dxa"/>
            <w:vAlign w:val="bottom"/>
          </w:tcPr>
          <w:p>
            <w:pPr>
              <w:jc w:val="right"/>
              <w:spacing w:after="0"/>
              <w:rPr>
                <w:sz w:val="20"/>
                <w:szCs w:val="20"/>
                <w:color w:val="auto"/>
              </w:rPr>
            </w:pPr>
            <w:r>
              <w:rPr>
                <w:rFonts w:ascii="Arial" w:cs="Arial" w:eastAsia="Arial" w:hAnsi="Arial"/>
                <w:sz w:val="13"/>
                <w:szCs w:val="13"/>
                <w:color w:val="auto"/>
              </w:rPr>
              <w:t>(508,692)</w:t>
            </w:r>
          </w:p>
        </w:tc>
        <w:tc>
          <w:tcPr>
            <w:tcW w:w="120" w:type="dxa"/>
            <w:vAlign w:val="bottom"/>
          </w:tcPr>
          <w:p>
            <w:pPr>
              <w:spacing w:after="0"/>
              <w:rPr>
                <w:sz w:val="14"/>
                <w:szCs w:val="14"/>
                <w:color w:val="auto"/>
              </w:rPr>
            </w:pPr>
          </w:p>
        </w:tc>
        <w:tc>
          <w:tcPr>
            <w:tcW w:w="1020" w:type="dxa"/>
            <w:vAlign w:val="bottom"/>
          </w:tcPr>
          <w:p>
            <w:pPr>
              <w:ind w:left="6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(508,692)</w:t>
            </w:r>
          </w:p>
        </w:tc>
        <w:tc>
          <w:tcPr>
            <w:tcW w:w="860" w:type="dxa"/>
            <w:vAlign w:val="bottom"/>
          </w:tcPr>
          <w:p>
            <w:pPr>
              <w:jc w:val="right"/>
              <w:spacing w:after="0"/>
              <w:rPr>
                <w:sz w:val="20"/>
                <w:szCs w:val="20"/>
                <w:color w:val="auto"/>
              </w:rPr>
            </w:pPr>
            <w:r>
              <w:rPr>
                <w:rFonts w:ascii="Arial" w:cs="Arial" w:eastAsia="Arial" w:hAnsi="Arial"/>
                <w:sz w:val="13"/>
                <w:szCs w:val="13"/>
                <w:color w:val="auto"/>
              </w:rPr>
              <w:t>(765,466)</w:t>
            </w:r>
          </w:p>
        </w:tc>
        <w:tc>
          <w:tcPr>
            <w:tcW w:w="120" w:type="dxa"/>
            <w:vAlign w:val="bottom"/>
          </w:tcPr>
          <w:p>
            <w:pPr>
              <w:spacing w:after="0"/>
              <w:rPr>
                <w:sz w:val="14"/>
                <w:szCs w:val="14"/>
                <w:color w:val="auto"/>
              </w:rPr>
            </w:pPr>
          </w:p>
        </w:tc>
        <w:tc>
          <w:tcPr>
            <w:tcW w:w="1040" w:type="dxa"/>
            <w:vAlign w:val="bottom"/>
          </w:tcPr>
          <w:p>
            <w:pPr>
              <w:ind w:left="6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(765,466)</w:t>
            </w:r>
          </w:p>
        </w:tc>
      </w:tr>
      <w:tr>
        <w:trPr>
          <w:trHeight w:val="179"/>
        </w:trPr>
        <w:tc>
          <w:tcPr>
            <w:tcW w:w="3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r>
      <w:tr>
        <w:trPr>
          <w:trHeight w:val="177"/>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Effect of exchange rate movements on cash</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9,787</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9,787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21,353</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21,353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25,120</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25,120</w:t>
            </w:r>
          </w:p>
        </w:tc>
      </w:tr>
      <w:tr>
        <w:trPr>
          <w:trHeight w:val="170"/>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 cash and cash equivalents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(12,087)</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(148,389)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(148,389)</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(69,897)</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(69,897)</w:t>
            </w:r>
          </w:p>
        </w:tc>
      </w:tr>
      <w:tr>
        <w:trPr>
          <w:trHeight w:val="177"/>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538,785</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538,785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538,785</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538,785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538,785</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538,785</w:t>
            </w:r>
          </w:p>
        </w:tc>
      </w:tr>
      <w:tr>
        <w:trPr>
          <w:trHeight w:val="195"/>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526,698</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526,698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390,396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390,396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468,888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 $</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468,888</w:t>
            </w:r>
          </w:p>
        </w:tc>
      </w:tr>
      <w:tr>
        <w:trPr>
          <w:trHeight w:val="20"/>
        </w:trPr>
        <w:tc>
          <w:tcPr>
            <w:tcW w:w="3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507"/>
        </w:trPr>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jc w:val="right"/>
              <w:ind w:right="133"/>
              <w:spacing w:after="0"/>
              <w:rPr>
                <w:sz w:val="20"/>
                <w:szCs w:val="20"/>
                <w:color w:val="auto"/>
              </w:rPr>
            </w:pPr>
            <w:r>
              <w:rPr>
                <w:rFonts w:ascii="Arial" w:cs="Arial" w:eastAsia="Arial" w:hAnsi="Arial"/>
                <w:sz w:val="13"/>
                <w:szCs w:val="13"/>
                <w:color w:val="auto"/>
              </w:rPr>
              <w:t>12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94"/>
        </w:trPr>
        <w:tc>
          <w:tcPr>
            <w:tcW w:w="3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27" w:right="319" w:bottom="1440" w:gutter="0" w:footer="0" w:header="0"/>
        </w:sectPr>
      </w:pPr>
    </w:p>
    <w:bookmarkStart w:id="14" w:name="page15"/>
    <w:bookmarkEnd w:id="14"/>
    <w:p>
      <w:pPr>
        <w:jc w:val="both"/>
        <w:ind w:firstLine="533"/>
        <w:spacing w:after="0" w:line="278" w:lineRule="auto"/>
        <w:rPr>
          <w:sz w:val="20"/>
          <w:szCs w:val="20"/>
          <w:color w:val="auto"/>
        </w:rPr>
      </w:pPr>
      <w:r>
        <w:rPr>
          <w:rFonts w:ascii="Arial" w:cs="Arial" w:eastAsia="Arial" w:hAnsi="Arial"/>
          <w:sz w:val="13"/>
          <w:szCs w:val="13"/>
          <w:color w:val="auto"/>
        </w:rPr>
        <w:t>The table below sets forth the unaudited condensed Consolidated Statements of Operations, including the balances originally reported in the Company’s unaudited condensed Consolidated financial statements, the effects of the adjustments made and the restated balances for each of the three months and year to date periods ended March 31, June 30, and September 30 of 2024.</w:t>
      </w:r>
    </w:p>
    <w:p>
      <w:pPr>
        <w:spacing w:after="0" w:line="156"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ICON plc</w:t>
      </w:r>
    </w:p>
    <w:p>
      <w:pPr>
        <w:spacing w:after="0" w:line="31"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CONDENSED CONSOLIDATED STATEMENTS OF OPERATIONS (UNAUDITED)</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4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2024</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gridSpan w:val="3"/>
            <w:shd w:val="clear" w:color="auto" w:fill="CCEEFF"/>
          </w:tcPr>
          <w:p>
            <w:pPr>
              <w:jc w:val="right"/>
              <w:ind w:right="353"/>
              <w:spacing w:after="0"/>
              <w:rPr>
                <w:sz w:val="20"/>
                <w:szCs w:val="20"/>
                <w:color w:val="auto"/>
              </w:rPr>
            </w:pPr>
            <w:r>
              <w:rPr>
                <w:rFonts w:ascii="Arial" w:cs="Arial" w:eastAsia="Arial" w:hAnsi="Arial"/>
                <w:sz w:val="13"/>
                <w:szCs w:val="13"/>
                <w:b w:val="1"/>
                <w:bCs w:val="1"/>
                <w:color w:val="auto"/>
              </w:rPr>
              <w:t>June 30, 2024</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20" w:type="dxa"/>
            <w:vAlign w:val="bottom"/>
            <w:shd w:val="clear" w:color="auto" w:fill="CCEEFF"/>
          </w:tcPr>
          <w:p>
            <w:pPr>
              <w:spacing w:after="0"/>
              <w:rPr>
                <w:sz w:val="10"/>
                <w:szCs w:val="10"/>
                <w:color w:val="auto"/>
              </w:rPr>
            </w:pPr>
          </w:p>
        </w:tc>
        <w:tc>
          <w:tcPr>
            <w:tcW w:w="16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As Reported</w:t>
            </w:r>
          </w:p>
        </w:tc>
        <w:tc>
          <w:tcPr>
            <w:tcW w:w="100" w:type="dxa"/>
            <w:vAlign w:val="bottom"/>
            <w:shd w:val="clear" w:color="auto" w:fill="CCEEFF"/>
          </w:tcPr>
          <w:p>
            <w:pPr>
              <w:spacing w:after="0"/>
              <w:rPr>
                <w:sz w:val="10"/>
                <w:szCs w:val="10"/>
                <w:color w:val="auto"/>
              </w:rPr>
            </w:pPr>
          </w:p>
        </w:tc>
        <w:tc>
          <w:tcPr>
            <w:tcW w:w="16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00" w:type="dxa"/>
            <w:vAlign w:val="bottom"/>
            <w:shd w:val="clear" w:color="auto" w:fill="CCEEFF"/>
          </w:tcPr>
          <w:p>
            <w:pPr>
              <w:spacing w:after="0"/>
              <w:rPr>
                <w:sz w:val="10"/>
                <w:szCs w:val="10"/>
                <w:color w:val="auto"/>
              </w:rPr>
            </w:pPr>
          </w:p>
        </w:tc>
        <w:tc>
          <w:tcPr>
            <w:tcW w:w="1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0" w:type="dxa"/>
            <w:vAlign w:val="bottom"/>
          </w:tcPr>
          <w:p>
            <w:pPr>
              <w:spacing w:after="0"/>
              <w:rPr>
                <w:sz w:val="1"/>
                <w:szCs w:val="1"/>
                <w:color w:val="auto"/>
              </w:rPr>
            </w:pPr>
          </w:p>
        </w:tc>
      </w:tr>
      <w:tr>
        <w:trPr>
          <w:trHeight w:val="178"/>
        </w:trPr>
        <w:tc>
          <w:tcPr>
            <w:tcW w:w="3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gridSpan w:val="3"/>
            <w:vMerge w:val="continue"/>
            <w:shd w:val="clear" w:color="auto" w:fill="CCEEFF"/>
          </w:tcPr>
          <w:p>
            <w:pPr>
              <w:spacing w:after="0"/>
              <w:rPr>
                <w:sz w:val="15"/>
                <w:szCs w:val="15"/>
                <w:color w:val="auto"/>
              </w:rPr>
            </w:pPr>
          </w:p>
        </w:tc>
        <w:tc>
          <w:tcPr>
            <w:tcW w:w="88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gridSpan w:val="3"/>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0" w:type="dxa"/>
            <w:vAlign w:val="bottom"/>
            <w:gridSpan w:val="9"/>
          </w:tcPr>
          <w:p>
            <w:pPr>
              <w:jc w:val="right"/>
              <w:ind w:right="573"/>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2,090,386</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2,043,254</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2,120,159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(78,233)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2,041,926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4,210,545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(125,365)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4,085,180</w:t>
            </w: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60" w:type="dxa"/>
            <w:vAlign w:val="bottom"/>
          </w:tcPr>
          <w:p>
            <w:pPr>
              <w:ind w:left="280"/>
              <w:spacing w:after="0"/>
              <w:rPr>
                <w:sz w:val="20"/>
                <w:szCs w:val="20"/>
                <w:color w:val="auto"/>
              </w:rPr>
            </w:pPr>
            <w:r>
              <w:rPr>
                <w:rFonts w:ascii="Arial" w:cs="Arial" w:eastAsia="Arial" w:hAnsi="Arial"/>
                <w:sz w:val="13"/>
                <w:szCs w:val="13"/>
                <w:color w:val="auto"/>
              </w:rPr>
              <w:t>Direct costs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1,471,367</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(4,083)</w:t>
            </w:r>
          </w:p>
        </w:tc>
        <w:tc>
          <w:tcPr>
            <w:tcW w:w="10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1,467,284</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1,493,600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(5,344)</w:t>
            </w:r>
          </w:p>
        </w:tc>
        <w:tc>
          <w:tcPr>
            <w:tcW w:w="12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1,488,256</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2,964,967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(9,427)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2,955,540</w:t>
            </w:r>
          </w:p>
        </w:tc>
        <w:tc>
          <w:tcPr>
            <w:tcW w:w="0" w:type="dxa"/>
            <w:vAlign w:val="bottom"/>
          </w:tcPr>
          <w:p>
            <w:pPr>
              <w:spacing w:after="0"/>
              <w:rPr>
                <w:sz w:val="1"/>
                <w:szCs w:val="1"/>
                <w:color w:val="auto"/>
              </w:rPr>
            </w:pPr>
          </w:p>
        </w:tc>
      </w:tr>
      <w:tr>
        <w:trPr>
          <w:trHeight w:val="179"/>
        </w:trPr>
        <w:tc>
          <w:tcPr>
            <w:tcW w:w="3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177,350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177,350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194,458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194,458</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371,808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371,808</w:t>
            </w:r>
          </w:p>
        </w:tc>
        <w:tc>
          <w:tcPr>
            <w:tcW w:w="0" w:type="dxa"/>
            <w:vAlign w:val="bottom"/>
          </w:tcPr>
          <w:p>
            <w:pPr>
              <w:spacing w:after="0"/>
              <w:rPr>
                <w:sz w:val="1"/>
                <w:szCs w:val="1"/>
                <w:color w:val="auto"/>
              </w:rPr>
            </w:pPr>
          </w:p>
        </w:tc>
      </w:tr>
      <w:tr>
        <w:trPr>
          <w:trHeight w:val="177"/>
        </w:trPr>
        <w:tc>
          <w:tcPr>
            <w:tcW w:w="346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149,181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149,181</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149,635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149,635</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298,816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298,816</w:t>
            </w:r>
          </w:p>
        </w:tc>
        <w:tc>
          <w:tcPr>
            <w:tcW w:w="0" w:type="dxa"/>
            <w:vAlign w:val="bottom"/>
          </w:tcPr>
          <w:p>
            <w:pPr>
              <w:spacing w:after="0"/>
              <w:rPr>
                <w:sz w:val="1"/>
                <w:szCs w:val="1"/>
                <w:color w:val="auto"/>
              </w:rPr>
            </w:pPr>
          </w:p>
        </w:tc>
      </w:tr>
      <w:tr>
        <w:trPr>
          <w:trHeight w:val="179"/>
        </w:trPr>
        <w:tc>
          <w:tcPr>
            <w:tcW w:w="3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Transaction and integration related</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6,991</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6,820</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13,811</w:t>
            </w:r>
          </w:p>
        </w:tc>
        <w:tc>
          <w:tcPr>
            <w:tcW w:w="0" w:type="dxa"/>
            <w:vAlign w:val="bottom"/>
          </w:tcPr>
          <w:p>
            <w:pPr>
              <w:spacing w:after="0"/>
              <w:rPr>
                <w:sz w:val="1"/>
                <w:szCs w:val="1"/>
                <w:color w:val="auto"/>
              </w:rPr>
            </w:pPr>
          </w:p>
        </w:tc>
      </w:tr>
      <w:tr>
        <w:trPr>
          <w:trHeight w:val="177"/>
        </w:trPr>
        <w:tc>
          <w:tcPr>
            <w:tcW w:w="34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Restructuring</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45,789</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45,789</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45,789</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45,789</w:t>
            </w:r>
          </w:p>
        </w:tc>
        <w:tc>
          <w:tcPr>
            <w:tcW w:w="0" w:type="dxa"/>
            <w:vAlign w:val="bottom"/>
          </w:tcPr>
          <w:p>
            <w:pPr>
              <w:spacing w:after="0"/>
              <w:rPr>
                <w:sz w:val="1"/>
                <w:szCs w:val="1"/>
                <w:color w:val="auto"/>
              </w:rPr>
            </w:pPr>
          </w:p>
        </w:tc>
      </w:tr>
      <w:tr>
        <w:trPr>
          <w:trHeight w:val="169"/>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costs and expenses</w:t>
            </w: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1,804,889</w:t>
            </w: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(4,083)</w:t>
            </w: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1,800,806</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1,890,302</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(5,344)</w:t>
            </w: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1,884,958</w:t>
            </w: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3,695,191</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(9,427)</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3,685,764</w:t>
            </w: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285,497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(43,049)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242,448</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229,857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(72,889)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156,968</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515,354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(115,938)</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399,416</w:t>
            </w:r>
          </w:p>
        </w:tc>
        <w:tc>
          <w:tcPr>
            <w:tcW w:w="0" w:type="dxa"/>
            <w:vAlign w:val="bottom"/>
          </w:tcPr>
          <w:p>
            <w:pPr>
              <w:spacing w:after="0"/>
              <w:rPr>
                <w:sz w:val="1"/>
                <w:szCs w:val="1"/>
                <w:color w:val="auto"/>
              </w:rPr>
            </w:pPr>
          </w:p>
        </w:tc>
      </w:tr>
      <w:tr>
        <w:trPr>
          <w:trHeight w:val="177"/>
        </w:trPr>
        <w:tc>
          <w:tcPr>
            <w:tcW w:w="3460" w:type="dxa"/>
            <w:vAlign w:val="bottom"/>
          </w:tcPr>
          <w:p>
            <w:pPr>
              <w:ind w:left="280"/>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1,930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1,237</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3,167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3,167</w:t>
            </w:r>
          </w:p>
        </w:tc>
        <w:tc>
          <w:tcPr>
            <w:tcW w:w="0" w:type="dxa"/>
            <w:vAlign w:val="bottom"/>
          </w:tcPr>
          <w:p>
            <w:pPr>
              <w:spacing w:after="0"/>
              <w:rPr>
                <w:sz w:val="1"/>
                <w:szCs w:val="1"/>
                <w:color w:val="auto"/>
              </w:rPr>
            </w:pPr>
          </w:p>
        </w:tc>
      </w:tr>
      <w:tr>
        <w:trPr>
          <w:trHeight w:val="178"/>
        </w:trPr>
        <w:tc>
          <w:tcPr>
            <w:tcW w:w="3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Interest expense</w:t>
            </w: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(71,665)</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(71,665)</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(60,840)</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(60,840)</w:t>
            </w: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(132,505)</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(132,505)</w:t>
            </w: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215,762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(43,049)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172,713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170,254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(72,889)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97,365</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386,016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(115,938)</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270,078</w:t>
            </w:r>
          </w:p>
        </w:tc>
        <w:tc>
          <w:tcPr>
            <w:tcW w:w="0" w:type="dxa"/>
            <w:vAlign w:val="bottom"/>
          </w:tcPr>
          <w:p>
            <w:pPr>
              <w:spacing w:after="0"/>
              <w:rPr>
                <w:sz w:val="1"/>
                <w:szCs w:val="1"/>
                <w:color w:val="auto"/>
              </w:rPr>
            </w:pPr>
          </w:p>
        </w:tc>
      </w:tr>
      <w:tr>
        <w:trPr>
          <w:trHeight w:val="177"/>
        </w:trPr>
        <w:tc>
          <w:tcPr>
            <w:tcW w:w="34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(28,324)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3,948</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(24,376)</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(23,344)</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8,755</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(14,589)</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(51,668)</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12,703</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(38,965)</w:t>
            </w:r>
          </w:p>
        </w:tc>
        <w:tc>
          <w:tcPr>
            <w:tcW w:w="0" w:type="dxa"/>
            <w:vAlign w:val="bottom"/>
          </w:tcPr>
          <w:p>
            <w:pPr>
              <w:spacing w:after="0"/>
              <w:rPr>
                <w:sz w:val="1"/>
                <w:szCs w:val="1"/>
                <w:color w:val="auto"/>
              </w:rPr>
            </w:pPr>
          </w:p>
        </w:tc>
      </w:tr>
      <w:tr>
        <w:trPr>
          <w:trHeight w:val="159"/>
        </w:trPr>
        <w:tc>
          <w:tcPr>
            <w:tcW w:w="34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187,438</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(39,101)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148,337</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146,910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82,776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334,348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(103,235)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231,113</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60" w:type="dxa"/>
            <w:vAlign w:val="bottom"/>
          </w:tcPr>
          <w:p>
            <w:pPr>
              <w:ind w:left="20"/>
              <w:spacing w:after="0"/>
              <w:rPr>
                <w:sz w:val="20"/>
                <w:szCs w:val="20"/>
                <w:color w:val="auto"/>
              </w:rPr>
            </w:pPr>
            <w:r>
              <w:rPr>
                <w:rFonts w:ascii="Arial" w:cs="Arial" w:eastAsia="Arial" w:hAnsi="Arial"/>
                <w:sz w:val="13"/>
                <w:szCs w:val="13"/>
                <w:color w:val="auto"/>
              </w:rPr>
              <w:t>Net income per ordinary share: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460" w:type="dxa"/>
            <w:vAlign w:val="bottom"/>
          </w:tcPr>
          <w:p>
            <w:pPr>
              <w:ind w:left="2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1.80</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1.00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82"/>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1.78</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0.99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ordinary shares outstanding:</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8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82,579,203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82,579,203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82,738,765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82,738,765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82,658,984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82,658,984</w:t>
            </w:r>
          </w:p>
        </w:tc>
        <w:tc>
          <w:tcPr>
            <w:tcW w:w="0" w:type="dxa"/>
            <w:vAlign w:val="bottom"/>
          </w:tcPr>
          <w:p>
            <w:pPr>
              <w:spacing w:after="0"/>
              <w:rPr>
                <w:sz w:val="1"/>
                <w:szCs w:val="1"/>
                <w:color w:val="auto"/>
              </w:rPr>
            </w:pPr>
          </w:p>
        </w:tc>
      </w:tr>
      <w:tr>
        <w:trPr>
          <w:trHeight w:val="177"/>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83,249,303</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color w:val="auto"/>
              </w:rPr>
              <w:t>83,249,303</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83,360,841</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color w:val="auto"/>
              </w:rPr>
              <w:t>83,360,841</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83,260,144</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83,260,144</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15" w:name="page16"/>
    <w:bookmarkEnd w:id="15"/>
    <w:p>
      <w:pPr>
        <w:ind w:left="5580"/>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549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20015"/>
                    </a:xfrm>
                    <a:prstGeom prst="rect">
                      <a:avLst/>
                    </a:prstGeom>
                    <a:noFill/>
                  </pic:spPr>
                </pic:pic>
              </a:graphicData>
            </a:graphic>
          </wp:anchor>
        </w:drawing>
      </w:r>
    </w:p>
    <w:p>
      <w:pPr>
        <w:spacing w:after="0" w:line="28" w:lineRule="exact"/>
        <w:rPr>
          <w:sz w:val="20"/>
          <w:szCs w:val="20"/>
          <w:color w:val="auto"/>
        </w:rPr>
      </w:pPr>
    </w:p>
    <w:p>
      <w:pPr>
        <w:ind w:left="6740"/>
        <w:spacing w:after="0"/>
        <w:rPr>
          <w:sz w:val="20"/>
          <w:szCs w:val="20"/>
          <w:color w:val="auto"/>
        </w:rPr>
      </w:pPr>
      <w:r>
        <w:rPr>
          <w:rFonts w:ascii="Arial" w:cs="Arial" w:eastAsia="Arial" w:hAnsi="Arial"/>
          <w:sz w:val="13"/>
          <w:szCs w:val="13"/>
          <w:b w:val="1"/>
          <w:bCs w:val="1"/>
          <w:color w:val="auto"/>
        </w:rPr>
        <w:t>September 30,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Three Months Ended</w:t>
            </w:r>
          </w:p>
        </w:tc>
        <w:tc>
          <w:tcPr>
            <w:tcW w:w="10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Nine Months Ended</w:t>
            </w: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r>
      <w:tr>
        <w:trPr>
          <w:trHeight w:val="169"/>
        </w:trPr>
        <w:tc>
          <w:tcPr>
            <w:tcW w:w="34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As Reported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gridSpan w:val="6"/>
          </w:tcPr>
          <w:p>
            <w:pPr>
              <w:ind w:left="800"/>
              <w:spacing w:after="0"/>
              <w:rPr>
                <w:sz w:val="20"/>
                <w:szCs w:val="20"/>
                <w:color w:val="auto"/>
              </w:rPr>
            </w:pPr>
            <w:r>
              <w:rPr>
                <w:rFonts w:ascii="Arial" w:cs="Arial" w:eastAsia="Arial" w:hAnsi="Arial"/>
                <w:sz w:val="13"/>
                <w:szCs w:val="13"/>
                <w:b w:val="1"/>
                <w:bCs w:val="1"/>
                <w:color w:val="auto"/>
              </w:rPr>
              <w:t>(in thousands, except share and per share data)</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2,030,030</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11,913</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2,041,943</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6,240,575</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(113,452)</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6,127,123</w:t>
            </w:r>
          </w:p>
        </w:tc>
      </w:tr>
      <w:tr>
        <w:trPr>
          <w:trHeight w:val="178"/>
        </w:trPr>
        <w:tc>
          <w:tcPr>
            <w:tcW w:w="3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7"/>
        </w:trPr>
        <w:tc>
          <w:tcPr>
            <w:tcW w:w="3460" w:type="dxa"/>
            <w:vAlign w:val="bottom"/>
          </w:tcPr>
          <w:p>
            <w:pPr>
              <w:ind w:left="260"/>
              <w:spacing w:after="0"/>
              <w:rPr>
                <w:sz w:val="20"/>
                <w:szCs w:val="20"/>
                <w:color w:val="auto"/>
              </w:rPr>
            </w:pPr>
            <w:r>
              <w:rPr>
                <w:rFonts w:ascii="Arial" w:cs="Arial" w:eastAsia="Arial" w:hAnsi="Arial"/>
                <w:sz w:val="13"/>
                <w:szCs w:val="13"/>
                <w:color w:val="auto"/>
              </w:rPr>
              <w:t>Direct costs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1,438,616</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(5,222)</w:t>
            </w:r>
          </w:p>
        </w:tc>
        <w:tc>
          <w:tcPr>
            <w:tcW w:w="30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1,433,394</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4,403,583</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(14,649)</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4,388,934</w:t>
            </w:r>
          </w:p>
        </w:tc>
      </w:tr>
      <w:tr>
        <w:trPr>
          <w:trHeight w:val="179"/>
        </w:trPr>
        <w:tc>
          <w:tcPr>
            <w:tcW w:w="34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Selling, general and administrative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205,095</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205,095</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576,903</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576,903</w:t>
            </w:r>
          </w:p>
        </w:tc>
      </w:tr>
      <w:tr>
        <w:trPr>
          <w:trHeight w:val="177"/>
        </w:trPr>
        <w:tc>
          <w:tcPr>
            <w:tcW w:w="346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93,029</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93,029</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391,845</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391,845</w:t>
            </w:r>
          </w:p>
        </w:tc>
      </w:tr>
      <w:tr>
        <w:trPr>
          <w:trHeight w:val="179"/>
        </w:trPr>
        <w:tc>
          <w:tcPr>
            <w:tcW w:w="34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Transaction and integration related</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7,856</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7,856</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21,667</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21,667</w:t>
            </w:r>
          </w:p>
        </w:tc>
      </w:tr>
      <w:tr>
        <w:trPr>
          <w:trHeight w:val="177"/>
        </w:trPr>
        <w:tc>
          <w:tcPr>
            <w:tcW w:w="34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Restructuring</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45,789</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45,789</w:t>
            </w:r>
          </w:p>
        </w:tc>
      </w:tr>
      <w:tr>
        <w:trPr>
          <w:trHeight w:val="169"/>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1,744,596</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(5,222)</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1,739,374</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5,439,787</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(14,649)</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5,425,138</w:t>
            </w:r>
          </w:p>
        </w:tc>
      </w:tr>
      <w:tr>
        <w:trPr>
          <w:trHeight w:val="159"/>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285,434</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17,135</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302,569</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800,788</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(98,803)</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701,985</w:t>
            </w:r>
          </w:p>
        </w:tc>
      </w:tr>
      <w:tr>
        <w:trPr>
          <w:trHeight w:val="177"/>
        </w:trPr>
        <w:tc>
          <w:tcPr>
            <w:tcW w:w="3460" w:type="dxa"/>
            <w:vAlign w:val="bottom"/>
          </w:tcPr>
          <w:p>
            <w:pPr>
              <w:ind w:left="260"/>
              <w:spacing w:after="0"/>
              <w:rPr>
                <w:sz w:val="20"/>
                <w:szCs w:val="20"/>
                <w:color w:val="auto"/>
              </w:rPr>
            </w:pPr>
            <w:r>
              <w:rPr>
                <w:rFonts w:ascii="Arial" w:cs="Arial" w:eastAsia="Arial" w:hAnsi="Arial"/>
                <w:sz w:val="13"/>
                <w:szCs w:val="13"/>
                <w:color w:val="auto"/>
              </w:rPr>
              <w:t>Interest income</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2,434</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2,434</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5,601</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5,601</w:t>
            </w:r>
          </w:p>
        </w:tc>
      </w:tr>
      <w:tr>
        <w:trPr>
          <w:trHeight w:val="178"/>
        </w:trPr>
        <w:tc>
          <w:tcPr>
            <w:tcW w:w="34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Interest expense</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(53,303)</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(53,303)</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(185,808)</w:t>
            </w:r>
          </w:p>
        </w:tc>
        <w:tc>
          <w:tcPr>
            <w:tcW w:w="3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(185,808)</w:t>
            </w:r>
          </w:p>
        </w:tc>
      </w:tr>
      <w:tr>
        <w:trPr>
          <w:trHeight w:val="159"/>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 expense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234,565</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17,135</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251,700</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620,581</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(98,803)</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521,778</w:t>
            </w:r>
          </w:p>
        </w:tc>
      </w:tr>
      <w:tr>
        <w:trPr>
          <w:trHeight w:val="177"/>
        </w:trPr>
        <w:tc>
          <w:tcPr>
            <w:tcW w:w="34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Income tax expense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(37,437)</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(995)</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(38,432)</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(89,105)</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11,708</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(77,397)</w:t>
            </w:r>
          </w:p>
        </w:tc>
      </w:tr>
      <w:tr>
        <w:trPr>
          <w:trHeight w:val="159"/>
        </w:trPr>
        <w:tc>
          <w:tcPr>
            <w:tcW w:w="34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r>
      <w:tr>
        <w:trPr>
          <w:trHeight w:val="168"/>
        </w:trPr>
        <w:tc>
          <w:tcPr>
            <w:tcW w:w="3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income</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197,128</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16,140</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213,268</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531,476</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(87,095)</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444,381</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1"/>
        </w:trPr>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77"/>
        </w:trPr>
        <w:tc>
          <w:tcPr>
            <w:tcW w:w="3460" w:type="dxa"/>
            <w:vAlign w:val="bottom"/>
          </w:tcPr>
          <w:p>
            <w:pPr>
              <w:spacing w:after="0"/>
              <w:rPr>
                <w:sz w:val="20"/>
                <w:szCs w:val="20"/>
                <w:color w:val="auto"/>
              </w:rPr>
            </w:pPr>
            <w:r>
              <w:rPr>
                <w:rFonts w:ascii="Arial" w:cs="Arial" w:eastAsia="Arial" w:hAnsi="Arial"/>
                <w:sz w:val="13"/>
                <w:szCs w:val="13"/>
                <w:color w:val="auto"/>
              </w:rPr>
              <w:t>Net income per ordinary share: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3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7"/>
        </w:trPr>
        <w:tc>
          <w:tcPr>
            <w:tcW w:w="3460" w:type="dxa"/>
            <w:vAlign w:val="bottom"/>
          </w:tcPr>
          <w:p>
            <w:pPr>
              <w:spacing w:after="0"/>
              <w:rPr>
                <w:sz w:val="20"/>
                <w:szCs w:val="20"/>
                <w:color w:val="auto"/>
              </w:rPr>
            </w:pPr>
            <w:r>
              <w:rPr>
                <w:rFonts w:ascii="Arial" w:cs="Arial" w:eastAsia="Arial" w:hAnsi="Arial"/>
                <w:sz w:val="13"/>
                <w:szCs w:val="13"/>
                <w:color w:val="auto"/>
              </w:rPr>
              <w:t>Basic</w:t>
            </w:r>
          </w:p>
        </w:tc>
        <w:tc>
          <w:tcPr>
            <w:tcW w:w="3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2.38</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2.57</w:t>
            </w:r>
          </w:p>
        </w:tc>
        <w:tc>
          <w:tcPr>
            <w:tcW w:w="3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6.43</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5.37</w:t>
            </w:r>
          </w:p>
        </w:tc>
      </w:tr>
      <w:tr>
        <w:trPr>
          <w:trHeight w:val="203"/>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Diluted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2.56</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w:t>
            </w: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3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7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number of ordinary shares outstanding:</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8"/>
        </w:trPr>
        <w:tc>
          <w:tcPr>
            <w:tcW w:w="3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8"/>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82,831,300</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82,831,300</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82,716,842</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82,716,842</w:t>
            </w:r>
          </w:p>
        </w:tc>
      </w:tr>
      <w:tr>
        <w:trPr>
          <w:trHeight w:val="177"/>
        </w:trPr>
        <w:tc>
          <w:tcPr>
            <w:tcW w:w="3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Diluted</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83,445,827</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83,445,827</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83,305,441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83,305,441</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53975</wp:posOffset>
            </wp:positionV>
            <wp:extent cx="718185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20"/>
          </w:cols>
          <w:pgMar w:left="340" w:top="394" w:right="339" w:bottom="1440" w:gutter="0" w:footer="0" w:header="0"/>
        </w:sectPr>
      </w:pPr>
    </w:p>
    <w:bookmarkStart w:id="16" w:name="page17"/>
    <w:bookmarkEnd w:id="16"/>
    <w:p>
      <w:pPr>
        <w:jc w:val="both"/>
        <w:ind w:firstLine="533"/>
        <w:spacing w:after="0" w:line="278" w:lineRule="auto"/>
        <w:rPr>
          <w:sz w:val="20"/>
          <w:szCs w:val="20"/>
          <w:color w:val="auto"/>
        </w:rPr>
      </w:pPr>
      <w:r>
        <w:rPr>
          <w:rFonts w:ascii="Arial" w:cs="Arial" w:eastAsia="Arial" w:hAnsi="Arial"/>
          <w:sz w:val="13"/>
          <w:szCs w:val="13"/>
          <w:color w:val="auto"/>
        </w:rPr>
        <w:t>The table below sets forth the unaudited condensed Consolidated Statements of Comprehensive Income, including the balances originally reported in the Company’s unaudited condensed Consolidated financial statements, the effects of the adjustments made and the restated balances for each of the three months and year to date periods ended March 31, June 30, and September 30 of 2024.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COMPREHENSIVE INCOME (UNAUDITED)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9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2024</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gridSpan w:val="3"/>
            <w:shd w:val="clear" w:color="auto" w:fill="CCEEFF"/>
          </w:tcPr>
          <w:p>
            <w:pPr>
              <w:jc w:val="right"/>
              <w:ind w:right="353"/>
              <w:spacing w:after="0"/>
              <w:rPr>
                <w:sz w:val="20"/>
                <w:szCs w:val="20"/>
                <w:color w:val="auto"/>
              </w:rPr>
            </w:pPr>
            <w:r>
              <w:rPr>
                <w:rFonts w:ascii="Arial" w:cs="Arial" w:eastAsia="Arial" w:hAnsi="Arial"/>
                <w:sz w:val="13"/>
                <w:szCs w:val="13"/>
                <w:b w:val="1"/>
                <w:bCs w:val="1"/>
                <w:color w:val="auto"/>
              </w:rPr>
              <w:t>June 30, 2024</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3"/>
                <w:szCs w:val="13"/>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3"/>
                <w:szCs w:val="13"/>
                <w:b w:val="1"/>
                <w:bCs w:val="1"/>
                <w:color w:val="auto"/>
              </w:rPr>
              <w:t>Six Months Ended</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9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20" w:type="dxa"/>
            <w:vAlign w:val="bottom"/>
            <w:shd w:val="clear" w:color="auto" w:fill="CCEEFF"/>
          </w:tcPr>
          <w:p>
            <w:pPr>
              <w:spacing w:after="0"/>
              <w:rPr>
                <w:sz w:val="10"/>
                <w:szCs w:val="10"/>
                <w:color w:val="auto"/>
              </w:rPr>
            </w:pPr>
          </w:p>
        </w:tc>
        <w:tc>
          <w:tcPr>
            <w:tcW w:w="16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As Reported</w:t>
            </w:r>
          </w:p>
        </w:tc>
        <w:tc>
          <w:tcPr>
            <w:tcW w:w="120" w:type="dxa"/>
            <w:vAlign w:val="bottom"/>
            <w:shd w:val="clear" w:color="auto" w:fill="CCEEFF"/>
          </w:tcPr>
          <w:p>
            <w:pPr>
              <w:spacing w:after="0"/>
              <w:rPr>
                <w:sz w:val="10"/>
                <w:szCs w:val="10"/>
                <w:color w:val="auto"/>
              </w:rPr>
            </w:pPr>
          </w:p>
        </w:tc>
        <w:tc>
          <w:tcPr>
            <w:tcW w:w="16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00" w:type="dxa"/>
            <w:vAlign w:val="bottom"/>
            <w:shd w:val="clear" w:color="auto" w:fill="CCEEFF"/>
          </w:tcPr>
          <w:p>
            <w:pPr>
              <w:spacing w:after="0"/>
              <w:rPr>
                <w:sz w:val="10"/>
                <w:szCs w:val="10"/>
                <w:color w:val="auto"/>
              </w:rPr>
            </w:pPr>
          </w:p>
        </w:tc>
        <w:tc>
          <w:tcPr>
            <w:tcW w:w="1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0" w:type="dxa"/>
            <w:vAlign w:val="bottom"/>
          </w:tcPr>
          <w:p>
            <w:pPr>
              <w:spacing w:after="0"/>
              <w:rPr>
                <w:sz w:val="1"/>
                <w:szCs w:val="1"/>
                <w:color w:val="auto"/>
              </w:rPr>
            </w:pPr>
          </w:p>
        </w:tc>
      </w:tr>
      <w:tr>
        <w:trPr>
          <w:trHeight w:val="178"/>
        </w:trPr>
        <w:tc>
          <w:tcPr>
            <w:tcW w:w="29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gridSpan w:val="3"/>
            <w:vMerge w:val="continue"/>
            <w:shd w:val="clear" w:color="auto" w:fill="CCEEFF"/>
          </w:tcPr>
          <w:p>
            <w:pPr>
              <w:spacing w:after="0"/>
              <w:rPr>
                <w:sz w:val="15"/>
                <w:szCs w:val="15"/>
                <w:color w:val="auto"/>
              </w:rPr>
            </w:pPr>
          </w:p>
        </w:tc>
        <w:tc>
          <w:tcPr>
            <w:tcW w:w="86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gridSpan w:val="3"/>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187,438</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(39,101)</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148,337</w:t>
            </w:r>
          </w:p>
        </w:tc>
        <w:tc>
          <w:tcPr>
            <w:tcW w:w="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146,910</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(64,134)</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82,776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334,348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(103,235)</w:t>
            </w: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231,113</w:t>
            </w:r>
          </w:p>
        </w:tc>
        <w:tc>
          <w:tcPr>
            <w:tcW w:w="0" w:type="dxa"/>
            <w:vAlign w:val="bottom"/>
          </w:tcPr>
          <w:p>
            <w:pPr>
              <w:spacing w:after="0"/>
              <w:rPr>
                <w:sz w:val="1"/>
                <w:szCs w:val="1"/>
                <w:color w:val="auto"/>
              </w:rPr>
            </w:pPr>
          </w:p>
        </w:tc>
      </w:tr>
      <w:tr>
        <w:trPr>
          <w:trHeight w:val="177"/>
        </w:trPr>
        <w:tc>
          <w:tcPr>
            <w:tcW w:w="2940" w:type="dxa"/>
            <w:vAlign w:val="bottom"/>
          </w:tcPr>
          <w:p>
            <w:pPr>
              <w:ind w:left="20"/>
              <w:spacing w:after="0"/>
              <w:rPr>
                <w:sz w:val="20"/>
                <w:szCs w:val="20"/>
                <w:color w:val="auto"/>
              </w:rPr>
            </w:pPr>
            <w:r>
              <w:rPr>
                <w:rFonts w:ascii="Arial" w:cs="Arial" w:eastAsia="Arial" w:hAnsi="Arial"/>
                <w:sz w:val="13"/>
                <w:szCs w:val="13"/>
                <w:i w:val="1"/>
                <w:iCs w:val="1"/>
                <w:color w:val="auto"/>
              </w:rPr>
              <w:t>Other comprehensive income, net of tax:</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Currency translation adjustment</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(32,040)</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(8,985)</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(8,985)</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(41,025)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(41,025)</w:t>
            </w:r>
          </w:p>
        </w:tc>
        <w:tc>
          <w:tcPr>
            <w:tcW w:w="0" w:type="dxa"/>
            <w:vAlign w:val="bottom"/>
          </w:tcPr>
          <w:p>
            <w:pPr>
              <w:spacing w:after="0"/>
              <w:rPr>
                <w:sz w:val="1"/>
                <w:szCs w:val="1"/>
                <w:color w:val="auto"/>
              </w:rPr>
            </w:pPr>
          </w:p>
        </w:tc>
      </w:tr>
      <w:tr>
        <w:trPr>
          <w:trHeight w:val="177"/>
        </w:trPr>
        <w:tc>
          <w:tcPr>
            <w:tcW w:w="29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Movement on cash flow hedge</w:t>
            </w: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9,084</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(4,112)</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(4,112)</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4,972</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4,972</w:t>
            </w:r>
          </w:p>
        </w:tc>
        <w:tc>
          <w:tcPr>
            <w:tcW w:w="0" w:type="dxa"/>
            <w:vAlign w:val="bottom"/>
          </w:tcPr>
          <w:p>
            <w:pPr>
              <w:spacing w:after="0"/>
              <w:rPr>
                <w:sz w:val="1"/>
                <w:szCs w:val="1"/>
                <w:color w:val="auto"/>
              </w:rPr>
            </w:pPr>
          </w:p>
        </w:tc>
      </w:tr>
      <w:tr>
        <w:trPr>
          <w:trHeight w:val="195"/>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164,482</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(39,101)</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125,381</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133,813</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(64,134)</w:t>
            </w: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69,679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298,295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(103,235)</w:t>
            </w: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195,060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35495"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20015"/>
                    </a:xfrm>
                    <a:prstGeom prst="rect">
                      <a:avLst/>
                    </a:prstGeom>
                    <a:noFill/>
                  </pic:spPr>
                </pic:pic>
              </a:graphicData>
            </a:graphic>
          </wp:anchor>
        </w:drawing>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3"/>
          <w:szCs w:val="13"/>
          <w:b w:val="1"/>
          <w:bCs w:val="1"/>
          <w:color w:val="auto"/>
        </w:rPr>
        <w:t>September 30,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Three Months Ended</w:t>
            </w:r>
          </w:p>
        </w:tc>
        <w:tc>
          <w:tcPr>
            <w:tcW w:w="10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Nine Months Ended</w:t>
            </w: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r>
      <w:tr>
        <w:trPr>
          <w:trHeight w:val="169"/>
        </w:trPr>
        <w:tc>
          <w:tcPr>
            <w:tcW w:w="29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As Reported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2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197,128</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16,140</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213,268</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531,476</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(87,095)</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444,381</w:t>
            </w:r>
          </w:p>
        </w:tc>
      </w:tr>
      <w:tr>
        <w:trPr>
          <w:trHeight w:val="177"/>
        </w:trPr>
        <w:tc>
          <w:tcPr>
            <w:tcW w:w="2980" w:type="dxa"/>
            <w:vAlign w:val="bottom"/>
          </w:tcPr>
          <w:p>
            <w:pPr>
              <w:ind w:left="20"/>
              <w:spacing w:after="0"/>
              <w:rPr>
                <w:sz w:val="20"/>
                <w:szCs w:val="20"/>
                <w:color w:val="auto"/>
              </w:rPr>
            </w:pPr>
            <w:r>
              <w:rPr>
                <w:rFonts w:ascii="Arial" w:cs="Arial" w:eastAsia="Arial" w:hAnsi="Arial"/>
                <w:sz w:val="13"/>
                <w:szCs w:val="13"/>
                <w:i w:val="1"/>
                <w:iCs w:val="1"/>
                <w:color w:val="auto"/>
              </w:rPr>
              <w:t>Other comprehensive income, net of tax:</w:t>
            </w: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Currency translation adjustment</w:t>
            </w:r>
          </w:p>
        </w:tc>
        <w:tc>
          <w:tcPr>
            <w:tcW w:w="8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69,695</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69,695</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28,670</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28,670</w:t>
            </w:r>
          </w:p>
        </w:tc>
      </w:tr>
      <w:tr>
        <w:trPr>
          <w:trHeight w:val="177"/>
        </w:trPr>
        <w:tc>
          <w:tcPr>
            <w:tcW w:w="29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Movement on cash flow hedge</w:t>
            </w:r>
          </w:p>
        </w:tc>
        <w:tc>
          <w:tcPr>
            <w:tcW w:w="8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4,774</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4,774</w:t>
            </w:r>
          </w:p>
        </w:tc>
      </w:tr>
      <w:tr>
        <w:trPr>
          <w:trHeight w:val="195"/>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266,625</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16,140</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282,765</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564,920</w:t>
            </w: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(87,095)</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477,825</w:t>
            </w:r>
          </w:p>
        </w:tc>
      </w:tr>
      <w:tr>
        <w:trPr>
          <w:trHeight w:val="20"/>
        </w:trPr>
        <w:tc>
          <w:tcPr>
            <w:tcW w:w="29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17" w:name="page18"/>
    <w:bookmarkEnd w:id="17"/>
    <w:p>
      <w:pPr>
        <w:ind w:right="80" w:firstLine="533"/>
        <w:spacing w:after="0" w:line="290" w:lineRule="auto"/>
        <w:rPr>
          <w:sz w:val="20"/>
          <w:szCs w:val="20"/>
          <w:color w:val="auto"/>
        </w:rPr>
      </w:pPr>
      <w:r>
        <w:rPr>
          <w:rFonts w:ascii="Arial" w:cs="Arial" w:eastAsia="Arial" w:hAnsi="Arial"/>
          <w:sz w:val="13"/>
          <w:szCs w:val="13"/>
          <w:color w:val="auto"/>
        </w:rPr>
        <w:t>The table below sets forth the unaudited condensed Consolidated Balance Sheets, including the balances originally reported in the Company’s unaudited condensed Consolidated financial statements, the effects of the adjustments made and the restated balances as at March 31, June 30, and September 30 of 2024.</w:t>
      </w:r>
    </w:p>
    <w:p>
      <w:pPr>
        <w:spacing w:after="0" w:line="15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CONDENSED CONSOLIDATED BALANCE SHEETS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March 31, 2024</w:t>
            </w:r>
          </w:p>
        </w:tc>
        <w:tc>
          <w:tcPr>
            <w:tcW w:w="12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June 30, 2024</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3100" w:type="dxa"/>
            <w:vAlign w:val="bottom"/>
            <w:tcBorders>
              <w:top w:val="single" w:sz="8" w:color="auto"/>
              <w:bottom w:val="single" w:sz="8" w:color="auto"/>
            </w:tcBorders>
            <w:gridSpan w:val="5"/>
            <w:shd w:val="clear" w:color="auto" w:fill="CCEEFF"/>
          </w:tcPr>
          <w:p>
            <w:pPr>
              <w:jc w:val="right"/>
              <w:ind w:right="893"/>
              <w:spacing w:after="0"/>
              <w:rPr>
                <w:sz w:val="20"/>
                <w:szCs w:val="20"/>
                <w:color w:val="auto"/>
              </w:rPr>
            </w:pPr>
            <w:r>
              <w:rPr>
                <w:rFonts w:ascii="Arial" w:cs="Arial" w:eastAsia="Arial" w:hAnsi="Arial"/>
                <w:sz w:val="13"/>
                <w:szCs w:val="13"/>
                <w:b w:val="1"/>
                <w:bCs w:val="1"/>
                <w:color w:val="auto"/>
              </w:rPr>
              <w:t>September 30, 2024</w:t>
            </w:r>
          </w:p>
        </w:tc>
        <w:tc>
          <w:tcPr>
            <w:tcW w:w="0" w:type="dxa"/>
            <w:vAlign w:val="bottom"/>
          </w:tcPr>
          <w:p>
            <w:pPr>
              <w:spacing w:after="0"/>
              <w:rPr>
                <w:sz w:val="1"/>
                <w:szCs w:val="1"/>
                <w:color w:val="auto"/>
              </w:rPr>
            </w:pPr>
          </w:p>
        </w:tc>
      </w:tr>
      <w:tr>
        <w:trPr>
          <w:trHeight w:val="169"/>
        </w:trPr>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Reported Adjustments</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Reported Adjustments</w:t>
            </w: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Reported Adjustments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0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00" w:type="dxa"/>
            <w:vAlign w:val="bottom"/>
          </w:tcPr>
          <w:p>
            <w:pPr>
              <w:ind w:left="300"/>
              <w:spacing w:after="0"/>
              <w:rPr>
                <w:sz w:val="20"/>
                <w:szCs w:val="20"/>
                <w:color w:val="auto"/>
              </w:rPr>
            </w:pPr>
            <w:r>
              <w:rPr>
                <w:rFonts w:ascii="Arial" w:cs="Arial" w:eastAsia="Arial" w:hAnsi="Arial"/>
                <w:sz w:val="13"/>
                <w:szCs w:val="13"/>
                <w:color w:val="auto"/>
              </w:rPr>
              <w:t>Cash and cash</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396,082</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396,082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506,553</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506,553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695,507</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695,507</w:t>
            </w:r>
          </w:p>
        </w:tc>
        <w:tc>
          <w:tcPr>
            <w:tcW w:w="0" w:type="dxa"/>
            <w:vAlign w:val="bottom"/>
          </w:tcPr>
          <w:p>
            <w:pPr>
              <w:spacing w:after="0"/>
              <w:rPr>
                <w:sz w:val="1"/>
                <w:szCs w:val="1"/>
                <w:color w:val="auto"/>
              </w:rPr>
            </w:pPr>
          </w:p>
        </w:tc>
      </w:tr>
      <w:tr>
        <w:trPr>
          <w:trHeight w:val="111"/>
        </w:trPr>
        <w:tc>
          <w:tcPr>
            <w:tcW w:w="1200" w:type="dxa"/>
            <w:vAlign w:val="bottom"/>
          </w:tcPr>
          <w:p>
            <w:pPr>
              <w:ind w:left="300"/>
              <w:spacing w:after="0" w:line="111" w:lineRule="exact"/>
              <w:rPr>
                <w:sz w:val="20"/>
                <w:szCs w:val="20"/>
                <w:color w:val="auto"/>
              </w:rPr>
            </w:pPr>
            <w:r>
              <w:rPr>
                <w:rFonts w:ascii="Arial" w:cs="Arial" w:eastAsia="Arial" w:hAnsi="Arial"/>
                <w:sz w:val="12"/>
                <w:szCs w:val="12"/>
                <w:color w:val="auto"/>
              </w:rPr>
              <w:t>equivalents</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20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Available for</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sale</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1,955</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1,955</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1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investments</w:t>
            </w: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Accounts</w:t>
            </w:r>
          </w:p>
        </w:tc>
        <w:tc>
          <w:tcPr>
            <w:tcW w:w="10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1,862,468</w:t>
            </w:r>
          </w:p>
        </w:tc>
        <w:tc>
          <w:tcPr>
            <w:tcW w:w="22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(159,949)</w:t>
            </w:r>
          </w:p>
        </w:tc>
        <w:tc>
          <w:tcPr>
            <w:tcW w:w="100" w:type="dxa"/>
            <w:vAlign w:val="bottom"/>
          </w:tcPr>
          <w:p>
            <w:pPr>
              <w:spacing w:after="0"/>
              <w:rPr>
                <w:sz w:val="11"/>
                <w:szCs w:val="11"/>
                <w:color w:val="auto"/>
              </w:rPr>
            </w:pPr>
          </w:p>
        </w:tc>
        <w:tc>
          <w:tcPr>
            <w:tcW w:w="1220" w:type="dxa"/>
            <w:vAlign w:val="bottom"/>
          </w:tcPr>
          <w:p>
            <w:pPr>
              <w:jc w:val="right"/>
              <w:ind w:right="33"/>
              <w:spacing w:after="0" w:line="134" w:lineRule="exact"/>
              <w:rPr>
                <w:sz w:val="20"/>
                <w:szCs w:val="20"/>
                <w:color w:val="auto"/>
              </w:rPr>
            </w:pPr>
            <w:r>
              <w:rPr>
                <w:rFonts w:ascii="Arial" w:cs="Arial" w:eastAsia="Arial" w:hAnsi="Arial"/>
                <w:sz w:val="13"/>
                <w:szCs w:val="13"/>
                <w:color w:val="auto"/>
              </w:rPr>
              <w:t>1,702,519</w:t>
            </w:r>
          </w:p>
        </w:tc>
        <w:tc>
          <w:tcPr>
            <w:tcW w:w="120" w:type="dxa"/>
            <w:vAlign w:val="bottom"/>
          </w:tcPr>
          <w:p>
            <w:pPr>
              <w:spacing w:after="0"/>
              <w:rPr>
                <w:sz w:val="11"/>
                <w:szCs w:val="11"/>
                <w:color w:val="auto"/>
              </w:rPr>
            </w:pPr>
          </w:p>
        </w:tc>
        <w:tc>
          <w:tcPr>
            <w:tcW w:w="1160" w:type="dxa"/>
            <w:vAlign w:val="bottom"/>
          </w:tcPr>
          <w:p>
            <w:pPr>
              <w:jc w:val="right"/>
              <w:spacing w:after="0" w:line="134" w:lineRule="exact"/>
              <w:rPr>
                <w:sz w:val="20"/>
                <w:szCs w:val="20"/>
                <w:color w:val="auto"/>
              </w:rPr>
            </w:pPr>
            <w:r>
              <w:rPr>
                <w:rFonts w:ascii="Arial" w:cs="Arial" w:eastAsia="Arial" w:hAnsi="Arial"/>
                <w:sz w:val="13"/>
                <w:szCs w:val="13"/>
                <w:color w:val="auto"/>
              </w:rPr>
              <w:t>1,569,642</w:t>
            </w:r>
          </w:p>
        </w:tc>
        <w:tc>
          <w:tcPr>
            <w:tcW w:w="2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(990)</w:t>
            </w:r>
          </w:p>
        </w:tc>
        <w:tc>
          <w:tcPr>
            <w:tcW w:w="80" w:type="dxa"/>
            <w:vAlign w:val="bottom"/>
          </w:tcPr>
          <w:p>
            <w:pPr>
              <w:spacing w:after="0"/>
              <w:rPr>
                <w:sz w:val="11"/>
                <w:szCs w:val="11"/>
                <w:color w:val="auto"/>
              </w:rPr>
            </w:pPr>
          </w:p>
        </w:tc>
        <w:tc>
          <w:tcPr>
            <w:tcW w:w="1220" w:type="dxa"/>
            <w:vAlign w:val="bottom"/>
          </w:tcPr>
          <w:p>
            <w:pPr>
              <w:jc w:val="right"/>
              <w:ind w:right="33"/>
              <w:spacing w:after="0" w:line="134" w:lineRule="exact"/>
              <w:rPr>
                <w:sz w:val="20"/>
                <w:szCs w:val="20"/>
                <w:color w:val="auto"/>
              </w:rPr>
            </w:pPr>
            <w:r>
              <w:rPr>
                <w:rFonts w:ascii="Arial" w:cs="Arial" w:eastAsia="Arial" w:hAnsi="Arial"/>
                <w:sz w:val="13"/>
                <w:szCs w:val="13"/>
                <w:color w:val="auto"/>
              </w:rPr>
              <w:t>1,568,652</w:t>
            </w:r>
          </w:p>
        </w:tc>
        <w:tc>
          <w:tcPr>
            <w:tcW w:w="12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1,396,080</w:t>
            </w:r>
          </w:p>
        </w:tc>
        <w:tc>
          <w:tcPr>
            <w:tcW w:w="200" w:type="dxa"/>
            <w:vAlign w:val="bottom"/>
          </w:tcPr>
          <w:p>
            <w:pPr>
              <w:spacing w:after="0"/>
              <w:rPr>
                <w:sz w:val="11"/>
                <w:szCs w:val="11"/>
                <w:color w:val="auto"/>
              </w:rPr>
            </w:pPr>
          </w:p>
        </w:tc>
        <w:tc>
          <w:tcPr>
            <w:tcW w:w="680" w:type="dxa"/>
            <w:vAlign w:val="bottom"/>
          </w:tcPr>
          <w:p>
            <w:pPr>
              <w:ind w:left="4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1,396,080</w:t>
            </w:r>
          </w:p>
        </w:tc>
        <w:tc>
          <w:tcPr>
            <w:tcW w:w="0" w:type="dxa"/>
            <w:vAlign w:val="bottom"/>
          </w:tcPr>
          <w:p>
            <w:pPr>
              <w:spacing w:after="0"/>
              <w:rPr>
                <w:sz w:val="1"/>
                <w:szCs w:val="1"/>
                <w:color w:val="auto"/>
              </w:rPr>
            </w:pPr>
          </w:p>
        </w:tc>
      </w:tr>
      <w:tr>
        <w:trPr>
          <w:trHeight w:val="133"/>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receivable, net</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of allowance</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for credit</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00" w:type="dxa"/>
            <w:vAlign w:val="bottom"/>
          </w:tcPr>
          <w:p>
            <w:pPr>
              <w:ind w:left="300"/>
              <w:spacing w:after="0"/>
              <w:rPr>
                <w:sz w:val="20"/>
                <w:szCs w:val="20"/>
                <w:color w:val="auto"/>
              </w:rPr>
            </w:pPr>
            <w:r>
              <w:rPr>
                <w:rFonts w:ascii="Arial" w:cs="Arial" w:eastAsia="Arial" w:hAnsi="Arial"/>
                <w:sz w:val="13"/>
                <w:szCs w:val="13"/>
                <w:color w:val="auto"/>
              </w:rPr>
              <w:t>losses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Unbilled</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993,141</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(43,574)</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949,567</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1,230,948</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(209,429)</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1,021,519</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1,361,198</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(242,338)</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1,118,860</w:t>
            </w:r>
          </w:p>
        </w:tc>
        <w:tc>
          <w:tcPr>
            <w:tcW w:w="0" w:type="dxa"/>
            <w:vAlign w:val="bottom"/>
          </w:tcPr>
          <w:p>
            <w:pPr>
              <w:spacing w:after="0"/>
              <w:rPr>
                <w:sz w:val="1"/>
                <w:szCs w:val="1"/>
                <w:color w:val="auto"/>
              </w:rPr>
            </w:pPr>
          </w:p>
        </w:tc>
      </w:tr>
      <w:tr>
        <w:trPr>
          <w:trHeight w:val="177"/>
        </w:trPr>
        <w:tc>
          <w:tcPr>
            <w:tcW w:w="1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Other</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76,638</w:t>
            </w:r>
          </w:p>
        </w:tc>
        <w:tc>
          <w:tcPr>
            <w:tcW w:w="22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76,638</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78,113</w:t>
            </w:r>
          </w:p>
        </w:tc>
        <w:tc>
          <w:tcPr>
            <w:tcW w:w="200" w:type="dxa"/>
            <w:vAlign w:val="bottom"/>
          </w:tcPr>
          <w:p>
            <w:pPr>
              <w:spacing w:after="0"/>
              <w:rPr>
                <w:sz w:val="11"/>
                <w:szCs w:val="11"/>
                <w:color w:val="auto"/>
              </w:rPr>
            </w:pPr>
          </w:p>
        </w:tc>
        <w:tc>
          <w:tcPr>
            <w:tcW w:w="70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78,113</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82,760</w:t>
            </w:r>
          </w:p>
        </w:tc>
        <w:tc>
          <w:tcPr>
            <w:tcW w:w="200" w:type="dxa"/>
            <w:vAlign w:val="bottom"/>
          </w:tcPr>
          <w:p>
            <w:pPr>
              <w:spacing w:after="0"/>
              <w:rPr>
                <w:sz w:val="11"/>
                <w:szCs w:val="11"/>
                <w:color w:val="auto"/>
              </w:rPr>
            </w:pPr>
          </w:p>
        </w:tc>
        <w:tc>
          <w:tcPr>
            <w:tcW w:w="68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82,760</w:t>
            </w:r>
          </w:p>
        </w:tc>
        <w:tc>
          <w:tcPr>
            <w:tcW w:w="0" w:type="dxa"/>
            <w:vAlign w:val="bottom"/>
          </w:tcPr>
          <w:p>
            <w:pPr>
              <w:spacing w:after="0"/>
              <w:rPr>
                <w:sz w:val="1"/>
                <w:szCs w:val="1"/>
                <w:color w:val="auto"/>
              </w:rPr>
            </w:pPr>
          </w:p>
        </w:tc>
      </w:tr>
      <w:tr>
        <w:trPr>
          <w:trHeight w:val="176"/>
        </w:trPr>
        <w:tc>
          <w:tcPr>
            <w:tcW w:w="1200" w:type="dxa"/>
            <w:vAlign w:val="bottom"/>
          </w:tcPr>
          <w:p>
            <w:pPr>
              <w:ind w:left="300"/>
              <w:spacing w:after="0"/>
              <w:rPr>
                <w:sz w:val="20"/>
                <w:szCs w:val="20"/>
                <w:color w:val="auto"/>
              </w:rPr>
            </w:pPr>
            <w:r>
              <w:rPr>
                <w:rFonts w:ascii="Arial" w:cs="Arial" w:eastAsia="Arial" w:hAnsi="Arial"/>
                <w:sz w:val="13"/>
                <w:szCs w:val="13"/>
                <w:color w:val="auto"/>
              </w:rPr>
              <w:t>receivables</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Prepayments</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and other</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149,127</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149,127</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139,244</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139,244</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140,536</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140,536</w:t>
            </w:r>
          </w:p>
        </w:tc>
        <w:tc>
          <w:tcPr>
            <w:tcW w:w="0" w:type="dxa"/>
            <w:vAlign w:val="bottom"/>
          </w:tcPr>
          <w:p>
            <w:pPr>
              <w:spacing w:after="0"/>
              <w:rPr>
                <w:sz w:val="1"/>
                <w:szCs w:val="1"/>
                <w:color w:val="auto"/>
              </w:rPr>
            </w:pPr>
          </w:p>
        </w:tc>
      </w:tr>
      <w:tr>
        <w:trPr>
          <w:trHeight w:val="177"/>
        </w:trPr>
        <w:tc>
          <w:tcPr>
            <w:tcW w:w="1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current assets</w:t>
            </w: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Income taxes</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75,544</w:t>
            </w:r>
          </w:p>
        </w:tc>
        <w:tc>
          <w:tcPr>
            <w:tcW w:w="22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75,544</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79,216</w:t>
            </w:r>
          </w:p>
        </w:tc>
        <w:tc>
          <w:tcPr>
            <w:tcW w:w="200" w:type="dxa"/>
            <w:vAlign w:val="bottom"/>
          </w:tcPr>
          <w:p>
            <w:pPr>
              <w:spacing w:after="0"/>
              <w:rPr>
                <w:sz w:val="11"/>
                <w:szCs w:val="11"/>
                <w:color w:val="auto"/>
              </w:rPr>
            </w:pPr>
          </w:p>
        </w:tc>
        <w:tc>
          <w:tcPr>
            <w:tcW w:w="70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79,216</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102,931</w:t>
            </w:r>
          </w:p>
        </w:tc>
        <w:tc>
          <w:tcPr>
            <w:tcW w:w="200" w:type="dxa"/>
            <w:vAlign w:val="bottom"/>
          </w:tcPr>
          <w:p>
            <w:pPr>
              <w:spacing w:after="0"/>
              <w:rPr>
                <w:sz w:val="11"/>
                <w:szCs w:val="11"/>
                <w:color w:val="auto"/>
              </w:rPr>
            </w:pPr>
          </w:p>
        </w:tc>
        <w:tc>
          <w:tcPr>
            <w:tcW w:w="68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102,931</w:t>
            </w:r>
          </w:p>
        </w:tc>
        <w:tc>
          <w:tcPr>
            <w:tcW w:w="0" w:type="dxa"/>
            <w:vAlign w:val="bottom"/>
          </w:tcPr>
          <w:p>
            <w:pPr>
              <w:spacing w:after="0"/>
              <w:rPr>
                <w:sz w:val="1"/>
                <w:szCs w:val="1"/>
                <w:color w:val="auto"/>
              </w:rPr>
            </w:pPr>
          </w:p>
        </w:tc>
      </w:tr>
      <w:tr>
        <w:trPr>
          <w:trHeight w:val="176"/>
        </w:trPr>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receivable</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0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Total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3,554,955</w:t>
            </w:r>
          </w:p>
        </w:tc>
        <w:tc>
          <w:tcPr>
            <w:tcW w:w="2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(203,523)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3,351,432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3,603,716</w:t>
            </w: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(210,419)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3,393,297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3,779,012</w:t>
            </w: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(242,338)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3,536,674</w:t>
            </w:r>
          </w:p>
        </w:tc>
        <w:tc>
          <w:tcPr>
            <w:tcW w:w="0" w:type="dxa"/>
            <w:vAlign w:val="bottom"/>
          </w:tcPr>
          <w:p>
            <w:pPr>
              <w:spacing w:after="0"/>
              <w:rPr>
                <w:sz w:val="1"/>
                <w:szCs w:val="1"/>
                <w:color w:val="auto"/>
              </w:rPr>
            </w:pPr>
          </w:p>
        </w:tc>
      </w:tr>
      <w:tr>
        <w:trPr>
          <w:trHeight w:val="108"/>
        </w:trPr>
        <w:tc>
          <w:tcPr>
            <w:tcW w:w="120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assets</w:t>
            </w:r>
          </w:p>
        </w:tc>
        <w:tc>
          <w:tcPr>
            <w:tcW w:w="10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assets:</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Property, plant</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and</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353,302</w:t>
            </w:r>
          </w:p>
        </w:tc>
        <w:tc>
          <w:tcPr>
            <w:tcW w:w="22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353,302</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353,844</w:t>
            </w:r>
          </w:p>
        </w:tc>
        <w:tc>
          <w:tcPr>
            <w:tcW w:w="200" w:type="dxa"/>
            <w:vAlign w:val="bottom"/>
          </w:tcPr>
          <w:p>
            <w:pPr>
              <w:spacing w:after="0"/>
              <w:rPr>
                <w:sz w:val="11"/>
                <w:szCs w:val="11"/>
                <w:color w:val="auto"/>
              </w:rPr>
            </w:pPr>
          </w:p>
        </w:tc>
        <w:tc>
          <w:tcPr>
            <w:tcW w:w="70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353,844</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365,726</w:t>
            </w:r>
          </w:p>
        </w:tc>
        <w:tc>
          <w:tcPr>
            <w:tcW w:w="200" w:type="dxa"/>
            <w:vAlign w:val="bottom"/>
          </w:tcPr>
          <w:p>
            <w:pPr>
              <w:spacing w:after="0"/>
              <w:rPr>
                <w:sz w:val="11"/>
                <w:szCs w:val="11"/>
                <w:color w:val="auto"/>
              </w:rPr>
            </w:pPr>
          </w:p>
        </w:tc>
        <w:tc>
          <w:tcPr>
            <w:tcW w:w="68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365,726</w:t>
            </w:r>
          </w:p>
        </w:tc>
        <w:tc>
          <w:tcPr>
            <w:tcW w:w="0" w:type="dxa"/>
            <w:vAlign w:val="bottom"/>
          </w:tcPr>
          <w:p>
            <w:pPr>
              <w:spacing w:after="0"/>
              <w:rPr>
                <w:sz w:val="1"/>
                <w:szCs w:val="1"/>
                <w:color w:val="auto"/>
              </w:rPr>
            </w:pPr>
          </w:p>
        </w:tc>
      </w:tr>
      <w:tr>
        <w:trPr>
          <w:trHeight w:val="176"/>
        </w:trPr>
        <w:tc>
          <w:tcPr>
            <w:tcW w:w="1200" w:type="dxa"/>
            <w:vAlign w:val="bottom"/>
          </w:tcPr>
          <w:p>
            <w:pPr>
              <w:ind w:left="300"/>
              <w:spacing w:after="0"/>
              <w:rPr>
                <w:sz w:val="20"/>
                <w:szCs w:val="20"/>
                <w:color w:val="auto"/>
              </w:rPr>
            </w:pPr>
            <w:r>
              <w:rPr>
                <w:rFonts w:ascii="Arial" w:cs="Arial" w:eastAsia="Arial" w:hAnsi="Arial"/>
                <w:sz w:val="13"/>
                <w:szCs w:val="13"/>
                <w:color w:val="auto"/>
              </w:rPr>
              <w:t>equipment, net</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9,018,301</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 $</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9,018,301</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9,016,549</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9,016,549</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9,085,447</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9,085,447</w:t>
            </w: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Intangible</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3,748,939</w:t>
            </w:r>
          </w:p>
        </w:tc>
        <w:tc>
          <w:tcPr>
            <w:tcW w:w="22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3,748,939</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3,632,354</w:t>
            </w:r>
          </w:p>
        </w:tc>
        <w:tc>
          <w:tcPr>
            <w:tcW w:w="200" w:type="dxa"/>
            <w:vAlign w:val="bottom"/>
          </w:tcPr>
          <w:p>
            <w:pPr>
              <w:spacing w:after="0"/>
              <w:rPr>
                <w:sz w:val="11"/>
                <w:szCs w:val="11"/>
                <w:color w:val="auto"/>
              </w:rPr>
            </w:pPr>
          </w:p>
        </w:tc>
        <w:tc>
          <w:tcPr>
            <w:tcW w:w="70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3,632,354</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3,605,814</w:t>
            </w:r>
          </w:p>
        </w:tc>
        <w:tc>
          <w:tcPr>
            <w:tcW w:w="200" w:type="dxa"/>
            <w:vAlign w:val="bottom"/>
          </w:tcPr>
          <w:p>
            <w:pPr>
              <w:spacing w:after="0"/>
              <w:rPr>
                <w:sz w:val="11"/>
                <w:szCs w:val="11"/>
                <w:color w:val="auto"/>
              </w:rPr>
            </w:pPr>
          </w:p>
        </w:tc>
        <w:tc>
          <w:tcPr>
            <w:tcW w:w="68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3,605,814</w:t>
            </w:r>
          </w:p>
        </w:tc>
        <w:tc>
          <w:tcPr>
            <w:tcW w:w="0" w:type="dxa"/>
            <w:vAlign w:val="bottom"/>
          </w:tcPr>
          <w:p>
            <w:pPr>
              <w:spacing w:after="0"/>
              <w:rPr>
                <w:sz w:val="1"/>
                <w:szCs w:val="1"/>
                <w:color w:val="auto"/>
              </w:rPr>
            </w:pPr>
          </w:p>
        </w:tc>
      </w:tr>
      <w:tr>
        <w:trPr>
          <w:trHeight w:val="176"/>
        </w:trPr>
        <w:tc>
          <w:tcPr>
            <w:tcW w:w="1200" w:type="dxa"/>
            <w:vAlign w:val="bottom"/>
          </w:tcPr>
          <w:p>
            <w:pPr>
              <w:ind w:left="300"/>
              <w:spacing w:after="0"/>
              <w:rPr>
                <w:sz w:val="20"/>
                <w:szCs w:val="20"/>
                <w:color w:val="auto"/>
              </w:rPr>
            </w:pPr>
            <w:r>
              <w:rPr>
                <w:rFonts w:ascii="Arial" w:cs="Arial" w:eastAsia="Arial" w:hAnsi="Arial"/>
                <w:sz w:val="13"/>
                <w:szCs w:val="13"/>
                <w:color w:val="auto"/>
              </w:rPr>
              <w:t>assets, net</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right-of-use</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159,620</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159,620</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149,782</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149,782</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156,955</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156,955</w:t>
            </w:r>
          </w:p>
        </w:tc>
        <w:tc>
          <w:tcPr>
            <w:tcW w:w="0" w:type="dxa"/>
            <w:vAlign w:val="bottom"/>
          </w:tcPr>
          <w:p>
            <w:pPr>
              <w:spacing w:after="0"/>
              <w:rPr>
                <w:sz w:val="1"/>
                <w:szCs w:val="1"/>
                <w:color w:val="auto"/>
              </w:rPr>
            </w:pPr>
          </w:p>
        </w:tc>
      </w:tr>
      <w:tr>
        <w:trPr>
          <w:trHeight w:val="177"/>
        </w:trPr>
        <w:tc>
          <w:tcPr>
            <w:tcW w:w="1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Other</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87,193</w:t>
            </w:r>
          </w:p>
        </w:tc>
        <w:tc>
          <w:tcPr>
            <w:tcW w:w="22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87,193</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87,609</w:t>
            </w:r>
          </w:p>
        </w:tc>
        <w:tc>
          <w:tcPr>
            <w:tcW w:w="200" w:type="dxa"/>
            <w:vAlign w:val="bottom"/>
          </w:tcPr>
          <w:p>
            <w:pPr>
              <w:spacing w:after="0"/>
              <w:rPr>
                <w:sz w:val="11"/>
                <w:szCs w:val="11"/>
                <w:color w:val="auto"/>
              </w:rPr>
            </w:pPr>
          </w:p>
        </w:tc>
        <w:tc>
          <w:tcPr>
            <w:tcW w:w="70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87,609</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88,445</w:t>
            </w:r>
          </w:p>
        </w:tc>
        <w:tc>
          <w:tcPr>
            <w:tcW w:w="200" w:type="dxa"/>
            <w:vAlign w:val="bottom"/>
          </w:tcPr>
          <w:p>
            <w:pPr>
              <w:spacing w:after="0"/>
              <w:rPr>
                <w:sz w:val="11"/>
                <w:szCs w:val="11"/>
                <w:color w:val="auto"/>
              </w:rPr>
            </w:pPr>
          </w:p>
        </w:tc>
        <w:tc>
          <w:tcPr>
            <w:tcW w:w="68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88,445</w:t>
            </w:r>
          </w:p>
        </w:tc>
        <w:tc>
          <w:tcPr>
            <w:tcW w:w="0" w:type="dxa"/>
            <w:vAlign w:val="bottom"/>
          </w:tcPr>
          <w:p>
            <w:pPr>
              <w:spacing w:after="0"/>
              <w:rPr>
                <w:sz w:val="1"/>
                <w:szCs w:val="1"/>
                <w:color w:val="auto"/>
              </w:rPr>
            </w:pPr>
          </w:p>
        </w:tc>
      </w:tr>
      <w:tr>
        <w:trPr>
          <w:trHeight w:val="176"/>
        </w:trPr>
        <w:tc>
          <w:tcPr>
            <w:tcW w:w="1200" w:type="dxa"/>
            <w:vAlign w:val="bottom"/>
          </w:tcPr>
          <w:p>
            <w:pPr>
              <w:ind w:left="300"/>
              <w:spacing w:after="0"/>
              <w:rPr>
                <w:sz w:val="20"/>
                <w:szCs w:val="20"/>
                <w:color w:val="auto"/>
              </w:rPr>
            </w:pPr>
            <w:r>
              <w:rPr>
                <w:rFonts w:ascii="Arial" w:cs="Arial" w:eastAsia="Arial" w:hAnsi="Arial"/>
                <w:sz w:val="13"/>
                <w:szCs w:val="13"/>
                <w:color w:val="auto"/>
              </w:rPr>
              <w:t>receivables</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Income taxes</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4,155</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4,155</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rPr>
              <w:t>14,994</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14,994</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rPr>
              <w:t>13,682</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13,682</w:t>
            </w:r>
          </w:p>
        </w:tc>
        <w:tc>
          <w:tcPr>
            <w:tcW w:w="0" w:type="dxa"/>
            <w:vAlign w:val="bottom"/>
          </w:tcPr>
          <w:p>
            <w:pPr>
              <w:spacing w:after="0"/>
              <w:rPr>
                <w:sz w:val="1"/>
                <w:szCs w:val="1"/>
                <w:color w:val="auto"/>
              </w:rPr>
            </w:pPr>
          </w:p>
        </w:tc>
      </w:tr>
      <w:tr>
        <w:trPr>
          <w:trHeight w:val="177"/>
        </w:trPr>
        <w:tc>
          <w:tcPr>
            <w:tcW w:w="1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w:t>
            </w: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Deferred tax</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74,777</w:t>
            </w: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(1,431)</w:t>
            </w:r>
          </w:p>
        </w:tc>
        <w:tc>
          <w:tcPr>
            <w:tcW w:w="10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73,346</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74,787</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(2,463)</w:t>
            </w:r>
          </w:p>
        </w:tc>
        <w:tc>
          <w:tcPr>
            <w:tcW w:w="8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72,324</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75,993</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(2,306)</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73,687</w:t>
            </w:r>
          </w:p>
        </w:tc>
        <w:tc>
          <w:tcPr>
            <w:tcW w:w="0" w:type="dxa"/>
            <w:vAlign w:val="bottom"/>
          </w:tcPr>
          <w:p>
            <w:pPr>
              <w:spacing w:after="0"/>
              <w:rPr>
                <w:sz w:val="1"/>
                <w:szCs w:val="1"/>
                <w:color w:val="auto"/>
              </w:rPr>
            </w:pPr>
          </w:p>
        </w:tc>
      </w:tr>
      <w:tr>
        <w:trPr>
          <w:trHeight w:val="176"/>
        </w:trPr>
        <w:tc>
          <w:tcPr>
            <w:tcW w:w="1200" w:type="dxa"/>
            <w:vAlign w:val="bottom"/>
          </w:tcPr>
          <w:p>
            <w:pPr>
              <w:ind w:left="300"/>
              <w:spacing w:after="0"/>
              <w:rPr>
                <w:sz w:val="20"/>
                <w:szCs w:val="20"/>
                <w:color w:val="auto"/>
              </w:rPr>
            </w:pPr>
            <w:r>
              <w:rPr>
                <w:rFonts w:ascii="Arial" w:cs="Arial" w:eastAsia="Arial" w:hAnsi="Arial"/>
                <w:sz w:val="13"/>
                <w:szCs w:val="13"/>
                <w:color w:val="auto"/>
              </w:rPr>
              <w:t>asset</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Investments in</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51,164</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51,164</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50,220</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50,220</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53,720</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53,720</w:t>
            </w:r>
          </w:p>
        </w:tc>
        <w:tc>
          <w:tcPr>
            <w:tcW w:w="0" w:type="dxa"/>
            <w:vAlign w:val="bottom"/>
          </w:tcPr>
          <w:p>
            <w:pPr>
              <w:spacing w:after="0"/>
              <w:rPr>
                <w:sz w:val="1"/>
                <w:szCs w:val="1"/>
                <w:color w:val="auto"/>
              </w:rPr>
            </w:pPr>
          </w:p>
        </w:tc>
      </w:tr>
      <w:tr>
        <w:trPr>
          <w:trHeight w:val="176"/>
        </w:trPr>
        <w:tc>
          <w:tcPr>
            <w:tcW w:w="1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equity</w:t>
            </w: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17,048,251,000.00</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(200,799)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16,847,452,000.00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16,968,861,000.00</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(197,888)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16,770,973,000.00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17,211,112,000.00</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(230,962)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16,980,150,000</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LIABILITIES AND</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SHAREHOLDERS’</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20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Accounts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113,579</w:t>
            </w:r>
          </w:p>
        </w:tc>
        <w:tc>
          <w:tcPr>
            <w:tcW w:w="22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113,579</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83,037</w:t>
            </w:r>
          </w:p>
        </w:tc>
        <w:tc>
          <w:tcPr>
            <w:tcW w:w="2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ind w:left="480"/>
              <w:spacing w:after="0"/>
              <w:rPr>
                <w:sz w:val="20"/>
                <w:szCs w:val="20"/>
                <w:color w:val="auto"/>
              </w:rPr>
            </w:pPr>
            <w:r>
              <w:rPr>
                <w:rFonts w:ascii="Arial" w:cs="Arial" w:eastAsia="Arial" w:hAnsi="Arial"/>
                <w:sz w:val="13"/>
                <w:szCs w:val="13"/>
                <w:color w:val="auto"/>
              </w:rPr>
              <w:t>— $</w:t>
            </w: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color w:val="auto"/>
              </w:rPr>
              <w:t>83,037</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106,172</w:t>
            </w:r>
          </w:p>
        </w:tc>
        <w:tc>
          <w:tcPr>
            <w:tcW w:w="2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ind w:left="480"/>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106,172</w:t>
            </w:r>
          </w:p>
        </w:tc>
        <w:tc>
          <w:tcPr>
            <w:tcW w:w="0" w:type="dxa"/>
            <w:vAlign w:val="bottom"/>
          </w:tcPr>
          <w:p>
            <w:pPr>
              <w:spacing w:after="0"/>
              <w:rPr>
                <w:sz w:val="1"/>
                <w:szCs w:val="1"/>
                <w:color w:val="auto"/>
              </w:rPr>
            </w:pPr>
          </w:p>
        </w:tc>
      </w:tr>
      <w:tr>
        <w:trPr>
          <w:trHeight w:val="108"/>
        </w:trPr>
        <w:tc>
          <w:tcPr>
            <w:tcW w:w="1200" w:type="dxa"/>
            <w:vAlign w:val="bottom"/>
            <w:vMerge w:val="restart"/>
          </w:tcPr>
          <w:p>
            <w:pPr>
              <w:ind w:left="300"/>
              <w:spacing w:after="0"/>
              <w:rPr>
                <w:sz w:val="20"/>
                <w:szCs w:val="20"/>
                <w:color w:val="auto"/>
              </w:rPr>
            </w:pPr>
            <w:r>
              <w:rPr>
                <w:rFonts w:ascii="Arial" w:cs="Arial" w:eastAsia="Arial" w:hAnsi="Arial"/>
                <w:sz w:val="13"/>
                <w:szCs w:val="13"/>
                <w:color w:val="auto"/>
              </w:rPr>
              <w:t>payable</w:t>
            </w:r>
          </w:p>
        </w:tc>
        <w:tc>
          <w:tcPr>
            <w:tcW w:w="1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Unearned</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1,709,938</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(124,244)</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1,585,694</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1,602,526</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(58,251)</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1,544,275</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1,585,257</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(107,305)</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1,477,952</w:t>
            </w:r>
          </w:p>
        </w:tc>
        <w:tc>
          <w:tcPr>
            <w:tcW w:w="0" w:type="dxa"/>
            <w:vAlign w:val="bottom"/>
          </w:tcPr>
          <w:p>
            <w:pPr>
              <w:spacing w:after="0"/>
              <w:rPr>
                <w:sz w:val="1"/>
                <w:szCs w:val="1"/>
                <w:color w:val="auto"/>
              </w:rPr>
            </w:pPr>
          </w:p>
        </w:tc>
      </w:tr>
      <w:tr>
        <w:trPr>
          <w:trHeight w:val="177"/>
        </w:trPr>
        <w:tc>
          <w:tcPr>
            <w:tcW w:w="1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00" w:type="dxa"/>
            <w:vAlign w:val="bottom"/>
          </w:tcPr>
          <w:p>
            <w:pPr>
              <w:ind w:left="300"/>
              <w:spacing w:after="0"/>
              <w:rPr>
                <w:sz w:val="20"/>
                <w:szCs w:val="20"/>
                <w:color w:val="auto"/>
              </w:rPr>
            </w:pPr>
            <w:r>
              <w:rPr>
                <w:rFonts w:ascii="Arial" w:cs="Arial" w:eastAsia="Arial" w:hAnsi="Arial"/>
                <w:sz w:val="13"/>
                <w:szCs w:val="13"/>
                <w:color w:val="auto"/>
              </w:rPr>
              <w:t>Other liabilities</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1,000,760</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(7,248)</w:t>
            </w:r>
          </w:p>
        </w:tc>
        <w:tc>
          <w:tcPr>
            <w:tcW w:w="10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993,512</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999,071</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(7,248)</w:t>
            </w:r>
          </w:p>
        </w:tc>
        <w:tc>
          <w:tcPr>
            <w:tcW w:w="8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color w:val="auto"/>
              </w:rPr>
              <w:t>991,823</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1,045,134</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(7,248)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1,037,886</w:t>
            </w: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Income taxes</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41,905</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41,905</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27,935</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27,935</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52,585</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52,585</w:t>
            </w:r>
          </w:p>
        </w:tc>
        <w:tc>
          <w:tcPr>
            <w:tcW w:w="0" w:type="dxa"/>
            <w:vAlign w:val="bottom"/>
          </w:tcPr>
          <w:p>
            <w:pPr>
              <w:spacing w:after="0"/>
              <w:rPr>
                <w:sz w:val="1"/>
                <w:szCs w:val="1"/>
                <w:color w:val="auto"/>
              </w:rPr>
            </w:pPr>
          </w:p>
        </w:tc>
      </w:tr>
      <w:tr>
        <w:trPr>
          <w:trHeight w:val="177"/>
        </w:trPr>
        <w:tc>
          <w:tcPr>
            <w:tcW w:w="1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payable</w:t>
            </w: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Current bank</w:t>
            </w:r>
          </w:p>
        </w:tc>
        <w:tc>
          <w:tcPr>
            <w:tcW w:w="10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79,762</w:t>
            </w:r>
          </w:p>
        </w:tc>
        <w:tc>
          <w:tcPr>
            <w:tcW w:w="220" w:type="dxa"/>
            <w:vAlign w:val="bottom"/>
          </w:tcPr>
          <w:p>
            <w:pPr>
              <w:spacing w:after="0"/>
              <w:rPr>
                <w:sz w:val="11"/>
                <w:szCs w:val="11"/>
                <w:color w:val="auto"/>
              </w:rPr>
            </w:pPr>
          </w:p>
        </w:tc>
        <w:tc>
          <w:tcPr>
            <w:tcW w:w="680" w:type="dxa"/>
            <w:vAlign w:val="bottom"/>
          </w:tcPr>
          <w:p>
            <w:pPr>
              <w:ind w:left="50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20" w:type="dxa"/>
            <w:vAlign w:val="bottom"/>
          </w:tcPr>
          <w:p>
            <w:pPr>
              <w:jc w:val="right"/>
              <w:ind w:right="33"/>
              <w:spacing w:after="0" w:line="134" w:lineRule="exact"/>
              <w:rPr>
                <w:sz w:val="20"/>
                <w:szCs w:val="20"/>
                <w:color w:val="auto"/>
              </w:rPr>
            </w:pPr>
            <w:r>
              <w:rPr>
                <w:rFonts w:ascii="Arial" w:cs="Arial" w:eastAsia="Arial" w:hAnsi="Arial"/>
                <w:sz w:val="13"/>
                <w:szCs w:val="13"/>
                <w:color w:val="auto"/>
              </w:rPr>
              <w:t>79,762</w:t>
            </w:r>
          </w:p>
        </w:tc>
        <w:tc>
          <w:tcPr>
            <w:tcW w:w="120" w:type="dxa"/>
            <w:vAlign w:val="bottom"/>
          </w:tcPr>
          <w:p>
            <w:pPr>
              <w:spacing w:after="0"/>
              <w:rPr>
                <w:sz w:val="11"/>
                <w:szCs w:val="11"/>
                <w:color w:val="auto"/>
              </w:rPr>
            </w:pPr>
          </w:p>
        </w:tc>
        <w:tc>
          <w:tcPr>
            <w:tcW w:w="1160" w:type="dxa"/>
            <w:vAlign w:val="bottom"/>
          </w:tcPr>
          <w:p>
            <w:pPr>
              <w:jc w:val="right"/>
              <w:spacing w:after="0" w:line="134" w:lineRule="exact"/>
              <w:rPr>
                <w:sz w:val="20"/>
                <w:szCs w:val="20"/>
                <w:color w:val="auto"/>
              </w:rPr>
            </w:pPr>
            <w:r>
              <w:rPr>
                <w:rFonts w:ascii="Arial" w:cs="Arial" w:eastAsia="Arial" w:hAnsi="Arial"/>
                <w:sz w:val="13"/>
                <w:szCs w:val="13"/>
                <w:color w:val="auto"/>
              </w:rPr>
              <w:t>29,762</w:t>
            </w:r>
          </w:p>
        </w:tc>
        <w:tc>
          <w:tcPr>
            <w:tcW w:w="200" w:type="dxa"/>
            <w:vAlign w:val="bottom"/>
          </w:tcPr>
          <w:p>
            <w:pPr>
              <w:spacing w:after="0"/>
              <w:rPr>
                <w:sz w:val="11"/>
                <w:szCs w:val="11"/>
                <w:color w:val="auto"/>
              </w:rPr>
            </w:pPr>
          </w:p>
        </w:tc>
        <w:tc>
          <w:tcPr>
            <w:tcW w:w="700" w:type="dxa"/>
            <w:vAlign w:val="bottom"/>
          </w:tcPr>
          <w:p>
            <w:pPr>
              <w:ind w:left="48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20" w:type="dxa"/>
            <w:vAlign w:val="bottom"/>
          </w:tcPr>
          <w:p>
            <w:pPr>
              <w:jc w:val="right"/>
              <w:ind w:right="33"/>
              <w:spacing w:after="0" w:line="134" w:lineRule="exact"/>
              <w:rPr>
                <w:sz w:val="20"/>
                <w:szCs w:val="20"/>
                <w:color w:val="auto"/>
              </w:rPr>
            </w:pPr>
            <w:r>
              <w:rPr>
                <w:rFonts w:ascii="Arial" w:cs="Arial" w:eastAsia="Arial" w:hAnsi="Arial"/>
                <w:sz w:val="13"/>
                <w:szCs w:val="13"/>
                <w:color w:val="auto"/>
              </w:rPr>
              <w:t>29,762</w:t>
            </w:r>
          </w:p>
        </w:tc>
        <w:tc>
          <w:tcPr>
            <w:tcW w:w="12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29,762</w:t>
            </w:r>
          </w:p>
        </w:tc>
        <w:tc>
          <w:tcPr>
            <w:tcW w:w="200" w:type="dxa"/>
            <w:vAlign w:val="bottom"/>
          </w:tcPr>
          <w:p>
            <w:pPr>
              <w:spacing w:after="0"/>
              <w:rPr>
                <w:sz w:val="11"/>
                <w:szCs w:val="11"/>
                <w:color w:val="auto"/>
              </w:rPr>
            </w:pPr>
          </w:p>
        </w:tc>
        <w:tc>
          <w:tcPr>
            <w:tcW w:w="680" w:type="dxa"/>
            <w:vAlign w:val="bottom"/>
          </w:tcPr>
          <w:p>
            <w:pPr>
              <w:ind w:left="4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29,762</w:t>
            </w:r>
          </w:p>
        </w:tc>
        <w:tc>
          <w:tcPr>
            <w:tcW w:w="0" w:type="dxa"/>
            <w:vAlign w:val="bottom"/>
          </w:tcPr>
          <w:p>
            <w:pPr>
              <w:spacing w:after="0"/>
              <w:rPr>
                <w:sz w:val="1"/>
                <w:szCs w:val="1"/>
                <w:color w:val="auto"/>
              </w:rPr>
            </w:pPr>
          </w:p>
        </w:tc>
      </w:tr>
      <w:tr>
        <w:trPr>
          <w:trHeight w:val="133"/>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credit lines,</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300"/>
              <w:spacing w:after="0" w:line="134" w:lineRule="exact"/>
              <w:rPr>
                <w:sz w:val="20"/>
                <w:szCs w:val="20"/>
                <w:color w:val="auto"/>
              </w:rPr>
            </w:pPr>
            <w:r>
              <w:rPr>
                <w:rFonts w:ascii="Arial" w:cs="Arial" w:eastAsia="Arial" w:hAnsi="Arial"/>
                <w:sz w:val="13"/>
                <w:szCs w:val="13"/>
                <w:color w:val="auto"/>
              </w:rPr>
              <w:t>loan facilities</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and notes</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0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Total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2,945,944</w:t>
            </w:r>
          </w:p>
        </w:tc>
        <w:tc>
          <w:tcPr>
            <w:tcW w:w="2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(131,492)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2,814,452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2,742,331</w:t>
            </w: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(65,499)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2,676,832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2,818,910</w:t>
            </w: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(114,553)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2,704,357</w:t>
            </w:r>
          </w:p>
        </w:tc>
        <w:tc>
          <w:tcPr>
            <w:tcW w:w="0" w:type="dxa"/>
            <w:vAlign w:val="bottom"/>
          </w:tcPr>
          <w:p>
            <w:pPr>
              <w:spacing w:after="0"/>
              <w:rPr>
                <w:sz w:val="1"/>
                <w:szCs w:val="1"/>
                <w:color w:val="auto"/>
              </w:rPr>
            </w:pPr>
          </w:p>
        </w:tc>
      </w:tr>
      <w:tr>
        <w:trPr>
          <w:trHeight w:val="108"/>
        </w:trPr>
        <w:tc>
          <w:tcPr>
            <w:tcW w:w="120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liabilities</w:t>
            </w:r>
          </w:p>
        </w:tc>
        <w:tc>
          <w:tcPr>
            <w:tcW w:w="10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ICON plc</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CONDENSED CONSOLIDATED BALANCE SHEETS (UNAUDITED)</w:t>
      </w:r>
    </w:p>
    <w:p>
      <w:pPr>
        <w:spacing w:after="0" w:line="105"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360"/>
          </w:cols>
          <w:pgMar w:left="300" w:top="39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9"/>
        </w:trPr>
        <w:tc>
          <w:tcPr>
            <w:tcW w:w="20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gridSpan w:val="3"/>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March 31, 2024</w:t>
            </w:r>
          </w:p>
        </w:tc>
        <w:tc>
          <w:tcPr>
            <w:tcW w:w="10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2024</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2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September 30, 2024</w:t>
            </w: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As Reported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Adjustments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Adjustments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gridSpan w:val="3"/>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(in thousands)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60" w:type="dxa"/>
            <w:vAlign w:val="bottom"/>
          </w:tcPr>
          <w:p>
            <w:pPr>
              <w:ind w:left="20"/>
              <w:spacing w:after="0"/>
              <w:rPr>
                <w:sz w:val="20"/>
                <w:szCs w:val="20"/>
                <w:color w:val="auto"/>
              </w:rPr>
            </w:pPr>
            <w:r>
              <w:rPr>
                <w:rFonts w:ascii="Arial" w:cs="Arial" w:eastAsia="Arial" w:hAnsi="Arial"/>
                <w:sz w:val="13"/>
                <w:szCs w:val="13"/>
                <w:color w:val="auto"/>
              </w:rPr>
              <w:t>Non-current liabilities: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Non-current bank credit lines,</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3,419,734</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3,419,734</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3,408,157</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3,408,157</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3,402,368</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3,402,368</w:t>
            </w: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loan facilities and notes, net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60" w:type="dxa"/>
            <w:vAlign w:val="bottom"/>
          </w:tcPr>
          <w:p>
            <w:pPr>
              <w:ind w:left="300"/>
              <w:spacing w:after="0"/>
              <w:rPr>
                <w:sz w:val="20"/>
                <w:szCs w:val="20"/>
                <w:color w:val="auto"/>
              </w:rPr>
            </w:pPr>
            <w:r>
              <w:rPr>
                <w:rFonts w:ascii="Arial" w:cs="Arial" w:eastAsia="Arial" w:hAnsi="Arial"/>
                <w:sz w:val="13"/>
                <w:szCs w:val="13"/>
                <w:color w:val="auto"/>
              </w:rPr>
              <w:t>Lease liabilities</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145,542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145,542</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145,464</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145,464</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145,714</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145,714</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Non-current other liabilities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45,988</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45,236</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48,372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47,620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50,157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49,405</w:t>
            </w:r>
          </w:p>
        </w:tc>
        <w:tc>
          <w:tcPr>
            <w:tcW w:w="0" w:type="dxa"/>
            <w:vAlign w:val="bottom"/>
          </w:tcPr>
          <w:p>
            <w:pPr>
              <w:spacing w:after="0"/>
              <w:rPr>
                <w:sz w:val="1"/>
                <w:szCs w:val="1"/>
                <w:color w:val="auto"/>
              </w:rPr>
            </w:pPr>
          </w:p>
        </w:tc>
      </w:tr>
      <w:tr>
        <w:trPr>
          <w:trHeight w:val="134"/>
        </w:trPr>
        <w:tc>
          <w:tcPr>
            <w:tcW w:w="2060" w:type="dxa"/>
            <w:vAlign w:val="bottom"/>
          </w:tcPr>
          <w:p>
            <w:pPr>
              <w:ind w:left="300"/>
              <w:spacing w:after="0" w:line="134" w:lineRule="exact"/>
              <w:rPr>
                <w:sz w:val="20"/>
                <w:szCs w:val="20"/>
                <w:color w:val="auto"/>
              </w:rPr>
            </w:pPr>
            <w:r>
              <w:rPr>
                <w:rFonts w:ascii="Arial" w:cs="Arial" w:eastAsia="Arial" w:hAnsi="Arial"/>
                <w:sz w:val="13"/>
                <w:szCs w:val="13"/>
                <w:color w:val="auto"/>
              </w:rPr>
              <w:t>Non-current income taxes</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188,876</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871</w:t>
            </w:r>
          </w:p>
        </w:tc>
        <w:tc>
          <w:tcPr>
            <w:tcW w:w="100" w:type="dxa"/>
            <w:vAlign w:val="bottom"/>
          </w:tcPr>
          <w:p>
            <w:pPr>
              <w:spacing w:after="0"/>
              <w:rPr>
                <w:sz w:val="11"/>
                <w:szCs w:val="11"/>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189,747</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195,778</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2,313</w:t>
            </w:r>
          </w:p>
        </w:tc>
        <w:tc>
          <w:tcPr>
            <w:tcW w:w="100" w:type="dxa"/>
            <w:vAlign w:val="bottom"/>
          </w:tcPr>
          <w:p>
            <w:pPr>
              <w:spacing w:after="0"/>
              <w:rPr>
                <w:sz w:val="11"/>
                <w:szCs w:val="11"/>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198,091</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201,135</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2,093</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203,228</w:t>
            </w:r>
          </w:p>
        </w:tc>
        <w:tc>
          <w:tcPr>
            <w:tcW w:w="0" w:type="dxa"/>
            <w:vAlign w:val="bottom"/>
          </w:tcPr>
          <w:p>
            <w:pPr>
              <w:spacing w:after="0"/>
              <w:rPr>
                <w:sz w:val="1"/>
                <w:szCs w:val="1"/>
                <w:color w:val="auto"/>
              </w:rPr>
            </w:pPr>
          </w:p>
        </w:tc>
      </w:tr>
      <w:tr>
        <w:trPr>
          <w:trHeight w:val="176"/>
        </w:trPr>
        <w:tc>
          <w:tcPr>
            <w:tcW w:w="2060" w:type="dxa"/>
            <w:vAlign w:val="bottom"/>
          </w:tcPr>
          <w:p>
            <w:pPr>
              <w:ind w:left="300"/>
              <w:spacing w:after="0"/>
              <w:rPr>
                <w:sz w:val="20"/>
                <w:szCs w:val="20"/>
                <w:color w:val="auto"/>
              </w:rPr>
            </w:pPr>
            <w:r>
              <w:rPr>
                <w:rFonts w:ascii="Arial" w:cs="Arial" w:eastAsia="Arial" w:hAnsi="Arial"/>
                <w:sz w:val="13"/>
                <w:szCs w:val="13"/>
                <w:color w:val="auto"/>
              </w:rPr>
              <w:t>payable</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liability</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869,520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868,492</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843,633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842,215</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818,329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816,971</w:t>
            </w:r>
          </w:p>
        </w:tc>
        <w:tc>
          <w:tcPr>
            <w:tcW w:w="0" w:type="dxa"/>
            <w:vAlign w:val="bottom"/>
          </w:tcPr>
          <w:p>
            <w:pPr>
              <w:spacing w:after="0"/>
              <w:rPr>
                <w:sz w:val="1"/>
                <w:szCs w:val="1"/>
                <w:color w:val="auto"/>
              </w:rPr>
            </w:pPr>
          </w:p>
        </w:tc>
      </w:tr>
      <w:tr>
        <w:trPr>
          <w:trHeight w:val="134"/>
        </w:trPr>
        <w:tc>
          <w:tcPr>
            <w:tcW w:w="2060" w:type="dxa"/>
            <w:vAlign w:val="bottom"/>
          </w:tcPr>
          <w:p>
            <w:pPr>
              <w:ind w:left="300"/>
              <w:spacing w:after="0" w:line="134" w:lineRule="exact"/>
              <w:rPr>
                <w:sz w:val="20"/>
                <w:szCs w:val="20"/>
                <w:color w:val="auto"/>
              </w:rPr>
            </w:pPr>
            <w:r>
              <w:rPr>
                <w:rFonts w:ascii="Arial" w:cs="Arial" w:eastAsia="Arial" w:hAnsi="Arial"/>
                <w:sz w:val="13"/>
                <w:szCs w:val="13"/>
                <w:color w:val="auto"/>
              </w:rPr>
              <w:t>Commitments and</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contingencies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7,615,604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(132,401)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7,483,203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7,383,735</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(65,356)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7,318,379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7,436,613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7,322,043</w:t>
            </w: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Shareholders' Equity:</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60" w:type="dxa"/>
            <w:vAlign w:val="bottom"/>
          </w:tcPr>
          <w:p>
            <w:pPr>
              <w:ind w:left="300"/>
              <w:spacing w:after="0" w:line="134" w:lineRule="exact"/>
              <w:rPr>
                <w:sz w:val="20"/>
                <w:szCs w:val="20"/>
                <w:color w:val="auto"/>
              </w:rPr>
            </w:pPr>
            <w:r>
              <w:rPr>
                <w:rFonts w:ascii="Arial" w:cs="Arial" w:eastAsia="Arial" w:hAnsi="Arial"/>
                <w:sz w:val="13"/>
                <w:szCs w:val="13"/>
                <w:color w:val="auto"/>
              </w:rPr>
              <w:t>Ordinary shares par value 6</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300"/>
              <w:spacing w:after="0" w:line="134" w:lineRule="exact"/>
              <w:rPr>
                <w:sz w:val="20"/>
                <w:szCs w:val="20"/>
                <w:color w:val="auto"/>
              </w:rPr>
            </w:pPr>
            <w:r>
              <w:rPr>
                <w:rFonts w:ascii="Arial" w:cs="Arial" w:eastAsia="Arial" w:hAnsi="Arial"/>
                <w:sz w:val="13"/>
                <w:szCs w:val="13"/>
                <w:color w:val="auto"/>
              </w:rPr>
              <w:t>euro cents per share;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300"/>
              <w:spacing w:after="0" w:line="134" w:lineRule="exact"/>
              <w:rPr>
                <w:sz w:val="20"/>
                <w:szCs w:val="20"/>
                <w:color w:val="auto"/>
              </w:rPr>
            </w:pPr>
            <w:r>
              <w:rPr>
                <w:rFonts w:ascii="Arial" w:cs="Arial" w:eastAsia="Arial" w:hAnsi="Arial"/>
                <w:sz w:val="13"/>
                <w:szCs w:val="13"/>
                <w:color w:val="auto"/>
              </w:rPr>
              <w:t>100,000,000 shares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60" w:type="dxa"/>
            <w:vAlign w:val="bottom"/>
          </w:tcPr>
          <w:p>
            <w:pPr>
              <w:ind w:left="300"/>
              <w:spacing w:after="0"/>
              <w:rPr>
                <w:sz w:val="20"/>
                <w:szCs w:val="20"/>
                <w:color w:val="auto"/>
              </w:rPr>
            </w:pPr>
            <w:r>
              <w:rPr>
                <w:rFonts w:ascii="Arial" w:cs="Arial" w:eastAsia="Arial" w:hAnsi="Arial"/>
                <w:sz w:val="13"/>
                <w:szCs w:val="13"/>
                <w:color w:val="auto"/>
              </w:rPr>
              <w:t>authorized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82,683,805 shares issued</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6,711</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6,711</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6,720</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6,720</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6,703</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6,703</w:t>
            </w: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and outstanding at March 31,</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2024 (June 30, 2024:</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82,816,600 and</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September 30, 2024:</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82,559,366)</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60" w:type="dxa"/>
            <w:vAlign w:val="bottom"/>
          </w:tcPr>
          <w:p>
            <w:pPr>
              <w:ind w:left="30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6,970,079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6,970,079</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6,988,736</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6,988,736</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7,011,547</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7,011,547</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undenominated capital</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1,162</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1,162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134"/>
        </w:trPr>
        <w:tc>
          <w:tcPr>
            <w:tcW w:w="2060" w:type="dxa"/>
            <w:vAlign w:val="bottom"/>
          </w:tcPr>
          <w:p>
            <w:pPr>
              <w:ind w:left="300"/>
              <w:spacing w:after="0" w:line="134" w:lineRule="exact"/>
              <w:rPr>
                <w:sz w:val="20"/>
                <w:szCs w:val="20"/>
                <w:color w:val="auto"/>
              </w:rPr>
            </w:pPr>
            <w:r>
              <w:rPr>
                <w:rFonts w:ascii="Arial" w:cs="Arial" w:eastAsia="Arial" w:hAnsi="Arial"/>
                <w:sz w:val="13"/>
                <w:szCs w:val="13"/>
                <w:color w:val="auto"/>
              </w:rPr>
              <w:t>Accumulated other</w:t>
            </w:r>
          </w:p>
        </w:tc>
        <w:tc>
          <w:tcPr>
            <w:tcW w:w="12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(166,462)</w:t>
            </w:r>
          </w:p>
        </w:tc>
        <w:tc>
          <w:tcPr>
            <w:tcW w:w="1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(166,462)</w:t>
            </w:r>
          </w:p>
        </w:tc>
        <w:tc>
          <w:tcPr>
            <w:tcW w:w="1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3"/>
                <w:szCs w:val="13"/>
                <w:color w:val="auto"/>
              </w:rPr>
              <w:t>(179,559)</w:t>
            </w:r>
          </w:p>
        </w:tc>
        <w:tc>
          <w:tcPr>
            <w:tcW w:w="10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(179,559)</w:t>
            </w:r>
          </w:p>
        </w:tc>
        <w:tc>
          <w:tcPr>
            <w:tcW w:w="12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(110,062)</w:t>
            </w:r>
          </w:p>
        </w:tc>
        <w:tc>
          <w:tcPr>
            <w:tcW w:w="10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(110,062)</w:t>
            </w:r>
          </w:p>
        </w:tc>
        <w:tc>
          <w:tcPr>
            <w:tcW w:w="0" w:type="dxa"/>
            <w:vAlign w:val="bottom"/>
          </w:tcPr>
          <w:p>
            <w:pPr>
              <w:spacing w:after="0"/>
              <w:rPr>
                <w:sz w:val="1"/>
                <w:szCs w:val="1"/>
                <w:color w:val="auto"/>
              </w:rPr>
            </w:pPr>
          </w:p>
        </w:tc>
      </w:tr>
      <w:tr>
        <w:trPr>
          <w:trHeight w:val="176"/>
        </w:trPr>
        <w:tc>
          <w:tcPr>
            <w:tcW w:w="2060" w:type="dxa"/>
            <w:vAlign w:val="bottom"/>
          </w:tcPr>
          <w:p>
            <w:pPr>
              <w:ind w:left="300"/>
              <w:spacing w:after="0"/>
              <w:rPr>
                <w:sz w:val="20"/>
                <w:szCs w:val="20"/>
                <w:color w:val="auto"/>
              </w:rPr>
            </w:pPr>
            <w:r>
              <w:rPr>
                <w:rFonts w:ascii="Arial" w:cs="Arial" w:eastAsia="Arial" w:hAnsi="Arial"/>
                <w:sz w:val="13"/>
                <w:szCs w:val="13"/>
                <w:color w:val="auto"/>
              </w:rPr>
              <w:t>comprehensive loss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Retained earnings</w:t>
            </w: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2,621,157</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(68,398)</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2,552,759</w:t>
            </w: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2,768,067</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(132,532)</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2,635,535</w:t>
            </w: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2,865,127</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(116,392)</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2,748,735</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Total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9,432,647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(68,398)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9,364,249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9,585,126</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(132,532)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9,452,594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9,774,499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(116,392)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9,658,107</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and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17,048,251,000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16,847,452,000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16,968,861,000</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(197,888)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16,770,973,000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17,211,112,000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(230,962)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16,980,150</w:t>
            </w:r>
          </w:p>
        </w:tc>
        <w:tc>
          <w:tcPr>
            <w:tcW w:w="0" w:type="dxa"/>
            <w:vAlign w:val="bottom"/>
          </w:tcPr>
          <w:p>
            <w:pPr>
              <w:spacing w:after="0"/>
              <w:rPr>
                <w:sz w:val="1"/>
                <w:szCs w:val="1"/>
                <w:color w:val="auto"/>
              </w:rPr>
            </w:pPr>
          </w:p>
        </w:tc>
      </w:tr>
      <w:tr>
        <w:trPr>
          <w:trHeight w:val="136"/>
        </w:trPr>
        <w:tc>
          <w:tcPr>
            <w:tcW w:w="2060" w:type="dxa"/>
            <w:vAlign w:val="bottom"/>
            <w:tcBorders>
              <w:bottom w:val="single" w:sz="8" w:color="auto"/>
            </w:tcBorders>
            <w:shd w:val="clear" w:color="auto" w:fill="CCEEFF"/>
          </w:tcPr>
          <w:p>
            <w:pPr>
              <w:ind w:left="20"/>
              <w:spacing w:after="0" w:line="111" w:lineRule="exact"/>
              <w:rPr>
                <w:sz w:val="20"/>
                <w:szCs w:val="20"/>
                <w:color w:val="auto"/>
              </w:rPr>
            </w:pPr>
            <w:r>
              <w:rPr>
                <w:rFonts w:ascii="Arial" w:cs="Arial" w:eastAsia="Arial" w:hAnsi="Arial"/>
                <w:sz w:val="12"/>
                <w:szCs w:val="12"/>
                <w:color w:val="auto"/>
              </w:rPr>
              <w:t>Equity</w:t>
            </w:r>
          </w:p>
        </w:tc>
        <w:tc>
          <w:tcPr>
            <w:tcW w:w="1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408" w:right="319" w:bottom="1440" w:gutter="0" w:footer="0" w:header="0"/>
        </w:sectPr>
      </w:pPr>
    </w:p>
    <w:bookmarkStart w:id="19" w:name="page20"/>
    <w:bookmarkEnd w:id="19"/>
    <w:p>
      <w:pPr>
        <w:ind w:right="120"/>
        <w:spacing w:after="0" w:line="283" w:lineRule="auto"/>
        <w:rPr>
          <w:sz w:val="20"/>
          <w:szCs w:val="20"/>
          <w:color w:val="auto"/>
        </w:rPr>
      </w:pPr>
      <w:r>
        <w:rPr>
          <w:rFonts w:ascii="Arial" w:cs="Arial" w:eastAsia="Arial" w:hAnsi="Arial"/>
          <w:sz w:val="13"/>
          <w:szCs w:val="13"/>
          <w:color w:val="auto"/>
        </w:rPr>
        <w:t>The following table presents summarized restated unaudited condensed Consolidated Statements of Shareholders’ Equity for three months ended March 31, June 30, and September 30 of 2024.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SHAREHOLDERS' EQUITY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6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Number of</w:t>
            </w:r>
          </w:p>
        </w:tc>
        <w:tc>
          <w:tcPr>
            <w:tcW w:w="2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Ordinary</w:t>
            </w:r>
          </w:p>
        </w:tc>
        <w:tc>
          <w:tcPr>
            <w:tcW w:w="1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Additional</w:t>
            </w:r>
          </w:p>
        </w:tc>
        <w:tc>
          <w:tcPr>
            <w:tcW w:w="14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Other</w:t>
            </w:r>
          </w:p>
        </w:tc>
        <w:tc>
          <w:tcPr>
            <w:tcW w:w="1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Retained</w:t>
            </w: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Total</w:t>
            </w:r>
          </w:p>
        </w:tc>
      </w:tr>
      <w:tr>
        <w:trPr>
          <w:trHeight w:val="133"/>
        </w:trPr>
        <w:tc>
          <w:tcPr>
            <w:tcW w:w="36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Ordinary</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Shares</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Paid-in</w:t>
            </w:r>
          </w:p>
        </w:tc>
        <w:tc>
          <w:tcPr>
            <w:tcW w:w="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Undenominated Comprehensive Loss</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Earnings</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78"/>
        </w:trPr>
        <w:tc>
          <w:tcPr>
            <w:tcW w:w="36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Capital</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Capital</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8"/>
        </w:trPr>
        <w:tc>
          <w:tcPr>
            <w:tcW w:w="3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3"/>
                <w:szCs w:val="13"/>
                <w:b w:val="1"/>
                <w:bCs w:val="1"/>
                <w:color w:val="auto"/>
              </w:rPr>
              <w:t>( in thousands, except share data)</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69"/>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82,495,086</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6,699</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6,942,669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(143,506)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2,404,422</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9,211,446</w:t>
            </w: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Comprehensive income, (net of tax):</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148,337</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148,337</w:t>
            </w:r>
          </w:p>
        </w:tc>
      </w:tr>
      <w:tr>
        <w:trPr>
          <w:trHeight w:val="177"/>
        </w:trPr>
        <w:tc>
          <w:tcPr>
            <w:tcW w:w="368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(32,040)</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(32,040)</w:t>
            </w: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Movement on cash flow hedge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9,084</w:t>
            </w: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(as restated)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125,381</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156,527</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16,293</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16,303</w:t>
            </w:r>
          </w:p>
        </w:tc>
      </w:tr>
      <w:tr>
        <w:trPr>
          <w:trHeight w:val="177"/>
        </w:trPr>
        <w:tc>
          <w:tcPr>
            <w:tcW w:w="3680" w:type="dxa"/>
            <w:vAlign w:val="bottom"/>
          </w:tcPr>
          <w:p>
            <w:pPr>
              <w:ind w:left="20"/>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32,192</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11,121</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11,121</w:t>
            </w:r>
          </w:p>
        </w:tc>
      </w:tr>
      <w:tr>
        <w:trPr>
          <w:trHeight w:val="17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issuance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2024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82,683,805</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6,711</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6,970,079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(166,462)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2,552,759</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9,364,249</w:t>
            </w: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Comprehensive income, (net of tax):</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82,776</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82,776</w:t>
            </w:r>
          </w:p>
        </w:tc>
      </w:tr>
      <w:tr>
        <w:trPr>
          <w:trHeight w:val="177"/>
        </w:trPr>
        <w:tc>
          <w:tcPr>
            <w:tcW w:w="368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(8,985)</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(8,985)</w:t>
            </w: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Movement on cash flow hedge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(4,112)</w:t>
            </w:r>
          </w:p>
        </w:tc>
      </w:tr>
      <w:tr>
        <w:trPr>
          <w:trHeight w:val="169"/>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(as restated)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69,679</w:t>
            </w:r>
          </w:p>
        </w:tc>
      </w:tr>
      <w:tr>
        <w:trPr>
          <w:trHeight w:val="178"/>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45,127</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5,331</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5,334</w:t>
            </w:r>
          </w:p>
        </w:tc>
      </w:tr>
      <w:tr>
        <w:trPr>
          <w:trHeight w:val="177"/>
        </w:trPr>
        <w:tc>
          <w:tcPr>
            <w:tcW w:w="3680" w:type="dxa"/>
            <w:vAlign w:val="bottom"/>
          </w:tcPr>
          <w:p>
            <w:pPr>
              <w:ind w:left="20"/>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87,668</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13,336</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13,336</w:t>
            </w:r>
          </w:p>
        </w:tc>
      </w:tr>
      <w:tr>
        <w:trPr>
          <w:trHeight w:val="17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issuance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r>
      <w:tr>
        <w:trPr>
          <w:trHeight w:val="17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2024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82,816,600</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6,720</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6,988,736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(179,559)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2,635,535</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9,452,594</w:t>
            </w: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Comprehensive income, (net of tax):</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213,268</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213,268</w:t>
            </w:r>
          </w:p>
        </w:tc>
      </w:tr>
      <w:tr>
        <w:trPr>
          <w:trHeight w:val="177"/>
        </w:trPr>
        <w:tc>
          <w:tcPr>
            <w:tcW w:w="368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69,695</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69,695</w:t>
            </w: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Movement on cash flow hedge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r>
      <w:tr>
        <w:trPr>
          <w:trHeight w:val="169"/>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(as restated)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282,765</w:t>
            </w:r>
          </w:p>
        </w:tc>
      </w:tr>
      <w:tr>
        <w:trPr>
          <w:trHeight w:val="178"/>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74,151</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10,729</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10,734</w:t>
            </w:r>
          </w:p>
        </w:tc>
      </w:tr>
      <w:tr>
        <w:trPr>
          <w:trHeight w:val="177"/>
        </w:trPr>
        <w:tc>
          <w:tcPr>
            <w:tcW w:w="3680" w:type="dxa"/>
            <w:vAlign w:val="bottom"/>
          </w:tcPr>
          <w:p>
            <w:pPr>
              <w:ind w:left="20"/>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5,685</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12,085</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12,085</w:t>
            </w:r>
          </w:p>
        </w:tc>
      </w:tr>
      <w:tr>
        <w:trPr>
          <w:trHeight w:val="177"/>
        </w:trPr>
        <w:tc>
          <w:tcPr>
            <w:tcW w:w="3680" w:type="dxa"/>
            <w:vAlign w:val="bottom"/>
          </w:tcPr>
          <w:p>
            <w:pPr>
              <w:ind w:left="20"/>
              <w:spacing w:after="0"/>
              <w:rPr>
                <w:sz w:val="20"/>
                <w:szCs w:val="20"/>
                <w:color w:val="auto"/>
              </w:rPr>
            </w:pPr>
            <w:r>
              <w:rPr>
                <w:rFonts w:ascii="Arial" w:cs="Arial" w:eastAsia="Arial" w:hAnsi="Arial"/>
                <w:sz w:val="13"/>
                <w:szCs w:val="13"/>
                <w:color w:val="auto"/>
              </w:rPr>
              <w:t>Share issuance costs</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ordinary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(337,070)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r>
      <w:tr>
        <w:trPr>
          <w:trHeight w:val="17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repurchase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r>
      <w:tr>
        <w:trPr>
          <w:trHeight w:val="195"/>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2024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82,559,366</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6,703</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7,011,547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(110,062)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2,748,735</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9,658,107</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00"/>
          </w:cols>
          <w:pgMar w:left="300" w:top="396" w:right="399" w:bottom="1440" w:gutter="0" w:footer="0" w:header="0"/>
        </w:sectPr>
      </w:pPr>
    </w:p>
    <w:bookmarkStart w:id="20" w:name="page21"/>
    <w:bookmarkEnd w:id="20"/>
    <w:p>
      <w:pPr>
        <w:ind w:right="520" w:firstLine="533"/>
        <w:spacing w:after="0" w:line="290" w:lineRule="auto"/>
        <w:rPr>
          <w:sz w:val="20"/>
          <w:szCs w:val="20"/>
          <w:color w:val="auto"/>
        </w:rPr>
      </w:pPr>
      <w:r>
        <w:rPr>
          <w:rFonts w:ascii="Arial" w:cs="Arial" w:eastAsia="Arial" w:hAnsi="Arial"/>
          <w:sz w:val="13"/>
          <w:szCs w:val="13"/>
          <w:color w:val="auto"/>
        </w:rPr>
        <w:t>The following table presents summarized restated unaudited condensed Consolidated Statements of Cash Flows, including the balances originally reported in the Company's unaudited condensed consolidated financial statements for each of the year to date periods ended March 31, June 30, and September 30 of 2024.</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CONDENSED CONSOLIDATED STATEMENTS OF CASH FLOWS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0" w:type="dxa"/>
            <w:vAlign w:val="bottom"/>
            <w:tcBorders>
              <w:top w:val="single" w:sz="8" w:color="auto"/>
              <w:bottom w:val="single" w:sz="8" w:color="auto"/>
            </w:tcBorders>
            <w:shd w:val="clear" w:color="auto" w:fill="CCEEFF"/>
          </w:tcPr>
          <w:p>
            <w:pPr>
              <w:spacing w:after="0"/>
              <w:rPr>
                <w:sz w:val="14"/>
                <w:szCs w:val="14"/>
                <w:color w:val="auto"/>
              </w:rPr>
            </w:pPr>
          </w:p>
        </w:tc>
        <w:tc>
          <w:tcPr>
            <w:tcW w:w="20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1980" w:type="dxa"/>
            <w:vAlign w:val="bottom"/>
            <w:tcBorders>
              <w:top w:val="single" w:sz="8" w:color="auto"/>
              <w:bottom w:val="single" w:sz="8" w:color="auto"/>
            </w:tcBorders>
            <w:gridSpan w:val="4"/>
            <w:shd w:val="clear" w:color="auto" w:fill="CCEEFF"/>
          </w:tcPr>
          <w:p>
            <w:pPr>
              <w:jc w:val="center"/>
              <w:ind w:left="613"/>
              <w:spacing w:after="0"/>
              <w:rPr>
                <w:sz w:val="20"/>
                <w:szCs w:val="20"/>
                <w:color w:val="auto"/>
              </w:rPr>
            </w:pPr>
            <w:r>
              <w:rPr>
                <w:rFonts w:ascii="Arial" w:cs="Arial" w:eastAsia="Arial" w:hAnsi="Arial"/>
                <w:sz w:val="13"/>
                <w:szCs w:val="13"/>
                <w:b w:val="1"/>
                <w:bCs w:val="1"/>
                <w:color w:val="auto"/>
              </w:rPr>
              <w:t>Six Months Ended</w:t>
            </w: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2020" w:type="dxa"/>
            <w:vAlign w:val="bottom"/>
            <w:tcBorders>
              <w:top w:val="single" w:sz="8" w:color="auto"/>
              <w:bottom w:val="single" w:sz="8" w:color="auto"/>
            </w:tcBorders>
            <w:gridSpan w:val="4"/>
            <w:shd w:val="clear" w:color="auto" w:fill="CCEEFF"/>
          </w:tcPr>
          <w:p>
            <w:pPr>
              <w:ind w:left="72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March 31, 2024</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June 30, 2024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720"/>
              <w:spacing w:after="0"/>
              <w:rPr>
                <w:sz w:val="20"/>
                <w:szCs w:val="20"/>
                <w:color w:val="auto"/>
              </w:rPr>
            </w:pPr>
            <w:r>
              <w:rPr>
                <w:rFonts w:ascii="Arial" w:cs="Arial" w:eastAsia="Arial" w:hAnsi="Arial"/>
                <w:sz w:val="13"/>
                <w:szCs w:val="13"/>
                <w:b w:val="1"/>
                <w:bCs w:val="1"/>
                <w:color w:val="auto"/>
              </w:rPr>
              <w:t>September 30, 2024</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40" w:type="dxa"/>
            <w:vAlign w:val="bottom"/>
          </w:tcPr>
          <w:p>
            <w:pPr>
              <w:spacing w:after="0"/>
              <w:rPr>
                <w:sz w:val="14"/>
                <w:szCs w:val="14"/>
                <w:color w:val="auto"/>
              </w:rPr>
            </w:pPr>
          </w:p>
        </w:tc>
      </w:tr>
      <w:tr>
        <w:trPr>
          <w:trHeight w:val="169"/>
        </w:trPr>
        <w:tc>
          <w:tcPr>
            <w:tcW w:w="3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provided by operating activities: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jc w:val="right"/>
              <w:spacing w:after="0"/>
              <w:rPr>
                <w:sz w:val="20"/>
                <w:szCs w:val="20"/>
                <w:color w:val="auto"/>
              </w:rPr>
            </w:pPr>
            <w:r>
              <w:rPr>
                <w:rFonts w:ascii="Arial" w:cs="Arial" w:eastAsia="Arial" w:hAnsi="Arial"/>
                <w:sz w:val="13"/>
                <w:szCs w:val="13"/>
                <w:color w:val="auto"/>
              </w:rPr>
              <w:t>$   187,438</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(39,101)</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148,337</w:t>
            </w:r>
          </w:p>
        </w:tc>
        <w:tc>
          <w:tcPr>
            <w:tcW w:w="860" w:type="dxa"/>
            <w:vAlign w:val="bottom"/>
          </w:tcPr>
          <w:p>
            <w:pPr>
              <w:jc w:val="right"/>
              <w:spacing w:after="0"/>
              <w:rPr>
                <w:sz w:val="20"/>
                <w:szCs w:val="20"/>
                <w:color w:val="auto"/>
              </w:rPr>
            </w:pPr>
            <w:r>
              <w:rPr>
                <w:rFonts w:ascii="Arial" w:cs="Arial" w:eastAsia="Arial" w:hAnsi="Arial"/>
                <w:sz w:val="13"/>
                <w:szCs w:val="13"/>
                <w:color w:val="auto"/>
              </w:rPr>
              <w:t>$   334,348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(103,235)</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231,113</w:t>
            </w:r>
          </w:p>
        </w:tc>
        <w:tc>
          <w:tcPr>
            <w:tcW w:w="880" w:type="dxa"/>
            <w:vAlign w:val="bottom"/>
          </w:tcPr>
          <w:p>
            <w:pPr>
              <w:jc w:val="right"/>
              <w:spacing w:after="0"/>
              <w:rPr>
                <w:sz w:val="20"/>
                <w:szCs w:val="20"/>
                <w:color w:val="auto"/>
              </w:rPr>
            </w:pPr>
            <w:r>
              <w:rPr>
                <w:rFonts w:ascii="Arial" w:cs="Arial" w:eastAsia="Arial" w:hAnsi="Arial"/>
                <w:sz w:val="13"/>
                <w:szCs w:val="13"/>
                <w:color w:val="auto"/>
              </w:rPr>
              <w:t>$   531,476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(87,095)</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444,381</w:t>
            </w:r>
          </w:p>
        </w:tc>
        <w:tc>
          <w:tcPr>
            <w:tcW w:w="40" w:type="dxa"/>
            <w:vAlign w:val="bottom"/>
          </w:tcPr>
          <w:p>
            <w:pPr>
              <w:spacing w:after="0"/>
              <w:rPr>
                <w:sz w:val="15"/>
                <w:szCs w:val="15"/>
                <w:color w:val="auto"/>
              </w:rPr>
            </w:pPr>
          </w:p>
        </w:tc>
      </w:tr>
      <w:tr>
        <w:trPr>
          <w:trHeight w:val="179"/>
        </w:trPr>
        <w:tc>
          <w:tcPr>
            <w:tcW w:w="3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34"/>
        </w:trPr>
        <w:tc>
          <w:tcPr>
            <w:tcW w:w="3200" w:type="dxa"/>
            <w:vAlign w:val="bottom"/>
          </w:tcPr>
          <w:p>
            <w:pPr>
              <w:ind w:left="120"/>
              <w:spacing w:after="0" w:line="134" w:lineRule="exact"/>
              <w:rPr>
                <w:sz w:val="20"/>
                <w:szCs w:val="20"/>
                <w:color w:val="auto"/>
              </w:rPr>
            </w:pPr>
            <w:r>
              <w:rPr>
                <w:rFonts w:ascii="Arial" w:cs="Arial" w:eastAsia="Arial" w:hAnsi="Arial"/>
                <w:sz w:val="13"/>
                <w:szCs w:val="13"/>
                <w:color w:val="auto"/>
              </w:rPr>
              <w:t>Adjustments to reconcile net income to net cash</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3200" w:type="dxa"/>
            <w:vAlign w:val="bottom"/>
          </w:tcPr>
          <w:p>
            <w:pPr>
              <w:ind w:left="120"/>
              <w:spacing w:after="0"/>
              <w:rPr>
                <w:sz w:val="20"/>
                <w:szCs w:val="20"/>
                <w:color w:val="auto"/>
              </w:rPr>
            </w:pPr>
            <w:r>
              <w:rPr>
                <w:rFonts w:ascii="Arial" w:cs="Arial" w:eastAsia="Arial" w:hAnsi="Arial"/>
                <w:sz w:val="13"/>
                <w:szCs w:val="13"/>
                <w:color w:val="auto"/>
              </w:rPr>
              <w:t>provided by operating activities: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9"/>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Depreciation and amortization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149,181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149,181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298,816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298,816</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391,845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391,845</w:t>
            </w:r>
          </w:p>
        </w:tc>
        <w:tc>
          <w:tcPr>
            <w:tcW w:w="40" w:type="dxa"/>
            <w:vAlign w:val="bottom"/>
          </w:tcPr>
          <w:p>
            <w:pPr>
              <w:spacing w:after="0"/>
              <w:rPr>
                <w:sz w:val="15"/>
                <w:szCs w:val="15"/>
                <w:color w:val="auto"/>
              </w:rPr>
            </w:pPr>
          </w:p>
        </w:tc>
      </w:tr>
      <w:tr>
        <w:trPr>
          <w:trHeight w:val="134"/>
        </w:trPr>
        <w:tc>
          <w:tcPr>
            <w:tcW w:w="3200" w:type="dxa"/>
            <w:vAlign w:val="bottom"/>
          </w:tcPr>
          <w:p>
            <w:pPr>
              <w:ind w:left="200"/>
              <w:spacing w:after="0" w:line="134" w:lineRule="exact"/>
              <w:rPr>
                <w:sz w:val="20"/>
                <w:szCs w:val="20"/>
                <w:color w:val="auto"/>
              </w:rPr>
            </w:pPr>
            <w:r>
              <w:rPr>
                <w:rFonts w:ascii="Arial" w:cs="Arial" w:eastAsia="Arial" w:hAnsi="Arial"/>
                <w:sz w:val="13"/>
                <w:szCs w:val="13"/>
                <w:color w:val="auto"/>
              </w:rPr>
              <w:t>Impairment of operating right-of-use assets and</w:t>
            </w: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40" w:type="dxa"/>
            <w:vAlign w:val="bottom"/>
          </w:tcPr>
          <w:p>
            <w:pPr>
              <w:jc w:val="right"/>
              <w:ind w:right="33"/>
              <w:spacing w:after="0" w:line="134"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12,559</w:t>
            </w:r>
          </w:p>
        </w:tc>
        <w:tc>
          <w:tcPr>
            <w:tcW w:w="10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80" w:type="dxa"/>
            <w:vAlign w:val="bottom"/>
          </w:tcPr>
          <w:p>
            <w:pPr>
              <w:jc w:val="right"/>
              <w:ind w:right="13"/>
              <w:spacing w:after="0" w:line="134" w:lineRule="exact"/>
              <w:rPr>
                <w:sz w:val="20"/>
                <w:szCs w:val="20"/>
                <w:color w:val="auto"/>
              </w:rPr>
            </w:pPr>
            <w:r>
              <w:rPr>
                <w:rFonts w:ascii="Arial" w:cs="Arial" w:eastAsia="Arial" w:hAnsi="Arial"/>
                <w:sz w:val="13"/>
                <w:szCs w:val="13"/>
                <w:color w:val="auto"/>
              </w:rPr>
              <w:t>12,559</w:t>
            </w:r>
          </w:p>
        </w:tc>
        <w:tc>
          <w:tcPr>
            <w:tcW w:w="880" w:type="dxa"/>
            <w:vAlign w:val="bottom"/>
          </w:tcPr>
          <w:p>
            <w:pPr>
              <w:jc w:val="right"/>
              <w:spacing w:after="0" w:line="134" w:lineRule="exact"/>
              <w:rPr>
                <w:sz w:val="20"/>
                <w:szCs w:val="20"/>
                <w:color w:val="auto"/>
              </w:rPr>
            </w:pPr>
            <w:r>
              <w:rPr>
                <w:rFonts w:ascii="Arial" w:cs="Arial" w:eastAsia="Arial" w:hAnsi="Arial"/>
                <w:sz w:val="13"/>
                <w:szCs w:val="13"/>
                <w:color w:val="auto"/>
              </w:rPr>
              <w:t>12,559</w:t>
            </w:r>
          </w:p>
        </w:tc>
        <w:tc>
          <w:tcPr>
            <w:tcW w:w="10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12,559</w:t>
            </w:r>
          </w:p>
        </w:tc>
        <w:tc>
          <w:tcPr>
            <w:tcW w:w="40" w:type="dxa"/>
            <w:vAlign w:val="bottom"/>
          </w:tcPr>
          <w:p>
            <w:pPr>
              <w:spacing w:after="0"/>
              <w:rPr>
                <w:sz w:val="11"/>
                <w:szCs w:val="11"/>
                <w:color w:val="auto"/>
              </w:rPr>
            </w:pPr>
          </w:p>
        </w:tc>
      </w:tr>
      <w:tr>
        <w:trPr>
          <w:trHeight w:val="176"/>
        </w:trPr>
        <w:tc>
          <w:tcPr>
            <w:tcW w:w="3200" w:type="dxa"/>
            <w:vAlign w:val="bottom"/>
          </w:tcPr>
          <w:p>
            <w:pPr>
              <w:ind w:left="200"/>
              <w:spacing w:after="0"/>
              <w:rPr>
                <w:sz w:val="20"/>
                <w:szCs w:val="20"/>
                <w:color w:val="auto"/>
              </w:rPr>
            </w:pPr>
            <w:r>
              <w:rPr>
                <w:rFonts w:ascii="Arial" w:cs="Arial" w:eastAsia="Arial" w:hAnsi="Arial"/>
                <w:sz w:val="13"/>
                <w:szCs w:val="13"/>
                <w:color w:val="auto"/>
              </w:rPr>
              <w:t>related property, plant and equipment</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35"/>
        </w:trPr>
        <w:tc>
          <w:tcPr>
            <w:tcW w:w="3200" w:type="dxa"/>
            <w:vAlign w:val="bottom"/>
            <w:shd w:val="clear" w:color="auto" w:fill="CCEEFF"/>
          </w:tcPr>
          <w:p>
            <w:pPr>
              <w:ind w:left="200"/>
              <w:spacing w:after="0" w:line="136" w:lineRule="exact"/>
              <w:rPr>
                <w:sz w:val="20"/>
                <w:szCs w:val="20"/>
                <w:color w:val="auto"/>
              </w:rPr>
            </w:pPr>
            <w:r>
              <w:rPr>
                <w:rFonts w:ascii="Arial" w:cs="Arial" w:eastAsia="Arial" w:hAnsi="Arial"/>
                <w:sz w:val="13"/>
                <w:szCs w:val="13"/>
                <w:color w:val="auto"/>
              </w:rPr>
              <w:t>Reduction in carrying value of operating right-of-</w:t>
            </w:r>
          </w:p>
        </w:tc>
        <w:tc>
          <w:tcPr>
            <w:tcW w:w="9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11,472</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11,472</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19,367</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19,367</w:t>
            </w: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29,820</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29,820</w:t>
            </w:r>
          </w:p>
        </w:tc>
        <w:tc>
          <w:tcPr>
            <w:tcW w:w="40" w:type="dxa"/>
            <w:vAlign w:val="bottom"/>
          </w:tcPr>
          <w:p>
            <w:pPr>
              <w:spacing w:after="0"/>
              <w:rPr>
                <w:sz w:val="11"/>
                <w:szCs w:val="11"/>
                <w:color w:val="auto"/>
              </w:rPr>
            </w:pPr>
          </w:p>
        </w:tc>
      </w:tr>
      <w:tr>
        <w:trPr>
          <w:trHeight w:val="177"/>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use assets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200" w:type="dxa"/>
            <w:vAlign w:val="bottom"/>
          </w:tcPr>
          <w:p>
            <w:pPr>
              <w:ind w:left="200"/>
              <w:spacing w:after="0"/>
              <w:rPr>
                <w:sz w:val="20"/>
                <w:szCs w:val="20"/>
                <w:color w:val="auto"/>
              </w:rPr>
            </w:pPr>
            <w:r>
              <w:rPr>
                <w:rFonts w:ascii="Arial" w:cs="Arial" w:eastAsia="Arial" w:hAnsi="Arial"/>
                <w:sz w:val="13"/>
                <w:szCs w:val="13"/>
                <w:color w:val="auto"/>
              </w:rPr>
              <w:t>Amortization of financing costs and debt discount</w:t>
            </w:r>
          </w:p>
        </w:tc>
        <w:tc>
          <w:tcPr>
            <w:tcW w:w="900" w:type="dxa"/>
            <w:vAlign w:val="bottom"/>
          </w:tcPr>
          <w:p>
            <w:pPr>
              <w:jc w:val="right"/>
              <w:spacing w:after="0"/>
              <w:rPr>
                <w:sz w:val="20"/>
                <w:szCs w:val="20"/>
                <w:color w:val="auto"/>
              </w:rPr>
            </w:pPr>
            <w:r>
              <w:rPr>
                <w:rFonts w:ascii="Arial" w:cs="Arial" w:eastAsia="Arial" w:hAnsi="Arial"/>
                <w:sz w:val="13"/>
                <w:szCs w:val="13"/>
                <w:color w:val="auto"/>
              </w:rPr>
              <w:t>3,907</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3,907</w:t>
            </w:r>
          </w:p>
        </w:tc>
        <w:tc>
          <w:tcPr>
            <w:tcW w:w="860" w:type="dxa"/>
            <w:vAlign w:val="bottom"/>
          </w:tcPr>
          <w:p>
            <w:pPr>
              <w:jc w:val="right"/>
              <w:spacing w:after="0"/>
              <w:rPr>
                <w:sz w:val="20"/>
                <w:szCs w:val="20"/>
                <w:color w:val="auto"/>
              </w:rPr>
            </w:pPr>
            <w:r>
              <w:rPr>
                <w:rFonts w:ascii="Arial" w:cs="Arial" w:eastAsia="Arial" w:hAnsi="Arial"/>
                <w:sz w:val="13"/>
                <w:szCs w:val="13"/>
                <w:color w:val="auto"/>
              </w:rPr>
              <w:t>20,604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20,604</w:t>
            </w:r>
          </w:p>
        </w:tc>
        <w:tc>
          <w:tcPr>
            <w:tcW w:w="880" w:type="dxa"/>
            <w:vAlign w:val="bottom"/>
          </w:tcPr>
          <w:p>
            <w:pPr>
              <w:jc w:val="right"/>
              <w:spacing w:after="0"/>
              <w:rPr>
                <w:sz w:val="20"/>
                <w:szCs w:val="20"/>
                <w:color w:val="auto"/>
              </w:rPr>
            </w:pPr>
            <w:r>
              <w:rPr>
                <w:rFonts w:ascii="Arial" w:cs="Arial" w:eastAsia="Arial" w:hAnsi="Arial"/>
                <w:sz w:val="13"/>
                <w:szCs w:val="13"/>
                <w:color w:val="auto"/>
              </w:rPr>
              <w:t>22,066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22,066</w:t>
            </w:r>
          </w:p>
        </w:tc>
        <w:tc>
          <w:tcPr>
            <w:tcW w:w="40" w:type="dxa"/>
            <w:vAlign w:val="bottom"/>
          </w:tcPr>
          <w:p>
            <w:pPr>
              <w:spacing w:after="0"/>
              <w:rPr>
                <w:sz w:val="15"/>
                <w:szCs w:val="15"/>
                <w:color w:val="auto"/>
              </w:rPr>
            </w:pPr>
          </w:p>
        </w:tc>
      </w:tr>
      <w:tr>
        <w:trPr>
          <w:trHeight w:val="179"/>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 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13,181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28,145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28,145</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41,183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41,183</w:t>
            </w:r>
          </w:p>
        </w:tc>
        <w:tc>
          <w:tcPr>
            <w:tcW w:w="40" w:type="dxa"/>
            <w:vAlign w:val="bottom"/>
          </w:tcPr>
          <w:p>
            <w:pPr>
              <w:spacing w:after="0"/>
              <w:rPr>
                <w:sz w:val="15"/>
                <w:szCs w:val="15"/>
                <w:color w:val="auto"/>
              </w:rPr>
            </w:pPr>
          </w:p>
        </w:tc>
      </w:tr>
      <w:tr>
        <w:trPr>
          <w:trHeight w:val="177"/>
        </w:trPr>
        <w:tc>
          <w:tcPr>
            <w:tcW w:w="3200" w:type="dxa"/>
            <w:vAlign w:val="bottom"/>
          </w:tcPr>
          <w:p>
            <w:pPr>
              <w:ind w:left="200"/>
              <w:spacing w:after="0"/>
              <w:rPr>
                <w:sz w:val="20"/>
                <w:szCs w:val="20"/>
                <w:color w:val="auto"/>
              </w:rPr>
            </w:pPr>
            <w:r>
              <w:rPr>
                <w:rFonts w:ascii="Arial" w:cs="Arial" w:eastAsia="Arial" w:hAnsi="Arial"/>
                <w:sz w:val="13"/>
                <w:szCs w:val="13"/>
                <w:color w:val="auto"/>
              </w:rPr>
              <w:t>Deferred tax benefit</w:t>
            </w:r>
          </w:p>
        </w:tc>
        <w:tc>
          <w:tcPr>
            <w:tcW w:w="900" w:type="dxa"/>
            <w:vAlign w:val="bottom"/>
          </w:tcPr>
          <w:p>
            <w:pPr>
              <w:jc w:val="right"/>
              <w:spacing w:after="0"/>
              <w:rPr>
                <w:sz w:val="20"/>
                <w:szCs w:val="20"/>
                <w:color w:val="auto"/>
              </w:rPr>
            </w:pPr>
            <w:r>
              <w:rPr>
                <w:rFonts w:ascii="Arial" w:cs="Arial" w:eastAsia="Arial" w:hAnsi="Arial"/>
                <w:sz w:val="13"/>
                <w:szCs w:val="13"/>
                <w:color w:val="auto"/>
              </w:rPr>
              <w:t>(35,145)</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388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(34,757)</w:t>
            </w:r>
          </w:p>
        </w:tc>
        <w:tc>
          <w:tcPr>
            <w:tcW w:w="860" w:type="dxa"/>
            <w:vAlign w:val="bottom"/>
          </w:tcPr>
          <w:p>
            <w:pPr>
              <w:jc w:val="right"/>
              <w:spacing w:after="0"/>
              <w:rPr>
                <w:sz w:val="20"/>
                <w:szCs w:val="20"/>
                <w:color w:val="auto"/>
              </w:rPr>
            </w:pPr>
            <w:r>
              <w:rPr>
                <w:rFonts w:ascii="Arial" w:cs="Arial" w:eastAsia="Arial" w:hAnsi="Arial"/>
                <w:sz w:val="13"/>
                <w:szCs w:val="13"/>
                <w:color w:val="auto"/>
              </w:rPr>
              <w:t>(61,239)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1,030</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(60,209)</w:t>
            </w:r>
          </w:p>
        </w:tc>
        <w:tc>
          <w:tcPr>
            <w:tcW w:w="880" w:type="dxa"/>
            <w:vAlign w:val="bottom"/>
          </w:tcPr>
          <w:p>
            <w:pPr>
              <w:jc w:val="right"/>
              <w:spacing w:after="0"/>
              <w:rPr>
                <w:sz w:val="20"/>
                <w:szCs w:val="20"/>
                <w:color w:val="auto"/>
              </w:rPr>
            </w:pPr>
            <w:r>
              <w:rPr>
                <w:rFonts w:ascii="Arial" w:cs="Arial" w:eastAsia="Arial" w:hAnsi="Arial"/>
                <w:sz w:val="13"/>
                <w:szCs w:val="13"/>
                <w:color w:val="auto"/>
              </w:rPr>
              <w:t>(86,579)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933</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(85,646)</w:t>
            </w:r>
          </w:p>
        </w:tc>
        <w:tc>
          <w:tcPr>
            <w:tcW w:w="40" w:type="dxa"/>
            <w:vAlign w:val="bottom"/>
          </w:tcPr>
          <w:p>
            <w:pPr>
              <w:spacing w:after="0"/>
              <w:rPr>
                <w:sz w:val="15"/>
                <w:szCs w:val="15"/>
                <w:color w:val="auto"/>
              </w:rPr>
            </w:pPr>
          </w:p>
        </w:tc>
      </w:tr>
      <w:tr>
        <w:trPr>
          <w:trHeight w:val="179"/>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foreign exchange movements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13,761</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34,018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34,018</w:t>
            </w:r>
          </w:p>
        </w:tc>
        <w:tc>
          <w:tcPr>
            <w:tcW w:w="40" w:type="dxa"/>
            <w:vAlign w:val="bottom"/>
          </w:tcPr>
          <w:p>
            <w:pPr>
              <w:spacing w:after="0"/>
              <w:rPr>
                <w:sz w:val="15"/>
                <w:szCs w:val="15"/>
                <w:color w:val="auto"/>
              </w:rPr>
            </w:pPr>
          </w:p>
        </w:tc>
      </w:tr>
      <w:tr>
        <w:trPr>
          <w:trHeight w:val="177"/>
        </w:trPr>
        <w:tc>
          <w:tcPr>
            <w:tcW w:w="3200" w:type="dxa"/>
            <w:vAlign w:val="bottom"/>
          </w:tcPr>
          <w:p>
            <w:pPr>
              <w:ind w:left="200"/>
              <w:spacing w:after="0"/>
              <w:rPr>
                <w:sz w:val="20"/>
                <w:szCs w:val="20"/>
                <w:color w:val="auto"/>
              </w:rPr>
            </w:pPr>
            <w:r>
              <w:rPr>
                <w:rFonts w:ascii="Arial" w:cs="Arial" w:eastAsia="Arial" w:hAnsi="Arial"/>
                <w:sz w:val="13"/>
                <w:szCs w:val="13"/>
                <w:color w:val="auto"/>
              </w:rPr>
              <w:t>Other non-cash items</w:t>
            </w:r>
          </w:p>
        </w:tc>
        <w:tc>
          <w:tcPr>
            <w:tcW w:w="900" w:type="dxa"/>
            <w:vAlign w:val="bottom"/>
          </w:tcPr>
          <w:p>
            <w:pPr>
              <w:jc w:val="right"/>
              <w:spacing w:after="0"/>
              <w:rPr>
                <w:sz w:val="20"/>
                <w:szCs w:val="20"/>
                <w:color w:val="auto"/>
              </w:rPr>
            </w:pPr>
            <w:r>
              <w:rPr>
                <w:rFonts w:ascii="Arial" w:cs="Arial" w:eastAsia="Arial" w:hAnsi="Arial"/>
                <w:sz w:val="13"/>
                <w:szCs w:val="13"/>
                <w:color w:val="auto"/>
              </w:rPr>
              <w:t>4,629</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4,629</w:t>
            </w:r>
          </w:p>
        </w:tc>
        <w:tc>
          <w:tcPr>
            <w:tcW w:w="860" w:type="dxa"/>
            <w:vAlign w:val="bottom"/>
          </w:tcPr>
          <w:p>
            <w:pPr>
              <w:jc w:val="right"/>
              <w:spacing w:after="0"/>
              <w:rPr>
                <w:sz w:val="20"/>
                <w:szCs w:val="20"/>
                <w:color w:val="auto"/>
              </w:rPr>
            </w:pPr>
            <w:r>
              <w:rPr>
                <w:rFonts w:ascii="Arial" w:cs="Arial" w:eastAsia="Arial" w:hAnsi="Arial"/>
                <w:sz w:val="13"/>
                <w:szCs w:val="13"/>
                <w:color w:val="auto"/>
              </w:rPr>
              <w:t>12,463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12,463</w:t>
            </w:r>
          </w:p>
        </w:tc>
        <w:tc>
          <w:tcPr>
            <w:tcW w:w="880" w:type="dxa"/>
            <w:vAlign w:val="bottom"/>
          </w:tcPr>
          <w:p>
            <w:pPr>
              <w:jc w:val="right"/>
              <w:spacing w:after="0"/>
              <w:rPr>
                <w:sz w:val="20"/>
                <w:szCs w:val="20"/>
                <w:color w:val="auto"/>
              </w:rPr>
            </w:pPr>
            <w:r>
              <w:rPr>
                <w:rFonts w:ascii="Arial" w:cs="Arial" w:eastAsia="Arial" w:hAnsi="Arial"/>
                <w:sz w:val="13"/>
                <w:szCs w:val="13"/>
                <w:color w:val="auto"/>
              </w:rPr>
              <w:t>26,828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26,828</w:t>
            </w:r>
          </w:p>
        </w:tc>
        <w:tc>
          <w:tcPr>
            <w:tcW w:w="40" w:type="dxa"/>
            <w:vAlign w:val="bottom"/>
          </w:tcPr>
          <w:p>
            <w:pPr>
              <w:spacing w:after="0"/>
              <w:rPr>
                <w:sz w:val="15"/>
                <w:szCs w:val="15"/>
                <w:color w:val="auto"/>
              </w:rPr>
            </w:pPr>
          </w:p>
        </w:tc>
      </w:tr>
      <w:tr>
        <w:trPr>
          <w:trHeight w:val="179"/>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20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900" w:type="dxa"/>
            <w:vAlign w:val="bottom"/>
          </w:tcPr>
          <w:p>
            <w:pPr>
              <w:jc w:val="right"/>
              <w:spacing w:after="0"/>
              <w:rPr>
                <w:sz w:val="20"/>
                <w:szCs w:val="20"/>
                <w:color w:val="auto"/>
              </w:rPr>
            </w:pPr>
            <w:r>
              <w:rPr>
                <w:rFonts w:ascii="Arial" w:cs="Arial" w:eastAsia="Arial" w:hAnsi="Arial"/>
                <w:sz w:val="13"/>
                <w:szCs w:val="13"/>
                <w:color w:val="auto"/>
              </w:rPr>
              <w:t>(80,431)</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134,031</w:t>
            </w:r>
          </w:p>
        </w:tc>
        <w:tc>
          <w:tcPr>
            <w:tcW w:w="22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53,600</w:t>
            </w:r>
          </w:p>
        </w:tc>
        <w:tc>
          <w:tcPr>
            <w:tcW w:w="860" w:type="dxa"/>
            <w:vAlign w:val="bottom"/>
          </w:tcPr>
          <w:p>
            <w:pPr>
              <w:jc w:val="right"/>
              <w:spacing w:after="0"/>
              <w:rPr>
                <w:sz w:val="20"/>
                <w:szCs w:val="20"/>
                <w:color w:val="auto"/>
              </w:rPr>
            </w:pPr>
            <w:r>
              <w:rPr>
                <w:rFonts w:ascii="Arial" w:cs="Arial" w:eastAsia="Arial" w:hAnsi="Arial"/>
                <w:sz w:val="13"/>
                <w:szCs w:val="13"/>
                <w:color w:val="auto"/>
              </w:rPr>
              <w:t>198,749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(24,928)</w:t>
            </w:r>
          </w:p>
        </w:tc>
        <w:tc>
          <w:tcPr>
            <w:tcW w:w="1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173,821</w:t>
            </w:r>
          </w:p>
        </w:tc>
        <w:tc>
          <w:tcPr>
            <w:tcW w:w="880" w:type="dxa"/>
            <w:vAlign w:val="bottom"/>
          </w:tcPr>
          <w:p>
            <w:pPr>
              <w:jc w:val="right"/>
              <w:spacing w:after="0"/>
              <w:rPr>
                <w:sz w:val="20"/>
                <w:szCs w:val="20"/>
                <w:color w:val="auto"/>
              </w:rPr>
            </w:pPr>
            <w:r>
              <w:rPr>
                <w:rFonts w:ascii="Arial" w:cs="Arial" w:eastAsia="Arial" w:hAnsi="Arial"/>
                <w:sz w:val="13"/>
                <w:szCs w:val="13"/>
                <w:color w:val="auto"/>
              </w:rPr>
              <w:t>352,795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(25,918)</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326,877</w:t>
            </w:r>
          </w:p>
        </w:tc>
        <w:tc>
          <w:tcPr>
            <w:tcW w:w="40" w:type="dxa"/>
            <w:vAlign w:val="bottom"/>
          </w:tcPr>
          <w:p>
            <w:pPr>
              <w:spacing w:after="0"/>
              <w:rPr>
                <w:sz w:val="15"/>
                <w:szCs w:val="15"/>
                <w:color w:val="auto"/>
              </w:rPr>
            </w:pPr>
          </w:p>
        </w:tc>
      </w:tr>
      <w:tr>
        <w:trPr>
          <w:trHeight w:val="179"/>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Unbilled revenue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(42,546)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(54,781)</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(97,327)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(287,183)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111,074</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(176,109)</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(423,533)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143,983</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(279,550)</w:t>
            </w:r>
          </w:p>
        </w:tc>
        <w:tc>
          <w:tcPr>
            <w:tcW w:w="40" w:type="dxa"/>
            <w:vAlign w:val="bottom"/>
          </w:tcPr>
          <w:p>
            <w:pPr>
              <w:spacing w:after="0"/>
              <w:rPr>
                <w:sz w:val="15"/>
                <w:szCs w:val="15"/>
                <w:color w:val="auto"/>
              </w:rPr>
            </w:pPr>
          </w:p>
        </w:tc>
      </w:tr>
      <w:tr>
        <w:trPr>
          <w:trHeight w:val="177"/>
        </w:trPr>
        <w:tc>
          <w:tcPr>
            <w:tcW w:w="3200" w:type="dxa"/>
            <w:vAlign w:val="bottom"/>
          </w:tcPr>
          <w:p>
            <w:pPr>
              <w:ind w:left="200"/>
              <w:spacing w:after="0"/>
              <w:rPr>
                <w:sz w:val="20"/>
                <w:szCs w:val="20"/>
                <w:color w:val="auto"/>
              </w:rPr>
            </w:pPr>
            <w:r>
              <w:rPr>
                <w:rFonts w:ascii="Arial" w:cs="Arial" w:eastAsia="Arial" w:hAnsi="Arial"/>
                <w:sz w:val="13"/>
                <w:szCs w:val="13"/>
                <w:color w:val="auto"/>
              </w:rPr>
              <w:t>Unearned revenue</w:t>
            </w:r>
          </w:p>
        </w:tc>
        <w:tc>
          <w:tcPr>
            <w:tcW w:w="900" w:type="dxa"/>
            <w:vAlign w:val="bottom"/>
          </w:tcPr>
          <w:p>
            <w:pPr>
              <w:jc w:val="right"/>
              <w:spacing w:after="0"/>
              <w:rPr>
                <w:sz w:val="20"/>
                <w:szCs w:val="20"/>
                <w:color w:val="auto"/>
              </w:rPr>
            </w:pPr>
            <w:r>
              <w:rPr>
                <w:rFonts w:ascii="Arial" w:cs="Arial" w:eastAsia="Arial" w:hAnsi="Arial"/>
                <w:sz w:val="13"/>
                <w:szCs w:val="13"/>
                <w:color w:val="auto"/>
              </w:rPr>
              <w:t>56,485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(36,201)</w:t>
            </w:r>
          </w:p>
        </w:tc>
        <w:tc>
          <w:tcPr>
            <w:tcW w:w="22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20,284</w:t>
            </w:r>
          </w:p>
        </w:tc>
        <w:tc>
          <w:tcPr>
            <w:tcW w:w="860" w:type="dxa"/>
            <w:vAlign w:val="bottom"/>
          </w:tcPr>
          <w:p>
            <w:pPr>
              <w:jc w:val="right"/>
              <w:spacing w:after="0"/>
              <w:rPr>
                <w:sz w:val="20"/>
                <w:szCs w:val="20"/>
                <w:color w:val="auto"/>
              </w:rPr>
            </w:pPr>
            <w:r>
              <w:rPr>
                <w:rFonts w:ascii="Arial" w:cs="Arial" w:eastAsia="Arial" w:hAnsi="Arial"/>
                <w:sz w:val="13"/>
                <w:szCs w:val="13"/>
                <w:color w:val="auto"/>
              </w:rPr>
              <w:t>(52,081)</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29,792</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(22,289)</w:t>
            </w:r>
          </w:p>
        </w:tc>
        <w:tc>
          <w:tcPr>
            <w:tcW w:w="880" w:type="dxa"/>
            <w:vAlign w:val="bottom"/>
          </w:tcPr>
          <w:p>
            <w:pPr>
              <w:jc w:val="right"/>
              <w:spacing w:after="0"/>
              <w:rPr>
                <w:sz w:val="20"/>
                <w:szCs w:val="20"/>
                <w:color w:val="auto"/>
              </w:rPr>
            </w:pPr>
            <w:r>
              <w:rPr>
                <w:rFonts w:ascii="Arial" w:cs="Arial" w:eastAsia="Arial" w:hAnsi="Arial"/>
                <w:sz w:val="13"/>
                <w:szCs w:val="13"/>
                <w:color w:val="auto"/>
              </w:rPr>
              <w:t>(72,930)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(19,262)</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(92,192)</w:t>
            </w:r>
          </w:p>
        </w:tc>
        <w:tc>
          <w:tcPr>
            <w:tcW w:w="40" w:type="dxa"/>
            <w:vAlign w:val="bottom"/>
          </w:tcPr>
          <w:p>
            <w:pPr>
              <w:spacing w:after="0"/>
              <w:rPr>
                <w:sz w:val="15"/>
                <w:szCs w:val="15"/>
                <w:color w:val="auto"/>
              </w:rPr>
            </w:pPr>
          </w:p>
        </w:tc>
      </w:tr>
      <w:tr>
        <w:trPr>
          <w:trHeight w:val="178"/>
        </w:trPr>
        <w:tc>
          <w:tcPr>
            <w:tcW w:w="3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Other net assets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59,932</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(4,336)</w:t>
            </w: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55,596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7,356</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(13,733)</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88,790</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(12,641)</w:t>
            </w: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76,149</w:t>
            </w:r>
          </w:p>
        </w:tc>
        <w:tc>
          <w:tcPr>
            <w:tcW w:w="40" w:type="dxa"/>
            <w:vAlign w:val="bottom"/>
          </w:tcPr>
          <w:p>
            <w:pPr>
              <w:spacing w:after="0"/>
              <w:rPr>
                <w:sz w:val="15"/>
                <w:szCs w:val="15"/>
                <w:color w:val="auto"/>
              </w:rPr>
            </w:pPr>
          </w:p>
        </w:tc>
      </w:tr>
      <w:tr>
        <w:trPr>
          <w:trHeight w:val="169"/>
        </w:trPr>
        <w:tc>
          <w:tcPr>
            <w:tcW w:w="320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00" w:type="dxa"/>
            <w:vAlign w:val="bottom"/>
          </w:tcPr>
          <w:p>
            <w:pPr>
              <w:jc w:val="right"/>
              <w:spacing w:after="0"/>
              <w:rPr>
                <w:sz w:val="20"/>
                <w:szCs w:val="20"/>
                <w:color w:val="auto"/>
              </w:rPr>
            </w:pPr>
            <w:r>
              <w:rPr>
                <w:rFonts w:ascii="Arial" w:cs="Arial" w:eastAsia="Arial" w:hAnsi="Arial"/>
                <w:sz w:val="13"/>
                <w:szCs w:val="13"/>
                <w:color w:val="auto"/>
              </w:rPr>
              <w:t>327,076</w:t>
            </w:r>
          </w:p>
        </w:tc>
        <w:tc>
          <w:tcPr>
            <w:tcW w:w="10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327,076</w:t>
            </w:r>
          </w:p>
        </w:tc>
        <w:tc>
          <w:tcPr>
            <w:tcW w:w="860" w:type="dxa"/>
            <w:vAlign w:val="bottom"/>
          </w:tcPr>
          <w:p>
            <w:pPr>
              <w:jc w:val="right"/>
              <w:spacing w:after="0"/>
              <w:rPr>
                <w:sz w:val="20"/>
                <w:szCs w:val="20"/>
                <w:color w:val="auto"/>
              </w:rPr>
            </w:pPr>
            <w:r>
              <w:rPr>
                <w:rFonts w:ascii="Arial" w:cs="Arial" w:eastAsia="Arial" w:hAnsi="Arial"/>
                <w:sz w:val="13"/>
                <w:szCs w:val="13"/>
                <w:color w:val="auto"/>
              </w:rPr>
              <w:t>545,665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545,665</w:t>
            </w:r>
          </w:p>
        </w:tc>
        <w:tc>
          <w:tcPr>
            <w:tcW w:w="880" w:type="dxa"/>
            <w:vAlign w:val="bottom"/>
          </w:tcPr>
          <w:p>
            <w:pPr>
              <w:jc w:val="right"/>
              <w:spacing w:after="0"/>
              <w:rPr>
                <w:sz w:val="20"/>
                <w:szCs w:val="20"/>
                <w:color w:val="auto"/>
              </w:rPr>
            </w:pPr>
            <w:r>
              <w:rPr>
                <w:rFonts w:ascii="Arial" w:cs="Arial" w:eastAsia="Arial" w:hAnsi="Arial"/>
                <w:sz w:val="13"/>
                <w:szCs w:val="13"/>
                <w:color w:val="auto"/>
              </w:rPr>
              <w:t>948,338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948,338</w:t>
            </w:r>
          </w:p>
        </w:tc>
        <w:tc>
          <w:tcPr>
            <w:tcW w:w="40" w:type="dxa"/>
            <w:vAlign w:val="bottom"/>
          </w:tcPr>
          <w:p>
            <w:pPr>
              <w:spacing w:after="0"/>
              <w:rPr>
                <w:sz w:val="14"/>
                <w:szCs w:val="14"/>
                <w:color w:val="auto"/>
              </w:rPr>
            </w:pPr>
          </w:p>
        </w:tc>
      </w:tr>
      <w:tr>
        <w:trPr>
          <w:trHeight w:val="212"/>
        </w:trPr>
        <w:tc>
          <w:tcPr>
            <w:tcW w:w="3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78"/>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Cash flows used in investing activities: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8"/>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property, plant and equipment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(27,152)</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(63,440)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(63,440)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(106,772)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(106,772)</w:t>
            </w:r>
          </w:p>
        </w:tc>
        <w:tc>
          <w:tcPr>
            <w:tcW w:w="40" w:type="dxa"/>
            <w:vAlign w:val="bottom"/>
          </w:tcPr>
          <w:p>
            <w:pPr>
              <w:spacing w:after="0"/>
              <w:rPr>
                <w:sz w:val="15"/>
                <w:szCs w:val="15"/>
                <w:color w:val="auto"/>
              </w:rPr>
            </w:pPr>
          </w:p>
        </w:tc>
      </w:tr>
      <w:tr>
        <w:trPr>
          <w:trHeight w:val="134"/>
        </w:trPr>
        <w:tc>
          <w:tcPr>
            <w:tcW w:w="3200" w:type="dxa"/>
            <w:vAlign w:val="bottom"/>
          </w:tcPr>
          <w:p>
            <w:pPr>
              <w:ind w:left="120"/>
              <w:spacing w:after="0" w:line="134" w:lineRule="exact"/>
              <w:rPr>
                <w:sz w:val="20"/>
                <w:szCs w:val="20"/>
                <w:color w:val="auto"/>
              </w:rPr>
            </w:pPr>
            <w:r>
              <w:rPr>
                <w:rFonts w:ascii="Arial" w:cs="Arial" w:eastAsia="Arial" w:hAnsi="Arial"/>
                <w:sz w:val="13"/>
                <w:szCs w:val="13"/>
                <w:color w:val="auto"/>
              </w:rPr>
              <w:t>Purchase of subsidiary undertakings (net of cash</w:t>
            </w: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(7,831)</w:t>
            </w:r>
          </w:p>
        </w:tc>
        <w:tc>
          <w:tcPr>
            <w:tcW w:w="100" w:type="dxa"/>
            <w:vAlign w:val="bottom"/>
          </w:tcPr>
          <w:p>
            <w:pPr>
              <w:spacing w:after="0"/>
              <w:rPr>
                <w:sz w:val="11"/>
                <w:szCs w:val="11"/>
                <w:color w:val="auto"/>
              </w:rPr>
            </w:pPr>
          </w:p>
        </w:tc>
        <w:tc>
          <w:tcPr>
            <w:tcW w:w="8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(7,831)</w:t>
            </w: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(7,831)</w:t>
            </w:r>
          </w:p>
        </w:tc>
        <w:tc>
          <w:tcPr>
            <w:tcW w:w="10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(7,831)</w:t>
            </w:r>
          </w:p>
        </w:tc>
        <w:tc>
          <w:tcPr>
            <w:tcW w:w="880" w:type="dxa"/>
            <w:vAlign w:val="bottom"/>
          </w:tcPr>
          <w:p>
            <w:pPr>
              <w:jc w:val="right"/>
              <w:spacing w:after="0" w:line="134" w:lineRule="exact"/>
              <w:rPr>
                <w:sz w:val="20"/>
                <w:szCs w:val="20"/>
                <w:color w:val="auto"/>
              </w:rPr>
            </w:pPr>
            <w:r>
              <w:rPr>
                <w:rFonts w:ascii="Arial" w:cs="Arial" w:eastAsia="Arial" w:hAnsi="Arial"/>
                <w:sz w:val="13"/>
                <w:szCs w:val="13"/>
                <w:color w:val="auto"/>
              </w:rPr>
              <w:t>(85,629)</w:t>
            </w:r>
          </w:p>
        </w:tc>
        <w:tc>
          <w:tcPr>
            <w:tcW w:w="10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(85,629)</w:t>
            </w:r>
          </w:p>
        </w:tc>
        <w:tc>
          <w:tcPr>
            <w:tcW w:w="40" w:type="dxa"/>
            <w:vAlign w:val="bottom"/>
          </w:tcPr>
          <w:p>
            <w:pPr>
              <w:spacing w:after="0"/>
              <w:rPr>
                <w:sz w:val="11"/>
                <w:szCs w:val="11"/>
                <w:color w:val="auto"/>
              </w:rPr>
            </w:pPr>
          </w:p>
        </w:tc>
      </w:tr>
      <w:tr>
        <w:trPr>
          <w:trHeight w:val="176"/>
        </w:trPr>
        <w:tc>
          <w:tcPr>
            <w:tcW w:w="3200" w:type="dxa"/>
            <w:vAlign w:val="bottom"/>
          </w:tcPr>
          <w:p>
            <w:pPr>
              <w:ind w:left="120"/>
              <w:spacing w:after="0"/>
              <w:rPr>
                <w:sz w:val="20"/>
                <w:szCs w:val="20"/>
                <w:color w:val="auto"/>
              </w:rPr>
            </w:pPr>
            <w:r>
              <w:rPr>
                <w:rFonts w:ascii="Arial" w:cs="Arial" w:eastAsia="Arial" w:hAnsi="Arial"/>
                <w:sz w:val="13"/>
                <w:szCs w:val="13"/>
                <w:color w:val="auto"/>
              </w:rPr>
              <w:t>acquired)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9"/>
        </w:trPr>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Movement of available for sale investments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1,954</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40" w:type="dxa"/>
            <w:vAlign w:val="bottom"/>
          </w:tcPr>
          <w:p>
            <w:pPr>
              <w:spacing w:after="0"/>
              <w:rPr>
                <w:sz w:val="15"/>
                <w:szCs w:val="15"/>
                <w:color w:val="auto"/>
              </w:rPr>
            </w:pPr>
          </w:p>
        </w:tc>
      </w:tr>
      <w:tr>
        <w:trPr>
          <w:trHeight w:val="177"/>
        </w:trPr>
        <w:tc>
          <w:tcPr>
            <w:tcW w:w="3200" w:type="dxa"/>
            <w:vAlign w:val="bottom"/>
          </w:tcPr>
          <w:p>
            <w:pPr>
              <w:ind w:left="120"/>
              <w:spacing w:after="0"/>
              <w:rPr>
                <w:sz w:val="20"/>
                <w:szCs w:val="20"/>
                <w:color w:val="auto"/>
              </w:rPr>
            </w:pPr>
            <w:r>
              <w:rPr>
                <w:rFonts w:ascii="Arial" w:cs="Arial" w:eastAsia="Arial" w:hAnsi="Arial"/>
                <w:sz w:val="13"/>
                <w:szCs w:val="13"/>
                <w:color w:val="auto"/>
              </w:rPr>
              <w:t>Proceeds from investments in equity</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1,373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1,373</w:t>
            </w:r>
          </w:p>
        </w:tc>
        <w:tc>
          <w:tcPr>
            <w:tcW w:w="880" w:type="dxa"/>
            <w:vAlign w:val="bottom"/>
          </w:tcPr>
          <w:p>
            <w:pPr>
              <w:jc w:val="right"/>
              <w:spacing w:after="0"/>
              <w:rPr>
                <w:sz w:val="20"/>
                <w:szCs w:val="20"/>
                <w:color w:val="auto"/>
              </w:rPr>
            </w:pPr>
            <w:r>
              <w:rPr>
                <w:rFonts w:ascii="Arial" w:cs="Arial" w:eastAsia="Arial" w:hAnsi="Arial"/>
                <w:sz w:val="13"/>
                <w:szCs w:val="13"/>
                <w:color w:val="auto"/>
              </w:rPr>
              <w:t>2,671</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2,671</w:t>
            </w:r>
          </w:p>
        </w:tc>
        <w:tc>
          <w:tcPr>
            <w:tcW w:w="40" w:type="dxa"/>
            <w:vAlign w:val="bottom"/>
          </w:tcPr>
          <w:p>
            <w:pPr>
              <w:spacing w:after="0"/>
              <w:rPr>
                <w:sz w:val="15"/>
                <w:szCs w:val="15"/>
                <w:color w:val="auto"/>
              </w:rPr>
            </w:pPr>
          </w:p>
        </w:tc>
      </w:tr>
      <w:tr>
        <w:trPr>
          <w:trHeight w:val="178"/>
        </w:trPr>
        <w:tc>
          <w:tcPr>
            <w:tcW w:w="3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Purchase of investments in equity</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(4,381)</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(5,621)</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(10,131)</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(10,131)</w:t>
            </w:r>
          </w:p>
        </w:tc>
        <w:tc>
          <w:tcPr>
            <w:tcW w:w="40" w:type="dxa"/>
            <w:vAlign w:val="bottom"/>
          </w:tcPr>
          <w:p>
            <w:pPr>
              <w:spacing w:after="0"/>
              <w:rPr>
                <w:sz w:val="15"/>
                <w:szCs w:val="15"/>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900" w:type="dxa"/>
            <w:vAlign w:val="bottom"/>
          </w:tcPr>
          <w:p>
            <w:pPr>
              <w:jc w:val="right"/>
              <w:spacing w:after="0"/>
              <w:rPr>
                <w:sz w:val="20"/>
                <w:szCs w:val="20"/>
                <w:color w:val="auto"/>
              </w:rPr>
            </w:pPr>
            <w:r>
              <w:rPr>
                <w:rFonts w:ascii="Arial" w:cs="Arial" w:eastAsia="Arial" w:hAnsi="Arial"/>
                <w:sz w:val="13"/>
                <w:szCs w:val="13"/>
                <w:color w:val="auto"/>
              </w:rPr>
              <w:t>(39,365)</w:t>
            </w:r>
          </w:p>
        </w:tc>
        <w:tc>
          <w:tcPr>
            <w:tcW w:w="10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(39,365)</w:t>
            </w:r>
          </w:p>
        </w:tc>
        <w:tc>
          <w:tcPr>
            <w:tcW w:w="860" w:type="dxa"/>
            <w:vAlign w:val="bottom"/>
          </w:tcPr>
          <w:p>
            <w:pPr>
              <w:jc w:val="right"/>
              <w:spacing w:after="0"/>
              <w:rPr>
                <w:sz w:val="20"/>
                <w:szCs w:val="20"/>
                <w:color w:val="auto"/>
              </w:rPr>
            </w:pPr>
            <w:r>
              <w:rPr>
                <w:rFonts w:ascii="Arial" w:cs="Arial" w:eastAsia="Arial" w:hAnsi="Arial"/>
                <w:sz w:val="13"/>
                <w:szCs w:val="13"/>
                <w:color w:val="auto"/>
              </w:rPr>
              <w:t>(73,565)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(73,565)</w:t>
            </w:r>
          </w:p>
        </w:tc>
        <w:tc>
          <w:tcPr>
            <w:tcW w:w="880" w:type="dxa"/>
            <w:vAlign w:val="bottom"/>
          </w:tcPr>
          <w:p>
            <w:pPr>
              <w:jc w:val="right"/>
              <w:spacing w:after="0"/>
              <w:rPr>
                <w:sz w:val="20"/>
                <w:szCs w:val="20"/>
                <w:color w:val="auto"/>
              </w:rPr>
            </w:pPr>
            <w:r>
              <w:rPr>
                <w:rFonts w:ascii="Arial" w:cs="Arial" w:eastAsia="Arial" w:hAnsi="Arial"/>
                <w:sz w:val="13"/>
                <w:szCs w:val="13"/>
                <w:color w:val="auto"/>
              </w:rPr>
              <w:t>(197,907)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(197,907)</w:t>
            </w:r>
          </w:p>
        </w:tc>
        <w:tc>
          <w:tcPr>
            <w:tcW w:w="40" w:type="dxa"/>
            <w:vAlign w:val="bottom"/>
          </w:tcPr>
          <w:p>
            <w:pPr>
              <w:spacing w:after="0"/>
              <w:rPr>
                <w:sz w:val="14"/>
                <w:szCs w:val="14"/>
                <w:color w:val="auto"/>
              </w:rPr>
            </w:pPr>
          </w:p>
        </w:tc>
      </w:tr>
      <w:tr>
        <w:trPr>
          <w:trHeight w:val="745"/>
        </w:trPr>
        <w:tc>
          <w:tcPr>
            <w:tcW w:w="3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3"/>
                <w:szCs w:val="13"/>
                <w:color w:val="auto"/>
              </w:rPr>
              <w:t>19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2"/>
        </w:trPr>
        <w:tc>
          <w:tcPr>
            <w:tcW w:w="3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00" w:type="dxa"/>
            <w:vAlign w:val="bottom"/>
            <w:tcBorders>
              <w:top w:val="single" w:sz="8" w:color="auto"/>
              <w:bottom w:val="single" w:sz="8" w:color="auto"/>
            </w:tcBorders>
            <w:shd w:val="clear" w:color="auto" w:fill="CCEEFF"/>
          </w:tcPr>
          <w:p>
            <w:pPr>
              <w:spacing w:after="0"/>
              <w:rPr>
                <w:sz w:val="14"/>
                <w:szCs w:val="14"/>
                <w:color w:val="auto"/>
              </w:rPr>
            </w:pPr>
          </w:p>
        </w:tc>
        <w:tc>
          <w:tcPr>
            <w:tcW w:w="2160" w:type="dxa"/>
            <w:vAlign w:val="bottom"/>
            <w:tcBorders>
              <w:top w:val="single" w:sz="8" w:color="auto"/>
              <w:bottom w:val="single" w:sz="8" w:color="auto"/>
            </w:tcBorders>
            <w:gridSpan w:val="3"/>
            <w:shd w:val="clear" w:color="auto" w:fill="CCEEFF"/>
          </w:tcPr>
          <w:p>
            <w:pPr>
              <w:ind w:left="820"/>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gridSpan w:val="3"/>
            <w:shd w:val="clear" w:color="auto" w:fill="CCEEFF"/>
          </w:tcPr>
          <w:p>
            <w:pPr>
              <w:jc w:val="center"/>
              <w:ind w:left="673"/>
              <w:spacing w:after="0"/>
              <w:rPr>
                <w:sz w:val="20"/>
                <w:szCs w:val="20"/>
                <w:color w:val="auto"/>
              </w:rPr>
            </w:pPr>
            <w:r>
              <w:rPr>
                <w:rFonts w:ascii="Arial" w:cs="Arial" w:eastAsia="Arial" w:hAnsi="Arial"/>
                <w:sz w:val="13"/>
                <w:szCs w:val="13"/>
                <w:b w:val="1"/>
                <w:bCs w:val="1"/>
                <w:color w:val="auto"/>
              </w:rPr>
              <w:t>Six Months Ended</w:t>
            </w: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2660" w:type="dxa"/>
            <w:vAlign w:val="bottom"/>
            <w:tcBorders>
              <w:top w:val="single" w:sz="8" w:color="auto"/>
              <w:bottom w:val="single" w:sz="8" w:color="auto"/>
            </w:tcBorders>
            <w:gridSpan w:val="4"/>
            <w:shd w:val="clear" w:color="auto" w:fill="CCEEFF"/>
          </w:tcPr>
          <w:p>
            <w:pPr>
              <w:jc w:val="right"/>
              <w:ind w:right="613"/>
              <w:spacing w:after="0"/>
              <w:rPr>
                <w:sz w:val="20"/>
                <w:szCs w:val="20"/>
                <w:color w:val="auto"/>
              </w:rPr>
            </w:pPr>
            <w:r>
              <w:rPr>
                <w:rFonts w:ascii="Arial" w:cs="Arial" w:eastAsia="Arial" w:hAnsi="Arial"/>
                <w:sz w:val="13"/>
                <w:szCs w:val="13"/>
                <w:b w:val="1"/>
                <w:bCs w:val="1"/>
                <w:color w:val="auto"/>
              </w:rPr>
              <w:t>Nine Months Ended</w:t>
            </w:r>
          </w:p>
        </w:tc>
      </w:tr>
      <w:tr>
        <w:trPr>
          <w:trHeight w:val="169"/>
        </w:trPr>
        <w:tc>
          <w:tcPr>
            <w:tcW w:w="3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March 31, 2024</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53"/>
              <w:spacing w:after="0"/>
              <w:rPr>
                <w:sz w:val="20"/>
                <w:szCs w:val="20"/>
                <w:color w:val="auto"/>
              </w:rPr>
            </w:pPr>
            <w:r>
              <w:rPr>
                <w:rFonts w:ascii="Arial" w:cs="Arial" w:eastAsia="Arial" w:hAnsi="Arial"/>
                <w:sz w:val="13"/>
                <w:szCs w:val="13"/>
                <w:b w:val="1"/>
                <w:bCs w:val="1"/>
                <w:color w:val="auto"/>
              </w:rPr>
              <w:t>June 30, 2024</w:t>
            </w:r>
          </w:p>
        </w:tc>
        <w:tc>
          <w:tcPr>
            <w:tcW w:w="7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3"/>
                <w:szCs w:val="13"/>
                <w:b w:val="1"/>
                <w:bCs w:val="1"/>
                <w:color w:val="auto"/>
              </w:rPr>
              <w:t>September 30, 2024</w:t>
            </w:r>
          </w:p>
        </w:tc>
      </w:tr>
      <w:tr>
        <w:trPr>
          <w:trHeight w:val="169"/>
        </w:trPr>
        <w:tc>
          <w:tcPr>
            <w:tcW w:w="3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As Restated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r>
      <w:tr>
        <w:trPr>
          <w:trHeight w:val="169"/>
        </w:trPr>
        <w:tc>
          <w:tcPr>
            <w:tcW w:w="3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auto"/>
              </w:rPr>
              <w:t>(in thousands)</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used in financing activities: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77"/>
        </w:trPr>
        <w:tc>
          <w:tcPr>
            <w:tcW w:w="3100" w:type="dxa"/>
            <w:vAlign w:val="bottom"/>
          </w:tcPr>
          <w:p>
            <w:pPr>
              <w:ind w:left="120"/>
              <w:spacing w:after="0"/>
              <w:rPr>
                <w:sz w:val="20"/>
                <w:szCs w:val="20"/>
                <w:color w:val="auto"/>
              </w:rPr>
            </w:pPr>
            <w:r>
              <w:rPr>
                <w:rFonts w:ascii="Arial" w:cs="Arial" w:eastAsia="Arial" w:hAnsi="Arial"/>
                <w:sz w:val="13"/>
                <w:szCs w:val="13"/>
                <w:color w:val="auto"/>
              </w:rPr>
              <w:t>Debt issue costs</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tcPr>
          <w:p>
            <w:pPr>
              <w:ind w:left="66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(11,679)</w:t>
            </w:r>
          </w:p>
        </w:tc>
        <w:tc>
          <w:tcPr>
            <w:tcW w:w="1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(11,679)</w:t>
            </w:r>
          </w:p>
        </w:tc>
        <w:tc>
          <w:tcPr>
            <w:tcW w:w="880" w:type="dxa"/>
            <w:vAlign w:val="bottom"/>
          </w:tcPr>
          <w:p>
            <w:pPr>
              <w:jc w:val="right"/>
              <w:spacing w:after="0"/>
              <w:rPr>
                <w:sz w:val="20"/>
                <w:szCs w:val="20"/>
                <w:color w:val="auto"/>
              </w:rPr>
            </w:pPr>
            <w:r>
              <w:rPr>
                <w:rFonts w:ascii="Arial" w:cs="Arial" w:eastAsia="Arial" w:hAnsi="Arial"/>
                <w:sz w:val="13"/>
                <w:szCs w:val="13"/>
                <w:color w:val="auto"/>
              </w:rPr>
              <w:t>(12,678)</w:t>
            </w:r>
          </w:p>
        </w:tc>
        <w:tc>
          <w:tcPr>
            <w:tcW w:w="1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(12,678)</w:t>
            </w:r>
          </w:p>
        </w:tc>
      </w:tr>
      <w:tr>
        <w:trPr>
          <w:trHeight w:val="179"/>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Drawdown of credit lines and loan facilities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50,000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2,192,480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2,192,480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2,242,480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2,242,480</w:t>
            </w:r>
          </w:p>
        </w:tc>
      </w:tr>
      <w:tr>
        <w:trPr>
          <w:trHeight w:val="177"/>
        </w:trPr>
        <w:tc>
          <w:tcPr>
            <w:tcW w:w="3100" w:type="dxa"/>
            <w:vAlign w:val="bottom"/>
          </w:tcPr>
          <w:p>
            <w:pPr>
              <w:ind w:left="120"/>
              <w:spacing w:after="0"/>
              <w:rPr>
                <w:sz w:val="20"/>
                <w:szCs w:val="20"/>
                <w:color w:val="auto"/>
              </w:rPr>
            </w:pPr>
            <w:r>
              <w:rPr>
                <w:rFonts w:ascii="Arial" w:cs="Arial" w:eastAsia="Arial" w:hAnsi="Arial"/>
                <w:sz w:val="13"/>
                <w:szCs w:val="13"/>
                <w:color w:val="auto"/>
              </w:rPr>
              <w:t>Repayment of credit lines and loan facilities</w:t>
            </w:r>
          </w:p>
        </w:tc>
        <w:tc>
          <w:tcPr>
            <w:tcW w:w="1000" w:type="dxa"/>
            <w:vAlign w:val="bottom"/>
          </w:tcPr>
          <w:p>
            <w:pPr>
              <w:jc w:val="right"/>
              <w:spacing w:after="0"/>
              <w:rPr>
                <w:sz w:val="20"/>
                <w:szCs w:val="20"/>
                <w:color w:val="auto"/>
              </w:rPr>
            </w:pPr>
            <w:r>
              <w:rPr>
                <w:rFonts w:ascii="Arial" w:cs="Arial" w:eastAsia="Arial" w:hAnsi="Arial"/>
                <w:sz w:val="13"/>
                <w:szCs w:val="13"/>
                <w:color w:val="auto"/>
              </w:rPr>
              <w:t>(330,000)</w:t>
            </w:r>
          </w:p>
        </w:tc>
        <w:tc>
          <w:tcPr>
            <w:tcW w:w="100" w:type="dxa"/>
            <w:vAlign w:val="bottom"/>
          </w:tcPr>
          <w:p>
            <w:pPr>
              <w:spacing w:after="0"/>
              <w:rPr>
                <w:sz w:val="15"/>
                <w:szCs w:val="15"/>
                <w:color w:val="auto"/>
              </w:rPr>
            </w:pPr>
          </w:p>
        </w:tc>
        <w:tc>
          <w:tcPr>
            <w:tcW w:w="1060" w:type="dxa"/>
            <w:vAlign w:val="bottom"/>
          </w:tcPr>
          <w:p>
            <w:pPr>
              <w:ind w:left="6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(330,000)</w:t>
            </w:r>
          </w:p>
        </w:tc>
        <w:tc>
          <w:tcPr>
            <w:tcW w:w="860" w:type="dxa"/>
            <w:vAlign w:val="bottom"/>
          </w:tcPr>
          <w:p>
            <w:pPr>
              <w:jc w:val="right"/>
              <w:spacing w:after="0"/>
              <w:rPr>
                <w:sz w:val="20"/>
                <w:szCs w:val="20"/>
                <w:color w:val="auto"/>
              </w:rPr>
            </w:pPr>
            <w:r>
              <w:rPr>
                <w:rFonts w:ascii="Arial" w:cs="Arial" w:eastAsia="Arial" w:hAnsi="Arial"/>
                <w:sz w:val="13"/>
                <w:szCs w:val="13"/>
                <w:color w:val="auto"/>
              </w:rPr>
              <w:t>(2,537,882)</w:t>
            </w:r>
          </w:p>
        </w:tc>
        <w:tc>
          <w:tcPr>
            <w:tcW w:w="1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(2,537,882)</w:t>
            </w:r>
          </w:p>
        </w:tc>
        <w:tc>
          <w:tcPr>
            <w:tcW w:w="880" w:type="dxa"/>
            <w:vAlign w:val="bottom"/>
          </w:tcPr>
          <w:p>
            <w:pPr>
              <w:jc w:val="right"/>
              <w:spacing w:after="0"/>
              <w:rPr>
                <w:sz w:val="20"/>
                <w:szCs w:val="20"/>
                <w:color w:val="auto"/>
              </w:rPr>
            </w:pPr>
            <w:r>
              <w:rPr>
                <w:rFonts w:ascii="Arial" w:cs="Arial" w:eastAsia="Arial" w:hAnsi="Arial"/>
                <w:sz w:val="13"/>
                <w:szCs w:val="13"/>
                <w:color w:val="auto"/>
              </w:rPr>
              <w:t>(2,595,323)</w:t>
            </w:r>
          </w:p>
        </w:tc>
        <w:tc>
          <w:tcPr>
            <w:tcW w:w="1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(2,595,323)</w:t>
            </w:r>
          </w:p>
        </w:tc>
      </w:tr>
      <w:tr>
        <w:trPr>
          <w:trHeight w:val="179"/>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exercise of equity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16,305</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21,645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21,645</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32,379</w:t>
            </w:r>
          </w:p>
        </w:tc>
      </w:tr>
      <w:tr>
        <w:trPr>
          <w:trHeight w:val="177"/>
        </w:trPr>
        <w:tc>
          <w:tcPr>
            <w:tcW w:w="3100" w:type="dxa"/>
            <w:vAlign w:val="bottom"/>
          </w:tcPr>
          <w:p>
            <w:pPr>
              <w:ind w:left="120"/>
              <w:spacing w:after="0"/>
              <w:rPr>
                <w:sz w:val="20"/>
                <w:szCs w:val="20"/>
                <w:color w:val="auto"/>
              </w:rPr>
            </w:pPr>
            <w:r>
              <w:rPr>
                <w:rFonts w:ascii="Arial" w:cs="Arial" w:eastAsia="Arial" w:hAnsi="Arial"/>
                <w:sz w:val="13"/>
                <w:szCs w:val="13"/>
                <w:color w:val="auto"/>
              </w:rPr>
              <w:t>Share issue costs</w:t>
            </w:r>
          </w:p>
        </w:tc>
        <w:tc>
          <w:tcPr>
            <w:tcW w:w="10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060" w:type="dxa"/>
            <w:vAlign w:val="bottom"/>
          </w:tcPr>
          <w:p>
            <w:pPr>
              <w:ind w:left="6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w:t>
            </w:r>
          </w:p>
        </w:tc>
        <w:tc>
          <w:tcPr>
            <w:tcW w:w="8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79"/>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 of ordinary shares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r>
      <w:tr>
        <w:trPr>
          <w:trHeight w:val="177"/>
        </w:trPr>
        <w:tc>
          <w:tcPr>
            <w:tcW w:w="31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Share repurchase costs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r>
      <w:tr>
        <w:trPr>
          <w:trHeight w:val="170"/>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(263,699)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(263,699)</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(335,450)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(335,450)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(433,227)</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(433,227)</w:t>
            </w:r>
          </w:p>
        </w:tc>
      </w:tr>
      <w:tr>
        <w:trPr>
          <w:trHeight w:val="211"/>
        </w:trPr>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77"/>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 of exchange rate movements on cash</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(6,032)</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(8,199)</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w:t>
            </w:r>
          </w:p>
        </w:tc>
      </w:tr>
      <w:tr>
        <w:trPr>
          <w:trHeight w:val="170"/>
        </w:trPr>
        <w:tc>
          <w:tcPr>
            <w:tcW w:w="3100" w:type="dxa"/>
            <w:vAlign w:val="bottom"/>
          </w:tcPr>
          <w:p>
            <w:pPr>
              <w:ind w:left="20"/>
              <w:spacing w:after="0"/>
              <w:rPr>
                <w:sz w:val="20"/>
                <w:szCs w:val="20"/>
                <w:color w:val="auto"/>
              </w:rPr>
            </w:pPr>
            <w:r>
              <w:rPr>
                <w:rFonts w:ascii="Arial" w:cs="Arial" w:eastAsia="Arial" w:hAnsi="Arial"/>
                <w:sz w:val="13"/>
                <w:szCs w:val="13"/>
                <w:b w:val="1"/>
                <w:bCs w:val="1"/>
                <w:color w:val="auto"/>
              </w:rPr>
              <w:t>Net increase in cash and cash equivalents</w:t>
            </w:r>
          </w:p>
        </w:tc>
        <w:tc>
          <w:tcPr>
            <w:tcW w:w="1000" w:type="dxa"/>
            <w:vAlign w:val="bottom"/>
          </w:tcPr>
          <w:p>
            <w:pPr>
              <w:jc w:val="right"/>
              <w:spacing w:after="0"/>
              <w:rPr>
                <w:sz w:val="20"/>
                <w:szCs w:val="20"/>
                <w:color w:val="auto"/>
              </w:rPr>
            </w:pPr>
            <w:r>
              <w:rPr>
                <w:rFonts w:ascii="Arial" w:cs="Arial" w:eastAsia="Arial" w:hAnsi="Arial"/>
                <w:sz w:val="13"/>
                <w:szCs w:val="13"/>
                <w:color w:val="auto"/>
              </w:rPr>
              <w:t>17,980</w:t>
            </w:r>
          </w:p>
        </w:tc>
        <w:tc>
          <w:tcPr>
            <w:tcW w:w="100" w:type="dxa"/>
            <w:vAlign w:val="bottom"/>
          </w:tcPr>
          <w:p>
            <w:pPr>
              <w:spacing w:after="0"/>
              <w:rPr>
                <w:sz w:val="14"/>
                <w:szCs w:val="14"/>
                <w:color w:val="auto"/>
              </w:rPr>
            </w:pPr>
          </w:p>
        </w:tc>
        <w:tc>
          <w:tcPr>
            <w:tcW w:w="1060" w:type="dxa"/>
            <w:vAlign w:val="bottom"/>
          </w:tcPr>
          <w:p>
            <w:pPr>
              <w:ind w:left="66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17,980</w:t>
            </w:r>
          </w:p>
        </w:tc>
        <w:tc>
          <w:tcPr>
            <w:tcW w:w="860" w:type="dxa"/>
            <w:vAlign w:val="bottom"/>
          </w:tcPr>
          <w:p>
            <w:pPr>
              <w:jc w:val="right"/>
              <w:spacing w:after="0"/>
              <w:rPr>
                <w:sz w:val="20"/>
                <w:szCs w:val="20"/>
                <w:color w:val="auto"/>
              </w:rPr>
            </w:pPr>
            <w:r>
              <w:rPr>
                <w:rFonts w:ascii="Arial" w:cs="Arial" w:eastAsia="Arial" w:hAnsi="Arial"/>
                <w:sz w:val="13"/>
                <w:szCs w:val="13"/>
                <w:color w:val="auto"/>
              </w:rPr>
              <w:t>128,451</w:t>
            </w:r>
          </w:p>
        </w:tc>
        <w:tc>
          <w:tcPr>
            <w:tcW w:w="100" w:type="dxa"/>
            <w:vAlign w:val="bottom"/>
          </w:tcPr>
          <w:p>
            <w:pPr>
              <w:spacing w:after="0"/>
              <w:rPr>
                <w:sz w:val="14"/>
                <w:szCs w:val="14"/>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128,451</w:t>
            </w:r>
          </w:p>
        </w:tc>
        <w:tc>
          <w:tcPr>
            <w:tcW w:w="880" w:type="dxa"/>
            <w:vAlign w:val="bottom"/>
          </w:tcPr>
          <w:p>
            <w:pPr>
              <w:jc w:val="right"/>
              <w:spacing w:after="0"/>
              <w:rPr>
                <w:sz w:val="20"/>
                <w:szCs w:val="20"/>
                <w:color w:val="auto"/>
              </w:rPr>
            </w:pPr>
            <w:r>
              <w:rPr>
                <w:rFonts w:ascii="Arial" w:cs="Arial" w:eastAsia="Arial" w:hAnsi="Arial"/>
                <w:sz w:val="13"/>
                <w:szCs w:val="13"/>
                <w:color w:val="auto"/>
              </w:rPr>
              <w:t>317,405</w:t>
            </w:r>
          </w:p>
        </w:tc>
        <w:tc>
          <w:tcPr>
            <w:tcW w:w="100" w:type="dxa"/>
            <w:vAlign w:val="bottom"/>
          </w:tcPr>
          <w:p>
            <w:pPr>
              <w:spacing w:after="0"/>
              <w:rPr>
                <w:sz w:val="14"/>
                <w:szCs w:val="14"/>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317,405</w:t>
            </w:r>
          </w:p>
        </w:tc>
      </w:tr>
      <w:tr>
        <w:trPr>
          <w:trHeight w:val="177"/>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378,102</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378,102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378,102</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378,102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378,102</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378,102</w:t>
            </w:r>
          </w:p>
        </w:tc>
      </w:tr>
      <w:tr>
        <w:trPr>
          <w:trHeight w:val="17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396,082</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396,082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506,553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 $</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506,553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695,507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695,507</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427" w:right="359" w:bottom="1440" w:gutter="0" w:footer="0" w:header="0"/>
        </w:sectPr>
      </w:pPr>
    </w:p>
    <w:bookmarkStart w:id="22" w:name="page23"/>
    <w:bookmarkEnd w:id="22"/>
    <w:p>
      <w:pPr>
        <w:jc w:val="both"/>
        <w:ind w:firstLine="533"/>
        <w:spacing w:after="0" w:line="262" w:lineRule="auto"/>
        <w:rPr>
          <w:sz w:val="20"/>
          <w:szCs w:val="20"/>
          <w:color w:val="auto"/>
        </w:rPr>
      </w:pPr>
      <w:r>
        <w:rPr>
          <w:rFonts w:ascii="Arial" w:cs="Arial" w:eastAsia="Arial" w:hAnsi="Arial"/>
          <w:sz w:val="13"/>
          <w:szCs w:val="13"/>
          <w:color w:val="auto"/>
        </w:rPr>
        <w:t>The table below sets forth the unaudited condensed Consolidated Statements of Operations, including the balances originally reported in the Company’s unaudited condensed Consolidated financial statements, the effects of the adjustments made and the restated balances for each of the three months and year to date periods ended March 31, June 30, and September 30 of 2023.</w:t>
      </w:r>
    </w:p>
    <w:p>
      <w:pPr>
        <w:jc w:val="center"/>
        <w:ind w:right="20"/>
        <w:spacing w:after="0"/>
        <w:rPr>
          <w:sz w:val="20"/>
          <w:szCs w:val="20"/>
          <w:color w:val="auto"/>
        </w:rPr>
      </w:pPr>
      <w:r>
        <w:rPr>
          <w:rFonts w:ascii="Arial" w:cs="Arial" w:eastAsia="Arial" w:hAnsi="Arial"/>
          <w:sz w:val="13"/>
          <w:szCs w:val="13"/>
          <w:b w:val="1"/>
          <w:bCs w:val="1"/>
          <w:color w:val="auto"/>
        </w:rPr>
        <w:t>ICON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2023</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gridSpan w:val="3"/>
            <w:shd w:val="clear" w:color="auto" w:fill="CCEEFF"/>
          </w:tcPr>
          <w:p>
            <w:pPr>
              <w:jc w:val="right"/>
              <w:ind w:right="353"/>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r>
      <w:tr>
        <w:trPr>
          <w:trHeight w:val="169"/>
        </w:trPr>
        <w:tc>
          <w:tcPr>
            <w:tcW w:w="3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700" w:type="dxa"/>
            <w:vAlign w:val="bottom"/>
            <w:tcBorders>
              <w:bottom w:val="single" w:sz="8" w:color="auto"/>
            </w:tcBorders>
          </w:tcPr>
          <w:p>
            <w:pPr>
              <w:spacing w:after="0"/>
              <w:rPr>
                <w:sz w:val="14"/>
                <w:szCs w:val="14"/>
                <w:color w:val="auto"/>
              </w:rPr>
            </w:pPr>
          </w:p>
        </w:tc>
      </w:tr>
      <w:tr>
        <w:trPr>
          <w:trHeight w:val="169"/>
        </w:trPr>
        <w:tc>
          <w:tcPr>
            <w:tcW w:w="3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r>
      <w:tr>
        <w:trPr>
          <w:trHeight w:val="169"/>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gridSpan w:val="8"/>
          </w:tcPr>
          <w:p>
            <w:pPr>
              <w:ind w:left="5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1,978,578</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(12,770)</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1,965,808</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2,020,251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(12,050)</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2,008,201</w:t>
            </w:r>
          </w:p>
        </w:tc>
        <w:tc>
          <w:tcPr>
            <w:tcW w:w="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3,998,829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3,974,009</w:t>
            </w:r>
          </w:p>
        </w:tc>
      </w:tr>
      <w:tr>
        <w:trPr>
          <w:trHeight w:val="222"/>
        </w:trPr>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Direct costs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1,395,546</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(3,624)</w:t>
            </w:r>
          </w:p>
        </w:tc>
        <w:tc>
          <w:tcPr>
            <w:tcW w:w="16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1,391,922</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1,429,540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(3,134)</w:t>
            </w:r>
          </w:p>
        </w:tc>
        <w:tc>
          <w:tcPr>
            <w:tcW w:w="1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1,426,406</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2,825,086</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(6,758)</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2,818,328</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200,006</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200,006</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187,806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187,806</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387,812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387,812</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145,126</w:t>
            </w:r>
          </w:p>
        </w:tc>
        <w:tc>
          <w:tcPr>
            <w:tcW w:w="1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145,126</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145,059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145,059</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290,185</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290,185</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Transaction and integration related</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11,382</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12,701</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24,083</w:t>
            </w:r>
          </w:p>
        </w:tc>
      </w:tr>
      <w:tr>
        <w:trPr>
          <w:trHeight w:val="177"/>
        </w:trPr>
        <w:tc>
          <w:tcPr>
            <w:tcW w:w="322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Restructuring</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9,729</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9,729</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35,661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35,661</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45,390</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45,390</w:t>
            </w:r>
          </w:p>
        </w:tc>
      </w:tr>
      <w:tr>
        <w:trPr>
          <w:trHeight w:val="169"/>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costs and expenses</w:t>
            </w: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1,761,789</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(3,624)</w:t>
            </w: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1,758,165</w:t>
            </w: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1,810,767</w:t>
            </w: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(3,134)</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1,807,633</w:t>
            </w: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3,572,556</w:t>
            </w: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(6,758)</w:t>
            </w: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3,565,798</w:t>
            </w:r>
          </w:p>
        </w:tc>
      </w:tr>
      <w:tr>
        <w:trPr>
          <w:trHeight w:val="204"/>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216,789</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(9,146)</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207,643</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209,484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(8,916)</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200,568</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426,273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(18,062)</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408,211</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Interest income</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1,072</w:t>
            </w:r>
          </w:p>
        </w:tc>
        <w:tc>
          <w:tcPr>
            <w:tcW w:w="1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1,072</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949</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2,021</w:t>
            </w:r>
          </w:p>
        </w:tc>
      </w:tr>
      <w:tr>
        <w:trPr>
          <w:trHeight w:val="178"/>
        </w:trPr>
        <w:tc>
          <w:tcPr>
            <w:tcW w:w="3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Interest expense</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(86,551)</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(86,551)</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(85,206)</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(85,206)</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(171,757)</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(171,757)</w:t>
            </w:r>
          </w:p>
        </w:tc>
      </w:tr>
      <w:tr>
        <w:trPr>
          <w:trHeight w:val="204"/>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131,310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(9,146)</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122,164</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125,227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(8,916)</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116,311</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256,537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(18,062)</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238,475</w:t>
            </w:r>
          </w:p>
        </w:tc>
      </w:tr>
      <w:tr>
        <w:trPr>
          <w:trHeight w:val="177"/>
        </w:trPr>
        <w:tc>
          <w:tcPr>
            <w:tcW w:w="322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Income tax expense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(14,273)</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1,369</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(12,904)</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(9,629)</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1,363</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(8,266)</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(23,902)</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2,732</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(21,170)</w:t>
            </w:r>
          </w:p>
        </w:tc>
      </w:tr>
      <w:tr>
        <w:trPr>
          <w:trHeight w:val="159"/>
        </w:trPr>
        <w:tc>
          <w:tcPr>
            <w:tcW w:w="3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34"/>
        </w:trPr>
        <w:tc>
          <w:tcPr>
            <w:tcW w:w="3220" w:type="dxa"/>
            <w:vAlign w:val="bottom"/>
          </w:tcPr>
          <w:p>
            <w:pPr>
              <w:ind w:left="20"/>
              <w:spacing w:after="0" w:line="134" w:lineRule="exact"/>
              <w:rPr>
                <w:sz w:val="20"/>
                <w:szCs w:val="20"/>
                <w:color w:val="auto"/>
              </w:rPr>
            </w:pPr>
            <w:r>
              <w:rPr>
                <w:rFonts w:ascii="Arial" w:cs="Arial" w:eastAsia="Arial" w:hAnsi="Arial"/>
                <w:sz w:val="13"/>
                <w:szCs w:val="13"/>
                <w:color w:val="auto"/>
              </w:rPr>
              <w:t>Income before share of losses from equity method</w:t>
            </w:r>
          </w:p>
        </w:tc>
        <w:tc>
          <w:tcPr>
            <w:tcW w:w="20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117,037</w:t>
            </w:r>
          </w:p>
        </w:tc>
        <w:tc>
          <w:tcPr>
            <w:tcW w:w="1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color w:val="auto"/>
              </w:rPr>
              <w:t>(7,777)</w:t>
            </w:r>
          </w:p>
        </w:tc>
        <w:tc>
          <w:tcPr>
            <w:tcW w:w="160" w:type="dxa"/>
            <w:vAlign w:val="bottom"/>
          </w:tcPr>
          <w:p>
            <w:pPr>
              <w:spacing w:after="0"/>
              <w:rPr>
                <w:sz w:val="11"/>
                <w:szCs w:val="11"/>
                <w:color w:val="auto"/>
              </w:rPr>
            </w:pPr>
          </w:p>
        </w:tc>
        <w:tc>
          <w:tcPr>
            <w:tcW w:w="700" w:type="dxa"/>
            <w:vAlign w:val="bottom"/>
          </w:tcPr>
          <w:p>
            <w:pPr>
              <w:jc w:val="right"/>
              <w:ind w:right="33"/>
              <w:spacing w:after="0" w:line="134" w:lineRule="exact"/>
              <w:rPr>
                <w:sz w:val="20"/>
                <w:szCs w:val="20"/>
                <w:color w:val="auto"/>
              </w:rPr>
            </w:pPr>
            <w:r>
              <w:rPr>
                <w:rFonts w:ascii="Arial" w:cs="Arial" w:eastAsia="Arial" w:hAnsi="Arial"/>
                <w:sz w:val="13"/>
                <w:szCs w:val="13"/>
                <w:color w:val="auto"/>
              </w:rPr>
              <w:t>109,260</w:t>
            </w:r>
          </w:p>
        </w:tc>
        <w:tc>
          <w:tcPr>
            <w:tcW w:w="16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115,598</w:t>
            </w: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(7,553)</w:t>
            </w:r>
          </w:p>
        </w:tc>
        <w:tc>
          <w:tcPr>
            <w:tcW w:w="180" w:type="dxa"/>
            <w:vAlign w:val="bottom"/>
          </w:tcPr>
          <w:p>
            <w:pPr>
              <w:spacing w:after="0"/>
              <w:rPr>
                <w:sz w:val="11"/>
                <w:szCs w:val="11"/>
                <w:color w:val="auto"/>
              </w:rPr>
            </w:pPr>
          </w:p>
        </w:tc>
        <w:tc>
          <w:tcPr>
            <w:tcW w:w="680" w:type="dxa"/>
            <w:vAlign w:val="bottom"/>
          </w:tcPr>
          <w:p>
            <w:pPr>
              <w:jc w:val="right"/>
              <w:ind w:right="13"/>
              <w:spacing w:after="0" w:line="134" w:lineRule="exact"/>
              <w:rPr>
                <w:sz w:val="20"/>
                <w:szCs w:val="20"/>
                <w:color w:val="auto"/>
              </w:rPr>
            </w:pPr>
            <w:r>
              <w:rPr>
                <w:rFonts w:ascii="Arial" w:cs="Arial" w:eastAsia="Arial" w:hAnsi="Arial"/>
                <w:sz w:val="13"/>
                <w:szCs w:val="13"/>
                <w:color w:val="auto"/>
              </w:rPr>
              <w:t>108,045</w:t>
            </w:r>
          </w:p>
        </w:tc>
        <w:tc>
          <w:tcPr>
            <w:tcW w:w="20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3"/>
                <w:szCs w:val="13"/>
                <w:color w:val="auto"/>
              </w:rPr>
              <w:t>232,635</w:t>
            </w:r>
          </w:p>
        </w:tc>
        <w:tc>
          <w:tcPr>
            <w:tcW w:w="1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(15,330)</w:t>
            </w:r>
          </w:p>
        </w:tc>
        <w:tc>
          <w:tcPr>
            <w:tcW w:w="14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217,305</w:t>
            </w:r>
          </w:p>
        </w:tc>
      </w:tr>
      <w:tr>
        <w:trPr>
          <w:trHeight w:val="176"/>
        </w:trPr>
        <w:tc>
          <w:tcPr>
            <w:tcW w:w="3220" w:type="dxa"/>
            <w:vAlign w:val="bottom"/>
          </w:tcPr>
          <w:p>
            <w:pPr>
              <w:ind w:left="20"/>
              <w:spacing w:after="0"/>
              <w:rPr>
                <w:sz w:val="20"/>
                <w:szCs w:val="20"/>
                <w:color w:val="auto"/>
              </w:rPr>
            </w:pPr>
            <w:r>
              <w:rPr>
                <w:rFonts w:ascii="Arial" w:cs="Arial" w:eastAsia="Arial" w:hAnsi="Arial"/>
                <w:sz w:val="13"/>
                <w:szCs w:val="13"/>
                <w:color w:val="auto"/>
              </w:rPr>
              <w:t>investments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8"/>
        </w:trPr>
        <w:tc>
          <w:tcPr>
            <w:tcW w:w="3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Share of losses from equity method investments</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r>
      <w:tr>
        <w:trPr>
          <w:trHeight w:val="16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116,654</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(7,777)</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108,877</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(7,553)</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108,045</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232,252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216,922</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4"/>
        </w:trPr>
        <w:tc>
          <w:tcPr>
            <w:tcW w:w="3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7"/>
        </w:trPr>
        <w:tc>
          <w:tcPr>
            <w:tcW w:w="3220" w:type="dxa"/>
            <w:vAlign w:val="bottom"/>
          </w:tcPr>
          <w:p>
            <w:pPr>
              <w:ind w:left="20"/>
              <w:spacing w:after="0"/>
              <w:rPr>
                <w:sz w:val="20"/>
                <w:szCs w:val="20"/>
                <w:color w:val="auto"/>
              </w:rPr>
            </w:pPr>
            <w:r>
              <w:rPr>
                <w:rFonts w:ascii="Arial" w:cs="Arial" w:eastAsia="Arial" w:hAnsi="Arial"/>
                <w:sz w:val="13"/>
                <w:szCs w:val="13"/>
                <w:color w:val="auto"/>
              </w:rPr>
              <w:t>Net income per ordinary share: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2"/>
        </w:trPr>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77"/>
        </w:trPr>
        <w:tc>
          <w:tcPr>
            <w:tcW w:w="3220" w:type="dxa"/>
            <w:vAlign w:val="bottom"/>
          </w:tcPr>
          <w:p>
            <w:pPr>
              <w:ind w:left="20"/>
              <w:spacing w:after="0"/>
              <w:rPr>
                <w:sz w:val="20"/>
                <w:szCs w:val="20"/>
                <w:color w:val="auto"/>
              </w:rPr>
            </w:pPr>
            <w:r>
              <w:rPr>
                <w:rFonts w:ascii="Arial" w:cs="Arial" w:eastAsia="Arial" w:hAnsi="Arial"/>
                <w:sz w:val="13"/>
                <w:szCs w:val="13"/>
                <w:color w:val="auto"/>
              </w:rPr>
              <w:t>Basic</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1.33</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1.32</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2.65</w:t>
            </w:r>
          </w:p>
        </w:tc>
      </w:tr>
      <w:tr>
        <w:trPr>
          <w:trHeight w:val="182"/>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1.32</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1.31</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w:t>
            </w: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7156450" cy="113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6450" cy="113030"/>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Weighted average number of ordinary shares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270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81,784,389</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81,784,389</w:t>
            </w:r>
          </w:p>
        </w:tc>
        <w:tc>
          <w:tcPr>
            <w:tcW w:w="134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81,999,746</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81,999,746</w:t>
            </w:r>
          </w:p>
        </w:tc>
        <w:tc>
          <w:tcPr>
            <w:tcW w:w="136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81,892,662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81,892,662</w:t>
            </w:r>
          </w:p>
        </w:tc>
      </w:tr>
      <w:tr>
        <w:trPr>
          <w:trHeight w:val="17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270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82,605,659</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82,605,659</w:t>
            </w: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82,627,933</w:t>
            </w: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82,627,933</w:t>
            </w:r>
          </w:p>
        </w:tc>
        <w:tc>
          <w:tcPr>
            <w:tcW w:w="13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82,617,391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82,617,391</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28"/>
        </w:trPr>
        <w:tc>
          <w:tcPr>
            <w:tcW w:w="1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21</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4"/>
        </w:trPr>
        <w:tc>
          <w:tcPr>
            <w:tcW w:w="192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596"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OPERATIONS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2400" w:type="dxa"/>
            <w:vAlign w:val="bottom"/>
            <w:tcBorders>
              <w:top w:val="single" w:sz="8" w:color="auto"/>
              <w:bottom w:val="single" w:sz="8" w:color="auto"/>
            </w:tcBorders>
            <w:gridSpan w:val="3"/>
            <w:shd w:val="clear" w:color="auto" w:fill="CCEEFF"/>
          </w:tcPr>
          <w:p>
            <w:pPr>
              <w:jc w:val="right"/>
              <w:ind w:right="673"/>
              <w:spacing w:after="0"/>
              <w:rPr>
                <w:sz w:val="20"/>
                <w:szCs w:val="20"/>
                <w:color w:val="auto"/>
              </w:rPr>
            </w:pPr>
            <w:r>
              <w:rPr>
                <w:rFonts w:ascii="Arial" w:cs="Arial" w:eastAsia="Arial" w:hAnsi="Arial"/>
                <w:sz w:val="13"/>
                <w:szCs w:val="13"/>
                <w:b w:val="1"/>
                <w:bCs w:val="1"/>
                <w:color w:val="auto"/>
              </w:rPr>
              <w:t>September 30, 2023</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spacing w:after="0"/>
              <w:rPr>
                <w:sz w:val="16"/>
                <w:szCs w:val="16"/>
                <w:color w:val="auto"/>
              </w:rPr>
            </w:pPr>
          </w:p>
        </w:tc>
      </w:tr>
      <w:tr>
        <w:trPr>
          <w:trHeight w:val="169"/>
        </w:trPr>
        <w:tc>
          <w:tcPr>
            <w:tcW w:w="3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Nine Months Ended</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9"/>
        </w:trPr>
        <w:tc>
          <w:tcPr>
            <w:tcW w:w="32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3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60" w:type="dxa"/>
            <w:vAlign w:val="bottom"/>
            <w:gridSpan w:val="6"/>
          </w:tcPr>
          <w:p>
            <w:pPr>
              <w:jc w:val="right"/>
              <w:ind w:right="93"/>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2,055,099</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(14,785)</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2,040,314</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6,053,928</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(39,605)</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6,014,323</w:t>
            </w:r>
          </w:p>
        </w:tc>
      </w:tr>
      <w:tr>
        <w:trPr>
          <w:trHeight w:val="167"/>
        </w:trPr>
        <w:tc>
          <w:tcPr>
            <w:tcW w:w="3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Direct costs</w:t>
            </w: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1,449,136</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(3,394)</w:t>
            </w:r>
          </w:p>
        </w:tc>
        <w:tc>
          <w:tcPr>
            <w:tcW w:w="3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1,445,742</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4,274,222</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(10,152)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4,264,070</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Selling, general and administrative</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185,187</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185,187</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572,999</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572,999</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146,032</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146,032</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436,217</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436,217</w:t>
            </w:r>
          </w:p>
        </w:tc>
      </w:tr>
      <w:tr>
        <w:trPr>
          <w:trHeight w:val="179"/>
        </w:trPr>
        <w:tc>
          <w:tcPr>
            <w:tcW w:w="3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Transaction and integration related</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10,433</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10,433</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34,516</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34,516</w:t>
            </w:r>
          </w:p>
        </w:tc>
      </w:tr>
      <w:tr>
        <w:trPr>
          <w:trHeight w:val="177"/>
        </w:trPr>
        <w:tc>
          <w:tcPr>
            <w:tcW w:w="322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Restructuring</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45,390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45,390</w:t>
            </w:r>
          </w:p>
        </w:tc>
      </w:tr>
      <w:tr>
        <w:trPr>
          <w:trHeight w:val="169"/>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costs and expenses</w:t>
            </w: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1,790,788</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1,787,394</w:t>
            </w: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5,363,344</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(10,152)</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5,353,192</w:t>
            </w:r>
          </w:p>
        </w:tc>
      </w:tr>
      <w:tr>
        <w:trPr>
          <w:trHeight w:val="148"/>
        </w:trPr>
        <w:tc>
          <w:tcPr>
            <w:tcW w:w="3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264,311</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(11,391)</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252,920</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690,584</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(29,453)</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661,131</w:t>
            </w:r>
          </w:p>
        </w:tc>
      </w:tr>
      <w:tr>
        <w:trPr>
          <w:trHeight w:val="177"/>
        </w:trPr>
        <w:tc>
          <w:tcPr>
            <w:tcW w:w="3220" w:type="dxa"/>
            <w:vAlign w:val="bottom"/>
          </w:tcPr>
          <w:p>
            <w:pPr>
              <w:ind w:left="300"/>
              <w:spacing w:after="0"/>
              <w:rPr>
                <w:sz w:val="20"/>
                <w:szCs w:val="20"/>
                <w:color w:val="auto"/>
              </w:rPr>
            </w:pPr>
            <w:r>
              <w:rPr>
                <w:rFonts w:ascii="Arial" w:cs="Arial" w:eastAsia="Arial" w:hAnsi="Arial"/>
                <w:sz w:val="13"/>
                <w:szCs w:val="13"/>
                <w:color w:val="auto"/>
              </w:rPr>
              <w:t>Interest income</w:t>
            </w: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1,273</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1,273</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3,294</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3,294</w:t>
            </w:r>
          </w:p>
        </w:tc>
      </w:tr>
      <w:tr>
        <w:trPr>
          <w:trHeight w:val="178"/>
        </w:trPr>
        <w:tc>
          <w:tcPr>
            <w:tcW w:w="3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Interest expense</w:t>
            </w: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(83,908)</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(83,908)</w:t>
            </w: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(255,665)</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(255,665)</w:t>
            </w:r>
          </w:p>
        </w:tc>
      </w:tr>
      <w:tr>
        <w:trPr>
          <w:trHeight w:val="159"/>
        </w:trPr>
        <w:tc>
          <w:tcPr>
            <w:tcW w:w="3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181,676</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(11,391)</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170,285</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438,213</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(29,453)</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408,760</w:t>
            </w:r>
          </w:p>
        </w:tc>
      </w:tr>
      <w:tr>
        <w:trPr>
          <w:trHeight w:val="177"/>
        </w:trPr>
        <w:tc>
          <w:tcPr>
            <w:tcW w:w="322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Income tax expense</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(18,011)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1,627</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(16,384)</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(41,913)</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4,359</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(37,554)</w:t>
            </w:r>
          </w:p>
        </w:tc>
      </w:tr>
      <w:tr>
        <w:trPr>
          <w:trHeight w:val="159"/>
        </w:trPr>
        <w:tc>
          <w:tcPr>
            <w:tcW w:w="3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34"/>
        </w:trPr>
        <w:tc>
          <w:tcPr>
            <w:tcW w:w="3220" w:type="dxa"/>
            <w:vAlign w:val="bottom"/>
          </w:tcPr>
          <w:p>
            <w:pPr>
              <w:ind w:left="20"/>
              <w:spacing w:after="0" w:line="134" w:lineRule="exact"/>
              <w:rPr>
                <w:sz w:val="20"/>
                <w:szCs w:val="20"/>
                <w:color w:val="auto"/>
              </w:rPr>
            </w:pPr>
            <w:r>
              <w:rPr>
                <w:rFonts w:ascii="Arial" w:cs="Arial" w:eastAsia="Arial" w:hAnsi="Arial"/>
                <w:sz w:val="13"/>
                <w:szCs w:val="13"/>
                <w:color w:val="auto"/>
              </w:rPr>
              <w:t>Income before share of losses from equity method</w:t>
            </w:r>
          </w:p>
        </w:tc>
        <w:tc>
          <w:tcPr>
            <w:tcW w:w="40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163,665</w:t>
            </w:r>
          </w:p>
        </w:tc>
        <w:tc>
          <w:tcPr>
            <w:tcW w:w="30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(9,764)</w:t>
            </w:r>
          </w:p>
        </w:tc>
        <w:tc>
          <w:tcPr>
            <w:tcW w:w="300" w:type="dxa"/>
            <w:vAlign w:val="bottom"/>
          </w:tcPr>
          <w:p>
            <w:pPr>
              <w:spacing w:after="0"/>
              <w:rPr>
                <w:sz w:val="11"/>
                <w:szCs w:val="11"/>
                <w:color w:val="auto"/>
              </w:rPr>
            </w:pPr>
          </w:p>
        </w:tc>
        <w:tc>
          <w:tcPr>
            <w:tcW w:w="1040" w:type="dxa"/>
            <w:vAlign w:val="bottom"/>
          </w:tcPr>
          <w:p>
            <w:pPr>
              <w:jc w:val="right"/>
              <w:ind w:right="33"/>
              <w:spacing w:after="0" w:line="134" w:lineRule="exact"/>
              <w:rPr>
                <w:sz w:val="20"/>
                <w:szCs w:val="20"/>
                <w:color w:val="auto"/>
              </w:rPr>
            </w:pPr>
            <w:r>
              <w:rPr>
                <w:rFonts w:ascii="Arial" w:cs="Arial" w:eastAsia="Arial" w:hAnsi="Arial"/>
                <w:sz w:val="13"/>
                <w:szCs w:val="13"/>
                <w:color w:val="auto"/>
              </w:rPr>
              <w:t>153,901</w:t>
            </w:r>
          </w:p>
        </w:tc>
        <w:tc>
          <w:tcPr>
            <w:tcW w:w="34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Arial" w:cs="Arial" w:eastAsia="Arial" w:hAnsi="Arial"/>
                <w:sz w:val="13"/>
                <w:szCs w:val="13"/>
                <w:color w:val="auto"/>
              </w:rPr>
              <w:t>396,300</w:t>
            </w:r>
          </w:p>
        </w:tc>
        <w:tc>
          <w:tcPr>
            <w:tcW w:w="32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3"/>
                <w:szCs w:val="13"/>
                <w:color w:val="auto"/>
              </w:rPr>
              <w:t>(25,094)</w:t>
            </w:r>
          </w:p>
        </w:tc>
        <w:tc>
          <w:tcPr>
            <w:tcW w:w="3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Arial" w:cs="Arial" w:eastAsia="Arial" w:hAnsi="Arial"/>
                <w:sz w:val="13"/>
                <w:szCs w:val="13"/>
                <w:color w:val="auto"/>
              </w:rPr>
              <w:t>371,206</w:t>
            </w:r>
          </w:p>
        </w:tc>
      </w:tr>
      <w:tr>
        <w:trPr>
          <w:trHeight w:val="176"/>
        </w:trPr>
        <w:tc>
          <w:tcPr>
            <w:tcW w:w="3220" w:type="dxa"/>
            <w:vAlign w:val="bottom"/>
          </w:tcPr>
          <w:p>
            <w:pPr>
              <w:ind w:left="20"/>
              <w:spacing w:after="0"/>
              <w:rPr>
                <w:sz w:val="20"/>
                <w:szCs w:val="20"/>
                <w:color w:val="auto"/>
              </w:rPr>
            </w:pPr>
            <w:r>
              <w:rPr>
                <w:rFonts w:ascii="Arial" w:cs="Arial" w:eastAsia="Arial" w:hAnsi="Arial"/>
                <w:sz w:val="13"/>
                <w:szCs w:val="13"/>
                <w:color w:val="auto"/>
              </w:rPr>
              <w:t>investments</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8"/>
        </w:trPr>
        <w:tc>
          <w:tcPr>
            <w:tcW w:w="3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Share of losses from equity method investments</w:t>
            </w: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r>
      <w:tr>
        <w:trPr>
          <w:trHeight w:val="16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163,665</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(9,764)</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153,901</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395,917</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(25,094)</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370,823</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1"/>
        </w:trPr>
        <w:tc>
          <w:tcPr>
            <w:tcW w:w="3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7"/>
        </w:trPr>
        <w:tc>
          <w:tcPr>
            <w:tcW w:w="3220" w:type="dxa"/>
            <w:vAlign w:val="bottom"/>
          </w:tcPr>
          <w:p>
            <w:pPr>
              <w:ind w:left="20"/>
              <w:spacing w:after="0"/>
              <w:rPr>
                <w:sz w:val="20"/>
                <w:szCs w:val="20"/>
                <w:color w:val="auto"/>
              </w:rPr>
            </w:pPr>
            <w:r>
              <w:rPr>
                <w:rFonts w:ascii="Arial" w:cs="Arial" w:eastAsia="Arial" w:hAnsi="Arial"/>
                <w:sz w:val="13"/>
                <w:szCs w:val="13"/>
                <w:color w:val="auto"/>
              </w:rPr>
              <w:t>Net income per ordinary share:</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7"/>
        </w:trPr>
        <w:tc>
          <w:tcPr>
            <w:tcW w:w="3220" w:type="dxa"/>
            <w:vAlign w:val="bottom"/>
          </w:tcPr>
          <w:p>
            <w:pPr>
              <w:ind w:left="20"/>
              <w:spacing w:after="0"/>
              <w:rPr>
                <w:sz w:val="20"/>
                <w:szCs w:val="20"/>
                <w:color w:val="auto"/>
              </w:rPr>
            </w:pPr>
            <w:r>
              <w:rPr>
                <w:rFonts w:ascii="Arial" w:cs="Arial" w:eastAsia="Arial" w:hAnsi="Arial"/>
                <w:sz w:val="13"/>
                <w:szCs w:val="13"/>
                <w:color w:val="auto"/>
              </w:rPr>
              <w:t>Basic</w:t>
            </w:r>
          </w:p>
        </w:tc>
        <w:tc>
          <w:tcPr>
            <w:tcW w:w="4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1.99</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1.87</w:t>
            </w:r>
          </w:p>
        </w:tc>
        <w:tc>
          <w:tcPr>
            <w:tcW w:w="3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4.83</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4.52</w:t>
            </w:r>
          </w:p>
        </w:tc>
      </w:tr>
      <w:tr>
        <w:trPr>
          <w:trHeight w:val="182"/>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1.85</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w:t>
            </w:r>
          </w:p>
        </w:tc>
      </w:tr>
      <w:tr>
        <w:trPr>
          <w:trHeight w:val="20"/>
        </w:trPr>
        <w:tc>
          <w:tcPr>
            <w:tcW w:w="3620" w:type="dxa"/>
            <w:vAlign w:val="bottom"/>
            <w:tcBorders>
              <w:top w:val="single" w:sz="8" w:color="CCEEFF"/>
              <w:bottom w:val="single" w:sz="8" w:color="auto"/>
            </w:tcBorders>
            <w:gridSpan w:val="2"/>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20"/>
        </w:trPr>
        <w:tc>
          <w:tcPr>
            <w:tcW w:w="3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78"/>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number of ordinary shares outstanding:</w:t>
            </w: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2"/>
        </w:trPr>
        <w:tc>
          <w:tcPr>
            <w:tcW w:w="3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8"/>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82,215,627</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82,215,627</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82,001,500</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82,001,500</w:t>
            </w:r>
          </w:p>
        </w:tc>
      </w:tr>
      <w:tr>
        <w:trPr>
          <w:trHeight w:val="177"/>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82,972,888</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82,972,888</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82,737,073</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82,737,073</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394" w:right="339" w:bottom="1440" w:gutter="0" w:footer="0" w:header="0"/>
        </w:sectPr>
      </w:pPr>
    </w:p>
    <w:bookmarkStart w:id="24" w:name="page25"/>
    <w:bookmarkEnd w:id="24"/>
    <w:p>
      <w:pPr>
        <w:jc w:val="both"/>
        <w:ind w:firstLine="533"/>
        <w:spacing w:after="0" w:line="262" w:lineRule="auto"/>
        <w:rPr>
          <w:sz w:val="20"/>
          <w:szCs w:val="20"/>
          <w:color w:val="auto"/>
        </w:rPr>
      </w:pPr>
      <w:r>
        <w:rPr>
          <w:rFonts w:ascii="Arial" w:cs="Arial" w:eastAsia="Arial" w:hAnsi="Arial"/>
          <w:sz w:val="13"/>
          <w:szCs w:val="13"/>
          <w:color w:val="auto"/>
        </w:rPr>
        <w:t>The table below sets forth unaudited condensed Consolidated Statements of Comprehensive Income, including the balances originally reported in the Company’s unaudited condensed Consolidated financial statements, the effects of the adjustments made and the restated balances for each of the three months and year to date periods ended March 31, June 30, and September 30 of 2023.</w:t>
      </w:r>
    </w:p>
    <w:p>
      <w:pPr>
        <w:jc w:val="center"/>
        <w:spacing w:after="0"/>
        <w:rPr>
          <w:sz w:val="20"/>
          <w:szCs w:val="20"/>
          <w:color w:val="auto"/>
        </w:rPr>
      </w:pPr>
      <w:r>
        <w:rPr>
          <w:rFonts w:ascii="Arial" w:cs="Arial" w:eastAsia="Arial" w:hAnsi="Arial"/>
          <w:sz w:val="13"/>
          <w:szCs w:val="13"/>
          <w:b w:val="1"/>
          <w:bCs w:val="1"/>
          <w:color w:val="auto"/>
        </w:rPr>
        <w:t>ICON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COMPREHENSIVE INCOME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w w:val="99"/>
              </w:rPr>
              <w:t>March 31, 2023</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gridSpan w:val="3"/>
            <w:shd w:val="clear" w:color="auto" w:fill="CCEEFF"/>
          </w:tcPr>
          <w:p>
            <w:pPr>
              <w:jc w:val="right"/>
              <w:ind w:right="353"/>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3"/>
                <w:szCs w:val="13"/>
                <w:b w:val="1"/>
                <w:bCs w:val="1"/>
                <w:color w:val="auto"/>
              </w:rPr>
              <w:t>Six Months Ended</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20" w:type="dxa"/>
            <w:vAlign w:val="bottom"/>
            <w:shd w:val="clear" w:color="auto" w:fill="CCEEFF"/>
          </w:tcPr>
          <w:p>
            <w:pPr>
              <w:spacing w:after="0"/>
              <w:rPr>
                <w:sz w:val="10"/>
                <w:szCs w:val="10"/>
                <w:color w:val="auto"/>
              </w:rPr>
            </w:pPr>
          </w:p>
        </w:tc>
        <w:tc>
          <w:tcPr>
            <w:tcW w:w="16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As Reported</w:t>
            </w:r>
          </w:p>
        </w:tc>
        <w:tc>
          <w:tcPr>
            <w:tcW w:w="100" w:type="dxa"/>
            <w:vAlign w:val="bottom"/>
            <w:shd w:val="clear" w:color="auto" w:fill="CCEEFF"/>
          </w:tcPr>
          <w:p>
            <w:pPr>
              <w:spacing w:after="0"/>
              <w:rPr>
                <w:sz w:val="10"/>
                <w:szCs w:val="10"/>
                <w:color w:val="auto"/>
              </w:rPr>
            </w:pPr>
          </w:p>
        </w:tc>
        <w:tc>
          <w:tcPr>
            <w:tcW w:w="16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As</w:t>
            </w:r>
          </w:p>
        </w:tc>
        <w:tc>
          <w:tcPr>
            <w:tcW w:w="100" w:type="dxa"/>
            <w:vAlign w:val="bottom"/>
            <w:shd w:val="clear" w:color="auto" w:fill="CCEEFF"/>
          </w:tcPr>
          <w:p>
            <w:pPr>
              <w:spacing w:after="0"/>
              <w:rPr>
                <w:sz w:val="10"/>
                <w:szCs w:val="10"/>
                <w:color w:val="auto"/>
              </w:rPr>
            </w:pPr>
          </w:p>
        </w:tc>
        <w:tc>
          <w:tcPr>
            <w:tcW w:w="1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0" w:type="dxa"/>
            <w:vAlign w:val="bottom"/>
          </w:tcPr>
          <w:p>
            <w:pPr>
              <w:spacing w:after="0"/>
              <w:rPr>
                <w:sz w:val="1"/>
                <w:szCs w:val="1"/>
                <w:color w:val="auto"/>
              </w:rPr>
            </w:pPr>
          </w:p>
        </w:tc>
      </w:tr>
      <w:tr>
        <w:trPr>
          <w:trHeight w:val="178"/>
        </w:trPr>
        <w:tc>
          <w:tcPr>
            <w:tcW w:w="2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gridSpan w:val="3"/>
            <w:vMerge w:val="continue"/>
            <w:shd w:val="clear" w:color="auto" w:fill="CCEEFF"/>
          </w:tcPr>
          <w:p>
            <w:pPr>
              <w:spacing w:after="0"/>
              <w:rPr>
                <w:sz w:val="15"/>
                <w:szCs w:val="15"/>
                <w:color w:val="auto"/>
              </w:rPr>
            </w:pPr>
          </w:p>
        </w:tc>
        <w:tc>
          <w:tcPr>
            <w:tcW w:w="86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gridSpan w:val="3"/>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Reported</w:t>
            </w:r>
          </w:p>
        </w:tc>
        <w:tc>
          <w:tcPr>
            <w:tcW w:w="1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116,654</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(7,777)</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108,877</w:t>
            </w:r>
          </w:p>
        </w:tc>
        <w:tc>
          <w:tcPr>
            <w:tcW w:w="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115,598</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(7,553)</w:t>
            </w: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108,045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232,252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(15,330)</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216,922</w:t>
            </w: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rPr>
                <w:sz w:val="20"/>
                <w:szCs w:val="20"/>
                <w:color w:val="auto"/>
              </w:rPr>
            </w:pPr>
            <w:r>
              <w:rPr>
                <w:rFonts w:ascii="Arial" w:cs="Arial" w:eastAsia="Arial" w:hAnsi="Arial"/>
                <w:sz w:val="13"/>
                <w:szCs w:val="13"/>
                <w:i w:val="1"/>
                <w:iCs w:val="1"/>
                <w:color w:val="auto"/>
              </w:rPr>
              <w:t>Other comprehensive income, net of tax:</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Currency translation adjustment</w:t>
            </w: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15,500</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(10,638)</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4,862</w:t>
            </w:r>
          </w:p>
        </w:tc>
        <w:tc>
          <w:tcPr>
            <w:tcW w:w="0" w:type="dxa"/>
            <w:vAlign w:val="bottom"/>
          </w:tcPr>
          <w:p>
            <w:pPr>
              <w:spacing w:after="0"/>
              <w:rPr>
                <w:sz w:val="1"/>
                <w:szCs w:val="1"/>
                <w:color w:val="auto"/>
              </w:rPr>
            </w:pPr>
          </w:p>
        </w:tc>
      </w:tr>
      <w:tr>
        <w:trPr>
          <w:trHeight w:val="177"/>
        </w:trPr>
        <w:tc>
          <w:tcPr>
            <w:tcW w:w="29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Movement on cash flow hedge</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(3,858)</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(3,858)</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14,006</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14,006</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10,148</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10,148</w:t>
            </w:r>
          </w:p>
        </w:tc>
        <w:tc>
          <w:tcPr>
            <w:tcW w:w="0" w:type="dxa"/>
            <w:vAlign w:val="bottom"/>
          </w:tcPr>
          <w:p>
            <w:pPr>
              <w:spacing w:after="0"/>
              <w:rPr>
                <w:sz w:val="1"/>
                <w:szCs w:val="1"/>
                <w:color w:val="auto"/>
              </w:rPr>
            </w:pPr>
          </w:p>
        </w:tc>
      </w:tr>
      <w:tr>
        <w:trPr>
          <w:trHeight w:val="195"/>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128,296</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(7,777)</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120,519</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118,966</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(7,553)</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111,413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247,262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(15,330)</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231,932</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COMPREHENSIVE INCOME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2360" w:type="dxa"/>
            <w:vAlign w:val="bottom"/>
            <w:tcBorders>
              <w:top w:val="single" w:sz="8" w:color="auto"/>
              <w:bottom w:val="single" w:sz="8" w:color="auto"/>
            </w:tcBorders>
            <w:gridSpan w:val="3"/>
            <w:shd w:val="clear" w:color="auto" w:fill="CCEEFF"/>
          </w:tcPr>
          <w:p>
            <w:pPr>
              <w:jc w:val="right"/>
              <w:ind w:right="633"/>
              <w:spacing w:after="0"/>
              <w:rPr>
                <w:sz w:val="20"/>
                <w:szCs w:val="20"/>
                <w:color w:val="auto"/>
              </w:rPr>
            </w:pPr>
            <w:r>
              <w:rPr>
                <w:rFonts w:ascii="Arial" w:cs="Arial" w:eastAsia="Arial" w:hAnsi="Arial"/>
                <w:sz w:val="13"/>
                <w:szCs w:val="13"/>
                <w:b w:val="1"/>
                <w:bCs w:val="1"/>
                <w:color w:val="auto"/>
              </w:rPr>
              <w:t>September 30, 2023</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Nine Months Ended</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9"/>
        </w:trPr>
        <w:tc>
          <w:tcPr>
            <w:tcW w:w="29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5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163,665</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(9,764)</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153,901</w:t>
            </w: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395,917</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(25,094)</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370,823</w:t>
            </w:r>
          </w:p>
        </w:tc>
      </w:tr>
      <w:tr>
        <w:trPr>
          <w:trHeight w:val="177"/>
        </w:trPr>
        <w:tc>
          <w:tcPr>
            <w:tcW w:w="2940" w:type="dxa"/>
            <w:vAlign w:val="bottom"/>
          </w:tcPr>
          <w:p>
            <w:pPr>
              <w:ind w:left="20"/>
              <w:spacing w:after="0"/>
              <w:rPr>
                <w:sz w:val="20"/>
                <w:szCs w:val="20"/>
                <w:color w:val="auto"/>
              </w:rPr>
            </w:pPr>
            <w:r>
              <w:rPr>
                <w:rFonts w:ascii="Arial" w:cs="Arial" w:eastAsia="Arial" w:hAnsi="Arial"/>
                <w:sz w:val="13"/>
                <w:szCs w:val="13"/>
                <w:i w:val="1"/>
                <w:iCs w:val="1"/>
                <w:color w:val="auto"/>
              </w:rPr>
              <w:t>Other comprehensive income, net of tax:</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9"/>
        </w:trPr>
        <w:tc>
          <w:tcPr>
            <w:tcW w:w="29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Currency translation adjustment</w:t>
            </w: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(38,648)</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(38,648)</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(33,786)</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(33,786)</w:t>
            </w:r>
          </w:p>
        </w:tc>
      </w:tr>
      <w:tr>
        <w:trPr>
          <w:trHeight w:val="177"/>
        </w:trPr>
        <w:tc>
          <w:tcPr>
            <w:tcW w:w="29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Movement on cash flow hedge</w:t>
            </w: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4,986</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4,986</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15,134</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15,134</w:t>
            </w:r>
          </w:p>
        </w:tc>
      </w:tr>
      <w:tr>
        <w:trPr>
          <w:trHeight w:val="195"/>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w:t>
            </w:r>
          </w:p>
        </w:tc>
        <w:tc>
          <w:tcPr>
            <w:tcW w:w="7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130,003</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(9,764)</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120,239</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377,265</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(25,094)</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352,171</w:t>
            </w: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25" w:name="page26"/>
    <w:bookmarkEnd w:id="25"/>
    <w:p>
      <w:pPr>
        <w:ind w:firstLine="533"/>
        <w:spacing w:after="0" w:line="283" w:lineRule="auto"/>
        <w:rPr>
          <w:sz w:val="20"/>
          <w:szCs w:val="20"/>
          <w:color w:val="auto"/>
        </w:rPr>
      </w:pPr>
      <w:r>
        <w:rPr>
          <w:rFonts w:ascii="Arial" w:cs="Arial" w:eastAsia="Arial" w:hAnsi="Arial"/>
          <w:sz w:val="13"/>
          <w:szCs w:val="13"/>
          <w:color w:val="auto"/>
        </w:rPr>
        <w:t>The table below sets forth the unaudited condensed Consolidated Balance Sheets, including the balances originally reported in the Company’s unaudited condensed Consolidated financial statements, the effects of the adjustments made and the restated balances as at March 31, June 30, and September 30 of 2023.</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CONDENSED CONSOLIDATED BALANCE SHEETS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2540" w:type="dxa"/>
            <w:vAlign w:val="bottom"/>
            <w:tcBorders>
              <w:top w:val="single" w:sz="8" w:color="auto"/>
              <w:bottom w:val="single" w:sz="8" w:color="auto"/>
            </w:tcBorders>
            <w:gridSpan w:val="5"/>
            <w:shd w:val="clear" w:color="auto" w:fill="CCEEFF"/>
          </w:tcPr>
          <w:p>
            <w:pPr>
              <w:jc w:val="right"/>
              <w:ind w:right="633"/>
              <w:spacing w:after="0"/>
              <w:rPr>
                <w:sz w:val="20"/>
                <w:szCs w:val="20"/>
                <w:color w:val="auto"/>
              </w:rPr>
            </w:pPr>
            <w:r>
              <w:rPr>
                <w:rFonts w:ascii="Arial" w:cs="Arial" w:eastAsia="Arial" w:hAnsi="Arial"/>
                <w:sz w:val="13"/>
                <w:szCs w:val="13"/>
                <w:b w:val="1"/>
                <w:bCs w:val="1"/>
                <w:color w:val="auto"/>
              </w:rPr>
              <w:t>September 30, 2023</w:t>
            </w:r>
          </w:p>
        </w:tc>
        <w:tc>
          <w:tcPr>
            <w:tcW w:w="40" w:type="dxa"/>
            <w:vAlign w:val="bottom"/>
          </w:tcPr>
          <w:p>
            <w:pPr>
              <w:spacing w:after="0"/>
              <w:rPr>
                <w:sz w:val="14"/>
                <w:szCs w:val="14"/>
                <w:color w:val="auto"/>
              </w:rPr>
            </w:pPr>
          </w:p>
        </w:tc>
      </w:tr>
      <w:tr>
        <w:trPr>
          <w:trHeight w:val="169"/>
        </w:trPr>
        <w:tc>
          <w:tcPr>
            <w:tcW w:w="3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40" w:type="dxa"/>
            <w:vAlign w:val="bottom"/>
          </w:tcPr>
          <w:p>
            <w:pPr>
              <w:spacing w:after="0"/>
              <w:rPr>
                <w:sz w:val="14"/>
                <w:szCs w:val="14"/>
                <w:color w:val="auto"/>
              </w:rPr>
            </w:pPr>
          </w:p>
        </w:tc>
      </w:tr>
      <w:tr>
        <w:trPr>
          <w:trHeight w:val="169"/>
        </w:trPr>
        <w:tc>
          <w:tcPr>
            <w:tcW w:w="3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8"/>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140" w:type="dxa"/>
            <w:vAlign w:val="bottom"/>
          </w:tcPr>
          <w:p>
            <w:pPr>
              <w:ind w:left="300"/>
              <w:spacing w:after="0"/>
              <w:rPr>
                <w:sz w:val="20"/>
                <w:szCs w:val="20"/>
                <w:color w:val="auto"/>
              </w:rPr>
            </w:pPr>
            <w:r>
              <w:rPr>
                <w:rFonts w:ascii="Arial" w:cs="Arial" w:eastAsia="Arial" w:hAnsi="Arial"/>
                <w:sz w:val="13"/>
                <w:szCs w:val="13"/>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279,880</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279,880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270,176</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270,176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313,065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313,065</w:t>
            </w:r>
          </w:p>
        </w:tc>
        <w:tc>
          <w:tcPr>
            <w:tcW w:w="40" w:type="dxa"/>
            <w:vAlign w:val="bottom"/>
          </w:tcPr>
          <w:p>
            <w:pPr>
              <w:spacing w:after="0"/>
              <w:rPr>
                <w:sz w:val="15"/>
                <w:szCs w:val="15"/>
                <w:color w:val="auto"/>
              </w:rPr>
            </w:pPr>
          </w:p>
        </w:tc>
      </w:tr>
      <w:tr>
        <w:trPr>
          <w:trHeight w:val="179"/>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Available for sale investments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1,653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1,653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40" w:type="dxa"/>
            <w:vAlign w:val="bottom"/>
          </w:tcPr>
          <w:p>
            <w:pPr>
              <w:spacing w:after="0"/>
              <w:rPr>
                <w:sz w:val="15"/>
                <w:szCs w:val="15"/>
                <w:color w:val="auto"/>
              </w:rPr>
            </w:pPr>
          </w:p>
        </w:tc>
      </w:tr>
      <w:tr>
        <w:trPr>
          <w:trHeight w:val="134"/>
        </w:trPr>
        <w:tc>
          <w:tcPr>
            <w:tcW w:w="3140" w:type="dxa"/>
            <w:vAlign w:val="bottom"/>
          </w:tcPr>
          <w:p>
            <w:pPr>
              <w:ind w:left="300"/>
              <w:spacing w:after="0" w:line="134" w:lineRule="exact"/>
              <w:rPr>
                <w:sz w:val="20"/>
                <w:szCs w:val="20"/>
                <w:color w:val="auto"/>
              </w:rPr>
            </w:pPr>
            <w:r>
              <w:rPr>
                <w:rFonts w:ascii="Arial" w:cs="Arial" w:eastAsia="Arial" w:hAnsi="Arial"/>
                <w:sz w:val="13"/>
                <w:szCs w:val="13"/>
                <w:color w:val="auto"/>
              </w:rPr>
              <w:t>Accounts receivable, net of allowance for credit</w:t>
            </w:r>
          </w:p>
        </w:tc>
        <w:tc>
          <w:tcPr>
            <w:tcW w:w="16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1,802,726</w:t>
            </w:r>
          </w:p>
        </w:tc>
        <w:tc>
          <w:tcPr>
            <w:tcW w:w="100" w:type="dxa"/>
            <w:vAlign w:val="bottom"/>
          </w:tcPr>
          <w:p>
            <w:pPr>
              <w:spacing w:after="0"/>
              <w:rPr>
                <w:sz w:val="11"/>
                <w:szCs w:val="11"/>
                <w:color w:val="auto"/>
              </w:rPr>
            </w:pPr>
          </w:p>
        </w:tc>
        <w:tc>
          <w:tcPr>
            <w:tcW w:w="8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1,802,726</w:t>
            </w:r>
          </w:p>
        </w:tc>
        <w:tc>
          <w:tcPr>
            <w:tcW w:w="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1,759,111</w:t>
            </w:r>
          </w:p>
        </w:tc>
        <w:tc>
          <w:tcPr>
            <w:tcW w:w="100" w:type="dxa"/>
            <w:vAlign w:val="bottom"/>
          </w:tcPr>
          <w:p>
            <w:pPr>
              <w:spacing w:after="0"/>
              <w:rPr>
                <w:sz w:val="11"/>
                <w:szCs w:val="11"/>
                <w:color w:val="auto"/>
              </w:rPr>
            </w:pPr>
          </w:p>
        </w:tc>
        <w:tc>
          <w:tcPr>
            <w:tcW w:w="8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1,759,111</w:t>
            </w:r>
          </w:p>
        </w:tc>
        <w:tc>
          <w:tcPr>
            <w:tcW w:w="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1,850,362</w:t>
            </w:r>
          </w:p>
        </w:tc>
        <w:tc>
          <w:tcPr>
            <w:tcW w:w="1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1,850,362</w:t>
            </w:r>
          </w:p>
        </w:tc>
        <w:tc>
          <w:tcPr>
            <w:tcW w:w="40" w:type="dxa"/>
            <w:vAlign w:val="bottom"/>
          </w:tcPr>
          <w:p>
            <w:pPr>
              <w:spacing w:after="0"/>
              <w:rPr>
                <w:sz w:val="11"/>
                <w:szCs w:val="11"/>
                <w:color w:val="auto"/>
              </w:rPr>
            </w:pPr>
          </w:p>
        </w:tc>
      </w:tr>
      <w:tr>
        <w:trPr>
          <w:trHeight w:val="176"/>
        </w:trPr>
        <w:tc>
          <w:tcPr>
            <w:tcW w:w="3140" w:type="dxa"/>
            <w:vAlign w:val="bottom"/>
          </w:tcPr>
          <w:p>
            <w:pPr>
              <w:ind w:left="300"/>
              <w:spacing w:after="0"/>
              <w:rPr>
                <w:sz w:val="20"/>
                <w:szCs w:val="20"/>
                <w:color w:val="auto"/>
              </w:rPr>
            </w:pPr>
            <w:r>
              <w:rPr>
                <w:rFonts w:ascii="Arial" w:cs="Arial" w:eastAsia="Arial" w:hAnsi="Arial"/>
                <w:sz w:val="13"/>
                <w:szCs w:val="13"/>
                <w:color w:val="auto"/>
              </w:rPr>
              <w:t>losses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9"/>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Unbilled revenue</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974,260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(93,848)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880,412</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985,034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(82,713)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902,321</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941,884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(113,431)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828,453</w:t>
            </w:r>
          </w:p>
        </w:tc>
        <w:tc>
          <w:tcPr>
            <w:tcW w:w="40" w:type="dxa"/>
            <w:vAlign w:val="bottom"/>
          </w:tcPr>
          <w:p>
            <w:pPr>
              <w:spacing w:after="0"/>
              <w:rPr>
                <w:sz w:val="15"/>
                <w:szCs w:val="15"/>
                <w:color w:val="auto"/>
              </w:rPr>
            </w:pPr>
          </w:p>
        </w:tc>
      </w:tr>
      <w:tr>
        <w:trPr>
          <w:trHeight w:val="177"/>
        </w:trPr>
        <w:tc>
          <w:tcPr>
            <w:tcW w:w="3140" w:type="dxa"/>
            <w:vAlign w:val="bottom"/>
          </w:tcPr>
          <w:p>
            <w:pPr>
              <w:ind w:left="300"/>
              <w:spacing w:after="0"/>
              <w:rPr>
                <w:sz w:val="20"/>
                <w:szCs w:val="20"/>
                <w:color w:val="auto"/>
              </w:rPr>
            </w:pPr>
            <w:r>
              <w:rPr>
                <w:rFonts w:ascii="Arial" w:cs="Arial" w:eastAsia="Arial" w:hAnsi="Arial"/>
                <w:sz w:val="13"/>
                <w:szCs w:val="13"/>
                <w:color w:val="auto"/>
              </w:rPr>
              <w:t>Other receivables</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143,727</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143,727</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129,101</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129,101</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121,687</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121,687</w:t>
            </w:r>
          </w:p>
        </w:tc>
        <w:tc>
          <w:tcPr>
            <w:tcW w:w="40" w:type="dxa"/>
            <w:vAlign w:val="bottom"/>
          </w:tcPr>
          <w:p>
            <w:pPr>
              <w:spacing w:after="0"/>
              <w:rPr>
                <w:sz w:val="15"/>
                <w:szCs w:val="15"/>
                <w:color w:val="auto"/>
              </w:rPr>
            </w:pPr>
          </w:p>
        </w:tc>
      </w:tr>
      <w:tr>
        <w:trPr>
          <w:trHeight w:val="179"/>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Prepayments and other current assets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170,167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170,167</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152,774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152,774</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150,193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150,193</w:t>
            </w:r>
          </w:p>
        </w:tc>
        <w:tc>
          <w:tcPr>
            <w:tcW w:w="40" w:type="dxa"/>
            <w:vAlign w:val="bottom"/>
          </w:tcPr>
          <w:p>
            <w:pPr>
              <w:spacing w:after="0"/>
              <w:rPr>
                <w:sz w:val="15"/>
                <w:szCs w:val="15"/>
                <w:color w:val="auto"/>
              </w:rPr>
            </w:pPr>
          </w:p>
        </w:tc>
      </w:tr>
      <w:tr>
        <w:trPr>
          <w:trHeight w:val="177"/>
        </w:trPr>
        <w:tc>
          <w:tcPr>
            <w:tcW w:w="31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Income taxes receivable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56,820</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56,820</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70,021</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70,021</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42,039</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42,039</w:t>
            </w:r>
          </w:p>
        </w:tc>
        <w:tc>
          <w:tcPr>
            <w:tcW w:w="40" w:type="dxa"/>
            <w:vAlign w:val="bottom"/>
          </w:tcPr>
          <w:p>
            <w:pPr>
              <w:spacing w:after="0"/>
              <w:rPr>
                <w:sz w:val="15"/>
                <w:szCs w:val="15"/>
                <w:color w:val="auto"/>
              </w:rPr>
            </w:pPr>
          </w:p>
        </w:tc>
      </w:tr>
      <w:tr>
        <w:trPr>
          <w:trHeight w:val="170"/>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3,429,233</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3,335,385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3,367,870</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3,285,157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3,421,184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(113,431)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3,307,753</w:t>
            </w:r>
          </w:p>
        </w:tc>
        <w:tc>
          <w:tcPr>
            <w:tcW w:w="40" w:type="dxa"/>
            <w:vAlign w:val="bottom"/>
          </w:tcPr>
          <w:p>
            <w:pPr>
              <w:spacing w:after="0"/>
              <w:rPr>
                <w:sz w:val="14"/>
                <w:szCs w:val="14"/>
                <w:color w:val="auto"/>
              </w:rPr>
            </w:pPr>
          </w:p>
        </w:tc>
      </w:tr>
      <w:tr>
        <w:trPr>
          <w:trHeight w:val="211"/>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8"/>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assets: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140" w:type="dxa"/>
            <w:vAlign w:val="bottom"/>
          </w:tcPr>
          <w:p>
            <w:pPr>
              <w:ind w:left="300"/>
              <w:spacing w:after="0"/>
              <w:rPr>
                <w:sz w:val="20"/>
                <w:szCs w:val="20"/>
                <w:color w:val="auto"/>
              </w:rPr>
            </w:pPr>
            <w:r>
              <w:rPr>
                <w:rFonts w:ascii="Arial" w:cs="Arial" w:eastAsia="Arial" w:hAnsi="Arial"/>
                <w:sz w:val="13"/>
                <w:szCs w:val="13"/>
                <w:color w:val="auto"/>
              </w:rPr>
              <w:t>Property, plant and equipment, net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348,106</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348,106</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346,521</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346,521</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342,262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342,262</w:t>
            </w:r>
          </w:p>
        </w:tc>
        <w:tc>
          <w:tcPr>
            <w:tcW w:w="40" w:type="dxa"/>
            <w:vAlign w:val="bottom"/>
          </w:tcPr>
          <w:p>
            <w:pPr>
              <w:spacing w:after="0"/>
              <w:rPr>
                <w:sz w:val="15"/>
                <w:szCs w:val="15"/>
                <w:color w:val="auto"/>
              </w:rPr>
            </w:pPr>
          </w:p>
        </w:tc>
      </w:tr>
      <w:tr>
        <w:trPr>
          <w:trHeight w:val="179"/>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8,979,134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8,979,134</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8,993,583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8,993,583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8,982,896</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8,982,896</w:t>
            </w:r>
          </w:p>
        </w:tc>
        <w:tc>
          <w:tcPr>
            <w:tcW w:w="40" w:type="dxa"/>
            <w:vAlign w:val="bottom"/>
          </w:tcPr>
          <w:p>
            <w:pPr>
              <w:spacing w:after="0"/>
              <w:rPr>
                <w:sz w:val="15"/>
                <w:szCs w:val="15"/>
                <w:color w:val="auto"/>
              </w:rPr>
            </w:pPr>
          </w:p>
        </w:tc>
      </w:tr>
      <w:tr>
        <w:trPr>
          <w:trHeight w:val="177"/>
        </w:trPr>
        <w:tc>
          <w:tcPr>
            <w:tcW w:w="3140" w:type="dxa"/>
            <w:vAlign w:val="bottom"/>
          </w:tcPr>
          <w:p>
            <w:pPr>
              <w:ind w:left="300"/>
              <w:spacing w:after="0"/>
              <w:rPr>
                <w:sz w:val="20"/>
                <w:szCs w:val="20"/>
                <w:color w:val="auto"/>
              </w:rPr>
            </w:pPr>
            <w:r>
              <w:rPr>
                <w:rFonts w:ascii="Arial" w:cs="Arial" w:eastAsia="Arial" w:hAnsi="Arial"/>
                <w:sz w:val="13"/>
                <w:szCs w:val="13"/>
                <w:color w:val="auto"/>
              </w:rPr>
              <w:t>Intangible assets, net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4,164,410</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4,164,410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4,049,793</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4,049,793</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3,934,673</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3,934,673</w:t>
            </w:r>
          </w:p>
        </w:tc>
        <w:tc>
          <w:tcPr>
            <w:tcW w:w="40" w:type="dxa"/>
            <w:vAlign w:val="bottom"/>
          </w:tcPr>
          <w:p>
            <w:pPr>
              <w:spacing w:after="0"/>
              <w:rPr>
                <w:sz w:val="15"/>
                <w:szCs w:val="15"/>
                <w:color w:val="auto"/>
              </w:rPr>
            </w:pPr>
          </w:p>
        </w:tc>
      </w:tr>
      <w:tr>
        <w:trPr>
          <w:trHeight w:val="179"/>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Operating right-of-use assets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150,495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150,495</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144,514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144,514</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132,319</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132,319</w:t>
            </w:r>
          </w:p>
        </w:tc>
        <w:tc>
          <w:tcPr>
            <w:tcW w:w="40" w:type="dxa"/>
            <w:vAlign w:val="bottom"/>
          </w:tcPr>
          <w:p>
            <w:pPr>
              <w:spacing w:after="0"/>
              <w:rPr>
                <w:sz w:val="15"/>
                <w:szCs w:val="15"/>
                <w:color w:val="auto"/>
              </w:rPr>
            </w:pPr>
          </w:p>
        </w:tc>
      </w:tr>
      <w:tr>
        <w:trPr>
          <w:trHeight w:val="177"/>
        </w:trPr>
        <w:tc>
          <w:tcPr>
            <w:tcW w:w="3140" w:type="dxa"/>
            <w:vAlign w:val="bottom"/>
          </w:tcPr>
          <w:p>
            <w:pPr>
              <w:ind w:left="300"/>
              <w:spacing w:after="0"/>
              <w:rPr>
                <w:sz w:val="20"/>
                <w:szCs w:val="20"/>
                <w:color w:val="auto"/>
              </w:rPr>
            </w:pPr>
            <w:r>
              <w:rPr>
                <w:rFonts w:ascii="Arial" w:cs="Arial" w:eastAsia="Arial" w:hAnsi="Arial"/>
                <w:sz w:val="13"/>
                <w:szCs w:val="13"/>
                <w:color w:val="auto"/>
              </w:rPr>
              <w:t>Other receivables</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71,612</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71,612</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64,140</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64,140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52,797</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52,797</w:t>
            </w:r>
          </w:p>
        </w:tc>
        <w:tc>
          <w:tcPr>
            <w:tcW w:w="40" w:type="dxa"/>
            <w:vAlign w:val="bottom"/>
          </w:tcPr>
          <w:p>
            <w:pPr>
              <w:spacing w:after="0"/>
              <w:rPr>
                <w:sz w:val="15"/>
                <w:szCs w:val="15"/>
                <w:color w:val="auto"/>
              </w:rPr>
            </w:pPr>
          </w:p>
        </w:tc>
      </w:tr>
      <w:tr>
        <w:trPr>
          <w:trHeight w:val="179"/>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Income taxes receivable</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22,076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17,724</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21,593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40,481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37,830</w:t>
            </w:r>
          </w:p>
        </w:tc>
        <w:tc>
          <w:tcPr>
            <w:tcW w:w="40" w:type="dxa"/>
            <w:vAlign w:val="bottom"/>
          </w:tcPr>
          <w:p>
            <w:pPr>
              <w:spacing w:after="0"/>
              <w:rPr>
                <w:sz w:val="15"/>
                <w:szCs w:val="15"/>
                <w:color w:val="auto"/>
              </w:rPr>
            </w:pPr>
          </w:p>
        </w:tc>
      </w:tr>
      <w:tr>
        <w:trPr>
          <w:trHeight w:val="177"/>
        </w:trPr>
        <w:tc>
          <w:tcPr>
            <w:tcW w:w="3140" w:type="dxa"/>
            <w:vAlign w:val="bottom"/>
          </w:tcPr>
          <w:p>
            <w:pPr>
              <w:ind w:left="300"/>
              <w:spacing w:after="0"/>
              <w:rPr>
                <w:sz w:val="20"/>
                <w:szCs w:val="20"/>
                <w:color w:val="auto"/>
              </w:rPr>
            </w:pPr>
            <w:r>
              <w:rPr>
                <w:rFonts w:ascii="Arial" w:cs="Arial" w:eastAsia="Arial" w:hAnsi="Arial"/>
                <w:sz w:val="13"/>
                <w:szCs w:val="13"/>
                <w:color w:val="auto"/>
              </w:rPr>
              <w:t>Deferred tax asset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89,406</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89,845</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80,772</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81,648</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83,095</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84,493</w:t>
            </w:r>
          </w:p>
        </w:tc>
        <w:tc>
          <w:tcPr>
            <w:tcW w:w="40" w:type="dxa"/>
            <w:vAlign w:val="bottom"/>
          </w:tcPr>
          <w:p>
            <w:pPr>
              <w:spacing w:after="0"/>
              <w:rPr>
                <w:sz w:val="15"/>
                <w:szCs w:val="15"/>
                <w:color w:val="auto"/>
              </w:rPr>
            </w:pPr>
          </w:p>
        </w:tc>
      </w:tr>
      <w:tr>
        <w:trPr>
          <w:trHeight w:val="178"/>
        </w:trPr>
        <w:tc>
          <w:tcPr>
            <w:tcW w:w="31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Investments in equity</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32,052</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32,052</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35,298</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35,298</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41,790</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41,790</w:t>
            </w:r>
          </w:p>
        </w:tc>
        <w:tc>
          <w:tcPr>
            <w:tcW w:w="40" w:type="dxa"/>
            <w:vAlign w:val="bottom"/>
          </w:tcPr>
          <w:p>
            <w:pPr>
              <w:spacing w:after="0"/>
              <w:rPr>
                <w:sz w:val="15"/>
                <w:szCs w:val="15"/>
                <w:color w:val="auto"/>
              </w:rPr>
            </w:pPr>
          </w:p>
        </w:tc>
      </w:tr>
      <w:tr>
        <w:trPr>
          <w:trHeight w:val="1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17,286,524</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(97,761)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17,188,763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17,107,660</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(85,413)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17,022,247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17,031,497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(114,684)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16,916,813</w:t>
            </w:r>
          </w:p>
        </w:tc>
        <w:tc>
          <w:tcPr>
            <w:tcW w:w="40" w:type="dxa"/>
            <w:vAlign w:val="bottom"/>
          </w:tcPr>
          <w:p>
            <w:pPr>
              <w:spacing w:after="0"/>
              <w:rPr>
                <w:sz w:val="14"/>
                <w:szCs w:val="14"/>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LIABILITIES AND SHAREHOLDERS’ EQUITY</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8"/>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140" w:type="dxa"/>
            <w:vAlign w:val="bottom"/>
          </w:tcPr>
          <w:p>
            <w:pPr>
              <w:ind w:left="300"/>
              <w:spacing w:after="0"/>
              <w:rPr>
                <w:sz w:val="20"/>
                <w:szCs w:val="20"/>
                <w:color w:val="auto"/>
              </w:rPr>
            </w:pPr>
            <w:r>
              <w:rPr>
                <w:rFonts w:ascii="Arial" w:cs="Arial" w:eastAsia="Arial" w:hAnsi="Arial"/>
                <w:sz w:val="13"/>
                <w:szCs w:val="13"/>
                <w:color w:val="auto"/>
              </w:rPr>
              <w:t>Accounts payable</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85,126</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85,126</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46,920</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46,920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87,317</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87,317</w:t>
            </w:r>
          </w:p>
        </w:tc>
        <w:tc>
          <w:tcPr>
            <w:tcW w:w="40" w:type="dxa"/>
            <w:vAlign w:val="bottom"/>
          </w:tcPr>
          <w:p>
            <w:pPr>
              <w:spacing w:after="0"/>
              <w:rPr>
                <w:sz w:val="15"/>
                <w:szCs w:val="15"/>
                <w:color w:val="auto"/>
              </w:rPr>
            </w:pPr>
          </w:p>
        </w:tc>
      </w:tr>
      <w:tr>
        <w:trPr>
          <w:trHeight w:val="179"/>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Unearned revenue</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1,580,235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(99,960)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1,480,275</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1,573,311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(79,908)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1,493,403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1,663,183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(99,235)</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1,563,948</w:t>
            </w:r>
          </w:p>
        </w:tc>
        <w:tc>
          <w:tcPr>
            <w:tcW w:w="40" w:type="dxa"/>
            <w:vAlign w:val="bottom"/>
          </w:tcPr>
          <w:p>
            <w:pPr>
              <w:spacing w:after="0"/>
              <w:rPr>
                <w:sz w:val="15"/>
                <w:szCs w:val="15"/>
                <w:color w:val="auto"/>
              </w:rPr>
            </w:pPr>
          </w:p>
        </w:tc>
      </w:tr>
      <w:tr>
        <w:trPr>
          <w:trHeight w:val="177"/>
        </w:trPr>
        <w:tc>
          <w:tcPr>
            <w:tcW w:w="3140" w:type="dxa"/>
            <w:vAlign w:val="bottom"/>
          </w:tcPr>
          <w:p>
            <w:pPr>
              <w:ind w:left="300"/>
              <w:spacing w:after="0"/>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1,029,893</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(7,248)</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1,022,645</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994,883</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(7,248)</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987,635</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948,829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(7,248)</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941,581</w:t>
            </w:r>
          </w:p>
        </w:tc>
        <w:tc>
          <w:tcPr>
            <w:tcW w:w="40" w:type="dxa"/>
            <w:vAlign w:val="bottom"/>
          </w:tcPr>
          <w:p>
            <w:pPr>
              <w:spacing w:after="0"/>
              <w:rPr>
                <w:sz w:val="15"/>
                <w:szCs w:val="15"/>
                <w:color w:val="auto"/>
              </w:rPr>
            </w:pPr>
          </w:p>
        </w:tc>
      </w:tr>
      <w:tr>
        <w:trPr>
          <w:trHeight w:val="179"/>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Income taxes payable</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68,676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57,973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39,885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29,182</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41,518</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30,815</w:t>
            </w:r>
          </w:p>
        </w:tc>
        <w:tc>
          <w:tcPr>
            <w:tcW w:w="40" w:type="dxa"/>
            <w:vAlign w:val="bottom"/>
          </w:tcPr>
          <w:p>
            <w:pPr>
              <w:spacing w:after="0"/>
              <w:rPr>
                <w:sz w:val="15"/>
                <w:szCs w:val="15"/>
                <w:color w:val="auto"/>
              </w:rPr>
            </w:pPr>
          </w:p>
        </w:tc>
      </w:tr>
      <w:tr>
        <w:trPr>
          <w:trHeight w:val="134"/>
        </w:trPr>
        <w:tc>
          <w:tcPr>
            <w:tcW w:w="3140" w:type="dxa"/>
            <w:vAlign w:val="bottom"/>
          </w:tcPr>
          <w:p>
            <w:pPr>
              <w:ind w:left="300"/>
              <w:spacing w:after="0" w:line="134" w:lineRule="exact"/>
              <w:rPr>
                <w:sz w:val="20"/>
                <w:szCs w:val="20"/>
                <w:color w:val="auto"/>
              </w:rPr>
            </w:pPr>
            <w:r>
              <w:rPr>
                <w:rFonts w:ascii="Arial" w:cs="Arial" w:eastAsia="Arial" w:hAnsi="Arial"/>
                <w:sz w:val="13"/>
                <w:szCs w:val="13"/>
                <w:color w:val="auto"/>
              </w:rPr>
              <w:t>Current bank credit lines, loan facilities and</w:t>
            </w:r>
          </w:p>
        </w:tc>
        <w:tc>
          <w:tcPr>
            <w:tcW w:w="16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135,150</w:t>
            </w:r>
          </w:p>
        </w:tc>
        <w:tc>
          <w:tcPr>
            <w:tcW w:w="100" w:type="dxa"/>
            <w:vAlign w:val="bottom"/>
          </w:tcPr>
          <w:p>
            <w:pPr>
              <w:spacing w:after="0"/>
              <w:rPr>
                <w:sz w:val="11"/>
                <w:szCs w:val="11"/>
                <w:color w:val="auto"/>
              </w:rPr>
            </w:pPr>
          </w:p>
        </w:tc>
        <w:tc>
          <w:tcPr>
            <w:tcW w:w="8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135,150</w:t>
            </w:r>
          </w:p>
        </w:tc>
        <w:tc>
          <w:tcPr>
            <w:tcW w:w="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105,150</w:t>
            </w:r>
          </w:p>
        </w:tc>
        <w:tc>
          <w:tcPr>
            <w:tcW w:w="100" w:type="dxa"/>
            <w:vAlign w:val="bottom"/>
          </w:tcPr>
          <w:p>
            <w:pPr>
              <w:spacing w:after="0"/>
              <w:rPr>
                <w:sz w:val="11"/>
                <w:szCs w:val="11"/>
                <w:color w:val="auto"/>
              </w:rPr>
            </w:pPr>
          </w:p>
        </w:tc>
        <w:tc>
          <w:tcPr>
            <w:tcW w:w="8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105,150</w:t>
            </w:r>
          </w:p>
        </w:tc>
        <w:tc>
          <w:tcPr>
            <w:tcW w:w="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130,150</w:t>
            </w:r>
          </w:p>
        </w:tc>
        <w:tc>
          <w:tcPr>
            <w:tcW w:w="12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130,150</w:t>
            </w:r>
          </w:p>
        </w:tc>
        <w:tc>
          <w:tcPr>
            <w:tcW w:w="40" w:type="dxa"/>
            <w:vAlign w:val="bottom"/>
          </w:tcPr>
          <w:p>
            <w:pPr>
              <w:spacing w:after="0"/>
              <w:rPr>
                <w:sz w:val="11"/>
                <w:szCs w:val="11"/>
                <w:color w:val="auto"/>
              </w:rPr>
            </w:pPr>
          </w:p>
        </w:tc>
      </w:tr>
      <w:tr>
        <w:trPr>
          <w:trHeight w:val="176"/>
        </w:trPr>
        <w:tc>
          <w:tcPr>
            <w:tcW w:w="31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notes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0"/>
        </w:trPr>
        <w:tc>
          <w:tcPr>
            <w:tcW w:w="31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2,899,080</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2,781,169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2,760,149</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2,662,290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2,870,997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2,753,811</w:t>
            </w:r>
          </w:p>
        </w:tc>
        <w:tc>
          <w:tcPr>
            <w:tcW w:w="40" w:type="dxa"/>
            <w:vAlign w:val="bottom"/>
          </w:tcPr>
          <w:p>
            <w:pPr>
              <w:spacing w:after="0"/>
              <w:rPr>
                <w:sz w:val="14"/>
                <w:szCs w:val="14"/>
                <w:color w:val="auto"/>
              </w:rPr>
            </w:pPr>
          </w:p>
        </w:tc>
      </w:tr>
      <w:tr>
        <w:trPr>
          <w:trHeight w:val="342"/>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2"/>
        </w:trPr>
        <w:tc>
          <w:tcPr>
            <w:tcW w:w="3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8"/>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ICON plc</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0" w:type="dxa"/>
            <w:vAlign w:val="bottom"/>
            <w:gridSpan w:val="9"/>
          </w:tcPr>
          <w:p>
            <w:pPr>
              <w:jc w:val="right"/>
              <w:spacing w:after="0"/>
              <w:rPr>
                <w:sz w:val="20"/>
                <w:szCs w:val="20"/>
                <w:color w:val="auto"/>
              </w:rPr>
            </w:pPr>
            <w:r>
              <w:rPr>
                <w:rFonts w:ascii="Arial" w:cs="Arial" w:eastAsia="Arial" w:hAnsi="Arial"/>
                <w:sz w:val="13"/>
                <w:szCs w:val="13"/>
                <w:b w:val="1"/>
                <w:bCs w:val="1"/>
                <w:color w:val="auto"/>
              </w:rPr>
              <w:t>CONDENSED CONSOLIDATED BALANCE SHEETS (UNAUDITED)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8"/>
        </w:trPr>
        <w:tc>
          <w:tcPr>
            <w:tcW w:w="31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540" w:type="dxa"/>
            <w:vAlign w:val="bottom"/>
            <w:tcBorders>
              <w:bottom w:val="single" w:sz="8" w:color="auto"/>
            </w:tcBorders>
            <w:gridSpan w:val="5"/>
            <w:shd w:val="clear" w:color="auto" w:fill="CCEEFF"/>
          </w:tcPr>
          <w:p>
            <w:pPr>
              <w:jc w:val="right"/>
              <w:ind w:right="633"/>
              <w:spacing w:after="0"/>
              <w:rPr>
                <w:sz w:val="20"/>
                <w:szCs w:val="20"/>
                <w:color w:val="auto"/>
              </w:rPr>
            </w:pPr>
            <w:r>
              <w:rPr>
                <w:rFonts w:ascii="Arial" w:cs="Arial" w:eastAsia="Arial" w:hAnsi="Arial"/>
                <w:sz w:val="13"/>
                <w:szCs w:val="13"/>
                <w:b w:val="1"/>
                <w:bCs w:val="1"/>
                <w:color w:val="auto"/>
              </w:rPr>
              <w:t>September 30, 2023</w:t>
            </w:r>
          </w:p>
        </w:tc>
      </w:tr>
      <w:tr>
        <w:trPr>
          <w:trHeight w:val="169"/>
        </w:trPr>
        <w:tc>
          <w:tcPr>
            <w:tcW w:w="3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Adjustments As Restated</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Reported</w:t>
            </w: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Adjustments As Restated</w:t>
            </w:r>
          </w:p>
        </w:tc>
      </w:tr>
      <w:tr>
        <w:trPr>
          <w:trHeight w:val="169"/>
        </w:trPr>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7"/>
        </w:trPr>
        <w:tc>
          <w:tcPr>
            <w:tcW w:w="3180" w:type="dxa"/>
            <w:vAlign w:val="bottom"/>
          </w:tcPr>
          <w:p>
            <w:pPr>
              <w:ind w:left="20"/>
              <w:spacing w:after="0"/>
              <w:rPr>
                <w:sz w:val="20"/>
                <w:szCs w:val="20"/>
                <w:color w:val="auto"/>
              </w:rPr>
            </w:pPr>
            <w:r>
              <w:rPr>
                <w:rFonts w:ascii="Arial" w:cs="Arial" w:eastAsia="Arial" w:hAnsi="Arial"/>
                <w:sz w:val="13"/>
                <w:szCs w:val="13"/>
                <w:color w:val="auto"/>
              </w:rPr>
              <w:t>Non-current liabilities: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35"/>
        </w:trPr>
        <w:tc>
          <w:tcPr>
            <w:tcW w:w="318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Non-current bank credit lines, loan facilities and</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4,353,534</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rPr>
              <w:t>4,353,534</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4,206,936</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4,206,936</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3,911,522</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3,911,522</w:t>
            </w:r>
          </w:p>
        </w:tc>
      </w:tr>
      <w:tr>
        <w:trPr>
          <w:trHeight w:val="177"/>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notes, net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7"/>
        </w:trPr>
        <w:tc>
          <w:tcPr>
            <w:tcW w:w="3180" w:type="dxa"/>
            <w:vAlign w:val="bottom"/>
          </w:tcPr>
          <w:p>
            <w:pPr>
              <w:ind w:left="300"/>
              <w:spacing w:after="0"/>
              <w:rPr>
                <w:sz w:val="20"/>
                <w:szCs w:val="20"/>
                <w:color w:val="auto"/>
              </w:rPr>
            </w:pPr>
            <w:r>
              <w:rPr>
                <w:rFonts w:ascii="Arial" w:cs="Arial" w:eastAsia="Arial" w:hAnsi="Arial"/>
                <w:sz w:val="13"/>
                <w:szCs w:val="13"/>
                <w:color w:val="auto"/>
              </w:rPr>
              <w:t>Lease liabilities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133,048</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133,048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129,079</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129,079</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121,424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121,424</w:t>
            </w:r>
          </w:p>
        </w:tc>
      </w:tr>
      <w:tr>
        <w:trPr>
          <w:trHeight w:val="179"/>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Non-current other liabilities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46,177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45,425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39,438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38,686</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41,661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40,909</w:t>
            </w:r>
          </w:p>
        </w:tc>
      </w:tr>
      <w:tr>
        <w:trPr>
          <w:trHeight w:val="177"/>
        </w:trPr>
        <w:tc>
          <w:tcPr>
            <w:tcW w:w="3180" w:type="dxa"/>
            <w:vAlign w:val="bottom"/>
          </w:tcPr>
          <w:p>
            <w:pPr>
              <w:ind w:left="300"/>
              <w:spacing w:after="0"/>
              <w:rPr>
                <w:sz w:val="20"/>
                <w:szCs w:val="20"/>
                <w:color w:val="auto"/>
              </w:rPr>
            </w:pPr>
            <w:r>
              <w:rPr>
                <w:rFonts w:ascii="Arial" w:cs="Arial" w:eastAsia="Arial" w:hAnsi="Arial"/>
                <w:sz w:val="13"/>
                <w:szCs w:val="13"/>
                <w:color w:val="auto"/>
              </w:rPr>
              <w:t>Non-current income taxes payable</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243,813</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243,813</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241,410</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241,410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242,972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242,972</w:t>
            </w:r>
          </w:p>
        </w:tc>
      </w:tr>
      <w:tr>
        <w:trPr>
          <w:trHeight w:val="179"/>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liability</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957,019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956,868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934,208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933,906</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883,887</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883,405</w:t>
            </w:r>
          </w:p>
        </w:tc>
      </w:tr>
      <w:tr>
        <w:trPr>
          <w:trHeight w:val="177"/>
        </w:trPr>
        <w:tc>
          <w:tcPr>
            <w:tcW w:w="31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Commitments and contingencies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1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8,632,671</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(118,814)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8,513,857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8,311,220</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(98,913)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8,212,307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8,072,463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(118,420)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7,954,043</w:t>
            </w: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8"/>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Shareholders' Equity:</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34"/>
        </w:trPr>
        <w:tc>
          <w:tcPr>
            <w:tcW w:w="3180" w:type="dxa"/>
            <w:vAlign w:val="bottom"/>
          </w:tcPr>
          <w:p>
            <w:pPr>
              <w:ind w:left="300"/>
              <w:spacing w:after="0" w:line="134" w:lineRule="exact"/>
              <w:rPr>
                <w:sz w:val="20"/>
                <w:szCs w:val="20"/>
                <w:color w:val="auto"/>
              </w:rPr>
            </w:pPr>
            <w:r>
              <w:rPr>
                <w:rFonts w:ascii="Arial" w:cs="Arial" w:eastAsia="Arial" w:hAnsi="Arial"/>
                <w:sz w:val="13"/>
                <w:szCs w:val="13"/>
                <w:color w:val="auto"/>
              </w:rPr>
              <w:t>Ordinary shares par value 6 euro cents per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76"/>
        </w:trPr>
        <w:tc>
          <w:tcPr>
            <w:tcW w:w="3180" w:type="dxa"/>
            <w:vAlign w:val="bottom"/>
          </w:tcPr>
          <w:p>
            <w:pPr>
              <w:ind w:left="300"/>
              <w:spacing w:after="0"/>
              <w:rPr>
                <w:sz w:val="20"/>
                <w:szCs w:val="20"/>
                <w:color w:val="auto"/>
              </w:rPr>
            </w:pPr>
            <w:r>
              <w:rPr>
                <w:rFonts w:ascii="Arial" w:cs="Arial" w:eastAsia="Arial" w:hAnsi="Arial"/>
                <w:sz w:val="13"/>
                <w:szCs w:val="13"/>
                <w:color w:val="auto"/>
              </w:rPr>
              <w:t>share; 100,000,000 shares authorized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35"/>
        </w:trPr>
        <w:tc>
          <w:tcPr>
            <w:tcW w:w="318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81,928,422 shares issued and outstanding at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6,662</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rPr>
              <w:t>6,662</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6,676</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6,676</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6,688</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6,688</w:t>
            </w:r>
          </w:p>
        </w:tc>
      </w:tr>
      <w:tr>
        <w:trPr>
          <w:trHeight w:val="133"/>
        </w:trPr>
        <w:tc>
          <w:tcPr>
            <w:tcW w:w="31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March 31, 2023 (June 30, 2023: 82,151,049 and</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77"/>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September 30, 2023: 82,326,976)</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7"/>
        </w:trPr>
        <w:tc>
          <w:tcPr>
            <w:tcW w:w="3180" w:type="dxa"/>
            <w:vAlign w:val="bottom"/>
          </w:tcPr>
          <w:p>
            <w:pPr>
              <w:ind w:left="30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6,867,887</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6,867,887</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6,891,494</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6,891,494</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6,924,073</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6,924,073</w:t>
            </w:r>
          </w:p>
        </w:tc>
      </w:tr>
      <w:tr>
        <w:trPr>
          <w:trHeight w:val="179"/>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undenominated capital</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1,162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1,162</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r>
      <w:tr>
        <w:trPr>
          <w:trHeight w:val="177"/>
        </w:trPr>
        <w:tc>
          <w:tcPr>
            <w:tcW w:w="3180" w:type="dxa"/>
            <w:vAlign w:val="bottom"/>
          </w:tcPr>
          <w:p>
            <w:pPr>
              <w:ind w:left="300"/>
              <w:spacing w:after="0"/>
              <w:rPr>
                <w:sz w:val="20"/>
                <w:szCs w:val="20"/>
                <w:color w:val="auto"/>
              </w:rPr>
            </w:pPr>
            <w:r>
              <w:rPr>
                <w:rFonts w:ascii="Arial" w:cs="Arial" w:eastAsia="Arial" w:hAnsi="Arial"/>
                <w:sz w:val="13"/>
                <w:szCs w:val="13"/>
                <w:color w:val="auto"/>
              </w:rPr>
              <w:t>Accumulated other comprehensive loss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(159,896)</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(159,896)</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(156,528)</w:t>
            </w:r>
          </w:p>
        </w:tc>
        <w:tc>
          <w:tcPr>
            <w:tcW w:w="10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(156,528)</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(190,190)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(190,190)</w:t>
            </w:r>
          </w:p>
        </w:tc>
      </w:tr>
      <w:tr>
        <w:trPr>
          <w:trHeight w:val="178"/>
        </w:trPr>
        <w:tc>
          <w:tcPr>
            <w:tcW w:w="31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Retained earnings</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1,938,038</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21,053</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1,959,091</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2,053,636</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13,500</w:t>
            </w: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2,067,136</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2,217,301</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3,736</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2,221,037</w:t>
            </w:r>
          </w:p>
        </w:tc>
      </w:tr>
      <w:tr>
        <w:trPr>
          <w:trHeight w:val="169"/>
        </w:trPr>
        <w:tc>
          <w:tcPr>
            <w:tcW w:w="318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Total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8,653,853</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21,053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8,674,906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8,796,440</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13,500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8,809,940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8,959,034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8,962,770</w:t>
            </w:r>
          </w:p>
        </w:tc>
      </w:tr>
      <w:tr>
        <w:trPr>
          <w:trHeight w:val="194"/>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17,286,524</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(97,761)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17,188,763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17,107,660</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(85,413)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17,022,247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17,031,497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(114,684)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16,916,813</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427" w:right="359" w:bottom="1440" w:gutter="0" w:footer="0" w:header="0"/>
        </w:sectPr>
      </w:pPr>
    </w:p>
    <w:bookmarkStart w:id="27" w:name="page28"/>
    <w:bookmarkEnd w:id="27"/>
    <w:p>
      <w:pPr>
        <w:ind w:right="120"/>
        <w:spacing w:after="0" w:line="283" w:lineRule="auto"/>
        <w:rPr>
          <w:sz w:val="20"/>
          <w:szCs w:val="20"/>
          <w:color w:val="auto"/>
        </w:rPr>
      </w:pPr>
      <w:r>
        <w:rPr>
          <w:rFonts w:ascii="Arial" w:cs="Arial" w:eastAsia="Arial" w:hAnsi="Arial"/>
          <w:sz w:val="13"/>
          <w:szCs w:val="13"/>
          <w:color w:val="auto"/>
        </w:rPr>
        <w:t>The following table presents summarized restated unaudited condensed Consolidated Statements of Shareholders’ Equity for three months ended March 31, June 30, and September 30 of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SHAREHOLDERS' EQUITY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6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Number of</w:t>
            </w:r>
          </w:p>
        </w:tc>
        <w:tc>
          <w:tcPr>
            <w:tcW w:w="2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Ordinary</w:t>
            </w:r>
          </w:p>
        </w:tc>
        <w:tc>
          <w:tcPr>
            <w:tcW w:w="1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Additional</w:t>
            </w:r>
          </w:p>
        </w:tc>
        <w:tc>
          <w:tcPr>
            <w:tcW w:w="14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Other</w:t>
            </w:r>
          </w:p>
        </w:tc>
        <w:tc>
          <w:tcPr>
            <w:tcW w:w="1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Retained</w:t>
            </w: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Total</w:t>
            </w:r>
          </w:p>
        </w:tc>
      </w:tr>
      <w:tr>
        <w:trPr>
          <w:trHeight w:val="133"/>
        </w:trPr>
        <w:tc>
          <w:tcPr>
            <w:tcW w:w="36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Ordinary</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Shares</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Paid-in</w:t>
            </w:r>
          </w:p>
        </w:tc>
        <w:tc>
          <w:tcPr>
            <w:tcW w:w="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Undenominated Comprehensive Loss</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Earnings</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78"/>
        </w:trPr>
        <w:tc>
          <w:tcPr>
            <w:tcW w:w="36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Capital</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Capital</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8"/>
        </w:trPr>
        <w:tc>
          <w:tcPr>
            <w:tcW w:w="3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3"/>
                <w:szCs w:val="13"/>
                <w:b w:val="1"/>
                <w:bCs w:val="1"/>
                <w:color w:val="auto"/>
              </w:rPr>
              <w:t>( in thousands, except share data)</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69"/>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January 1, 2023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81,723,555</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6,649</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6,840,306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(171,538)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1,850,214</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8,526,793</w:t>
            </w: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Comprehensive income, (net of tax):</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108,877</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108,877</w:t>
            </w:r>
          </w:p>
        </w:tc>
      </w:tr>
      <w:tr>
        <w:trPr>
          <w:trHeight w:val="177"/>
        </w:trPr>
        <w:tc>
          <w:tcPr>
            <w:tcW w:w="368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15,500</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15,500</w:t>
            </w: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Movement on cash flow hedge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(3,858)</w:t>
            </w: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(as restated)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120,519</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136,649</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12,927</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12,936</w:t>
            </w:r>
          </w:p>
        </w:tc>
      </w:tr>
      <w:tr>
        <w:trPr>
          <w:trHeight w:val="177"/>
        </w:trPr>
        <w:tc>
          <w:tcPr>
            <w:tcW w:w="3680" w:type="dxa"/>
            <w:vAlign w:val="bottom"/>
          </w:tcPr>
          <w:p>
            <w:pPr>
              <w:ind w:left="20"/>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68,218</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14,658</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14,658</w:t>
            </w:r>
          </w:p>
        </w:tc>
      </w:tr>
      <w:tr>
        <w:trPr>
          <w:trHeight w:val="17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issuance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81,928,422</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6,662</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6,867,887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(159,896)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1,959,091</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8,674,906</w:t>
            </w: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Comprehensive income, (net of tax):</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108,045</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108,045</w:t>
            </w:r>
          </w:p>
        </w:tc>
      </w:tr>
      <w:tr>
        <w:trPr>
          <w:trHeight w:val="177"/>
        </w:trPr>
        <w:tc>
          <w:tcPr>
            <w:tcW w:w="368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(10,638)</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(10,638)</w:t>
            </w: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Movement on cash flow hedge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14,006</w:t>
            </w:r>
          </w:p>
        </w:tc>
      </w:tr>
      <w:tr>
        <w:trPr>
          <w:trHeight w:val="169"/>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(as restated)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111,413</w:t>
            </w:r>
          </w:p>
        </w:tc>
      </w:tr>
      <w:tr>
        <w:trPr>
          <w:trHeight w:val="178"/>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93,304</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7,223</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7,229</w:t>
            </w:r>
          </w:p>
        </w:tc>
      </w:tr>
      <w:tr>
        <w:trPr>
          <w:trHeight w:val="177"/>
        </w:trPr>
        <w:tc>
          <w:tcPr>
            <w:tcW w:w="3680" w:type="dxa"/>
            <w:vAlign w:val="bottom"/>
          </w:tcPr>
          <w:p>
            <w:pPr>
              <w:ind w:left="20"/>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129,323</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16,389</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16,389</w:t>
            </w:r>
          </w:p>
        </w:tc>
      </w:tr>
      <w:tr>
        <w:trPr>
          <w:trHeight w:val="17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issuance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2023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82,151,049</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6,676</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6,891,494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(156,528)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2,067,136</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8,809,940</w:t>
            </w:r>
          </w:p>
        </w:tc>
      </w:tr>
      <w:tr>
        <w:trPr>
          <w:trHeight w:val="168"/>
        </w:trPr>
        <w:tc>
          <w:tcPr>
            <w:tcW w:w="3680" w:type="dxa"/>
            <w:vAlign w:val="bottom"/>
          </w:tcPr>
          <w:p>
            <w:pPr>
              <w:ind w:left="20"/>
              <w:spacing w:after="0"/>
              <w:rPr>
                <w:sz w:val="20"/>
                <w:szCs w:val="20"/>
                <w:color w:val="auto"/>
              </w:rPr>
            </w:pPr>
            <w:r>
              <w:rPr>
                <w:rFonts w:ascii="Arial" w:cs="Arial" w:eastAsia="Arial" w:hAnsi="Arial"/>
                <w:sz w:val="13"/>
                <w:szCs w:val="13"/>
                <w:color w:val="auto"/>
              </w:rPr>
              <w:t>Comprehensive income (net of tax):</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153,901</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153,901</w:t>
            </w:r>
          </w:p>
        </w:tc>
      </w:tr>
      <w:tr>
        <w:trPr>
          <w:trHeight w:val="177"/>
        </w:trPr>
        <w:tc>
          <w:tcPr>
            <w:tcW w:w="3680" w:type="dxa"/>
            <w:vAlign w:val="bottom"/>
          </w:tcPr>
          <w:p>
            <w:pPr>
              <w:ind w:left="120"/>
              <w:spacing w:after="0"/>
              <w:rPr>
                <w:sz w:val="20"/>
                <w:szCs w:val="20"/>
                <w:color w:val="auto"/>
              </w:rPr>
            </w:pPr>
            <w:r>
              <w:rPr>
                <w:rFonts w:ascii="Arial" w:cs="Arial" w:eastAsia="Arial" w:hAnsi="Arial"/>
                <w:sz w:val="13"/>
                <w:szCs w:val="13"/>
                <w:color w:val="auto"/>
              </w:rPr>
              <w:t>Currency translation adjustment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(38,648)</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(38,648)</w:t>
            </w:r>
          </w:p>
        </w:tc>
      </w:tr>
      <w:tr>
        <w:trPr>
          <w:trHeight w:val="179"/>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Movement on cash flow hedge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4,986</w:t>
            </w:r>
          </w:p>
        </w:tc>
      </w:tr>
      <w:tr>
        <w:trPr>
          <w:trHeight w:val="169"/>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(as restated)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120,239</w:t>
            </w:r>
          </w:p>
        </w:tc>
      </w:tr>
      <w:tr>
        <w:trPr>
          <w:trHeight w:val="178"/>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147,661</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16,328</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16,337</w:t>
            </w:r>
          </w:p>
        </w:tc>
      </w:tr>
      <w:tr>
        <w:trPr>
          <w:trHeight w:val="177"/>
        </w:trPr>
        <w:tc>
          <w:tcPr>
            <w:tcW w:w="3680" w:type="dxa"/>
            <w:vAlign w:val="bottom"/>
          </w:tcPr>
          <w:p>
            <w:pPr>
              <w:ind w:left="20"/>
              <w:spacing w:after="0"/>
              <w:rPr>
                <w:sz w:val="20"/>
                <w:szCs w:val="20"/>
                <w:color w:val="auto"/>
              </w:rPr>
            </w:pPr>
            <w:r>
              <w:rPr>
                <w:rFonts w:ascii="Arial" w:cs="Arial" w:eastAsia="Arial" w:hAnsi="Arial"/>
                <w:sz w:val="13"/>
                <w:szCs w:val="13"/>
                <w:color w:val="auto"/>
              </w:rPr>
              <w:t>Issue of restricted share units / performance share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28,266</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16,256</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16,256</w:t>
            </w:r>
          </w:p>
        </w:tc>
      </w:tr>
      <w:tr>
        <w:trPr>
          <w:trHeight w:val="17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issuance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95"/>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2023 (as restated)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82,326,976</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6,688</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6,924,073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(190,190)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2,221,037</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8,962,770</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00"/>
          </w:cols>
          <w:pgMar w:left="300" w:top="396" w:right="399" w:bottom="1440" w:gutter="0" w:footer="0" w:header="0"/>
        </w:sectPr>
      </w:pPr>
    </w:p>
    <w:bookmarkStart w:id="28" w:name="page29"/>
    <w:bookmarkEnd w:id="28"/>
    <w:p>
      <w:pPr>
        <w:ind w:left="540"/>
        <w:spacing w:after="0"/>
        <w:rPr>
          <w:sz w:val="20"/>
          <w:szCs w:val="20"/>
          <w:color w:val="auto"/>
        </w:rPr>
      </w:pPr>
      <w:r>
        <w:rPr>
          <w:rFonts w:ascii="Arial" w:cs="Arial" w:eastAsia="Arial" w:hAnsi="Arial"/>
          <w:sz w:val="13"/>
          <w:szCs w:val="13"/>
          <w:color w:val="auto"/>
        </w:rPr>
        <w:t>The following table presents summarized restated unaudited condensed Consolidated Statements of Cash Flows, including the balances originally reported in the Company's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tcPr>
          <w:p>
            <w:pPr>
              <w:spacing w:after="0"/>
              <w:rPr>
                <w:sz w:val="20"/>
                <w:szCs w:val="20"/>
                <w:color w:val="auto"/>
              </w:rPr>
            </w:pPr>
            <w:r>
              <w:rPr>
                <w:rFonts w:ascii="Arial" w:cs="Arial" w:eastAsia="Arial" w:hAnsi="Arial"/>
                <w:sz w:val="13"/>
                <w:szCs w:val="13"/>
                <w:color w:val="auto"/>
              </w:rPr>
              <w:t>unaudited  condensed  consolidated  financial</w:t>
            </w:r>
          </w:p>
        </w:tc>
        <w:tc>
          <w:tcPr>
            <w:tcW w:w="1000" w:type="dxa"/>
            <w:vAlign w:val="bottom"/>
          </w:tcPr>
          <w:p>
            <w:pPr>
              <w:jc w:val="right"/>
              <w:spacing w:after="0"/>
              <w:rPr>
                <w:sz w:val="20"/>
                <w:szCs w:val="20"/>
                <w:color w:val="auto"/>
              </w:rPr>
            </w:pPr>
            <w:r>
              <w:rPr>
                <w:rFonts w:ascii="Arial" w:cs="Arial" w:eastAsia="Arial" w:hAnsi="Arial"/>
                <w:sz w:val="13"/>
                <w:szCs w:val="13"/>
                <w:color w:val="auto"/>
              </w:rPr>
              <w:t>statements  for</w:t>
            </w:r>
          </w:p>
        </w:tc>
        <w:tc>
          <w:tcPr>
            <w:tcW w:w="420" w:type="dxa"/>
            <w:vAlign w:val="bottom"/>
          </w:tcPr>
          <w:p>
            <w:pPr>
              <w:ind w:left="140"/>
              <w:spacing w:after="0"/>
              <w:rPr>
                <w:sz w:val="20"/>
                <w:szCs w:val="20"/>
                <w:color w:val="auto"/>
              </w:rPr>
            </w:pPr>
            <w:r>
              <w:rPr>
                <w:rFonts w:ascii="Arial" w:cs="Arial" w:eastAsia="Arial" w:hAnsi="Arial"/>
                <w:sz w:val="13"/>
                <w:szCs w:val="13"/>
                <w:color w:val="auto"/>
                <w:w w:val="92"/>
              </w:rPr>
              <w:t>each</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of  the</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year  to</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date  periods</w:t>
            </w:r>
          </w:p>
        </w:tc>
        <w:tc>
          <w:tcPr>
            <w:tcW w:w="1040" w:type="dxa"/>
            <w:vAlign w:val="bottom"/>
          </w:tcPr>
          <w:p>
            <w:pPr>
              <w:jc w:val="right"/>
              <w:spacing w:after="0"/>
              <w:rPr>
                <w:sz w:val="20"/>
                <w:szCs w:val="20"/>
                <w:color w:val="auto"/>
              </w:rPr>
            </w:pPr>
            <w:r>
              <w:rPr>
                <w:rFonts w:ascii="Arial" w:cs="Arial" w:eastAsia="Arial" w:hAnsi="Arial"/>
                <w:sz w:val="13"/>
                <w:szCs w:val="13"/>
                <w:color w:val="auto"/>
              </w:rPr>
              <w:t>ended  March</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31,  June</w:t>
            </w:r>
          </w:p>
        </w:tc>
        <w:tc>
          <w:tcPr>
            <w:tcW w:w="680" w:type="dxa"/>
            <w:vAlign w:val="bottom"/>
          </w:tcPr>
          <w:p>
            <w:pPr>
              <w:jc w:val="right"/>
              <w:spacing w:after="0"/>
              <w:rPr>
                <w:sz w:val="20"/>
                <w:szCs w:val="20"/>
                <w:color w:val="auto"/>
              </w:rPr>
            </w:pPr>
            <w:r>
              <w:rPr>
                <w:rFonts w:ascii="Arial" w:cs="Arial" w:eastAsia="Arial" w:hAnsi="Arial"/>
                <w:sz w:val="13"/>
                <w:szCs w:val="13"/>
                <w:color w:val="auto"/>
              </w:rPr>
              <w:t>30,  and</w:t>
            </w:r>
          </w:p>
        </w:tc>
        <w:tc>
          <w:tcPr>
            <w:tcW w:w="100" w:type="dxa"/>
            <w:vAlign w:val="bottom"/>
          </w:tcPr>
          <w:p>
            <w:pPr>
              <w:spacing w:after="0"/>
              <w:rPr>
                <w:sz w:val="15"/>
                <w:szCs w:val="15"/>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September  30</w:t>
            </w:r>
          </w:p>
        </w:tc>
        <w:tc>
          <w:tcPr>
            <w:tcW w:w="680" w:type="dxa"/>
            <w:vAlign w:val="bottom"/>
            <w:gridSpan w:val="2"/>
          </w:tcPr>
          <w:p>
            <w:pPr>
              <w:ind w:left="80"/>
              <w:spacing w:after="0"/>
              <w:rPr>
                <w:sz w:val="20"/>
                <w:szCs w:val="20"/>
                <w:color w:val="auto"/>
              </w:rPr>
            </w:pPr>
            <w:r>
              <w:rPr>
                <w:rFonts w:ascii="Arial" w:cs="Arial" w:eastAsia="Arial" w:hAnsi="Arial"/>
                <w:sz w:val="13"/>
                <w:szCs w:val="13"/>
                <w:color w:val="auto"/>
              </w:rPr>
              <w:t>of  2023.</w:t>
            </w:r>
          </w:p>
        </w:tc>
      </w:tr>
      <w:tr>
        <w:trPr>
          <w:trHeight w:val="189"/>
        </w:trPr>
        <w:tc>
          <w:tcPr>
            <w:tcW w:w="3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ICON plc</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9"/>
        </w:trPr>
        <w:tc>
          <w:tcPr>
            <w:tcW w:w="310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gridSpan w:val="8"/>
          </w:tcPr>
          <w:p>
            <w:pPr>
              <w:jc w:val="right"/>
              <w:ind w:right="433"/>
              <w:spacing w:after="0"/>
              <w:rPr>
                <w:sz w:val="20"/>
                <w:szCs w:val="20"/>
                <w:color w:val="auto"/>
              </w:rPr>
            </w:pPr>
            <w:r>
              <w:rPr>
                <w:rFonts w:ascii="Arial" w:cs="Arial" w:eastAsia="Arial" w:hAnsi="Arial"/>
                <w:sz w:val="13"/>
                <w:szCs w:val="13"/>
                <w:b w:val="1"/>
                <w:bCs w:val="1"/>
                <w:color w:val="auto"/>
              </w:rPr>
              <w:t>CONDENSED CONSOLIDATED STATEMENTS OF CASH FLOWS (UNAUDITED)</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3100" w:type="dxa"/>
            <w:vAlign w:val="bottom"/>
            <w:tcBorders>
              <w:bottom w:val="single" w:sz="8" w:color="auto"/>
            </w:tcBorders>
            <w:shd w:val="clear" w:color="auto" w:fill="CCEEFF"/>
          </w:tcPr>
          <w:p>
            <w:pPr>
              <w:spacing w:after="0"/>
              <w:rPr>
                <w:sz w:val="14"/>
                <w:szCs w:val="14"/>
                <w:color w:val="auto"/>
              </w:rPr>
            </w:pPr>
          </w:p>
        </w:tc>
        <w:tc>
          <w:tcPr>
            <w:tcW w:w="2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gridSpan w:val="3"/>
            <w:shd w:val="clear" w:color="auto" w:fill="CCEEFF"/>
          </w:tcPr>
          <w:p>
            <w:pPr>
              <w:jc w:val="center"/>
              <w:ind w:left="573"/>
              <w:spacing w:after="0"/>
              <w:rPr>
                <w:sz w:val="20"/>
                <w:szCs w:val="20"/>
                <w:color w:val="auto"/>
              </w:rPr>
            </w:pPr>
            <w:r>
              <w:rPr>
                <w:rFonts w:ascii="Arial" w:cs="Arial" w:eastAsia="Arial" w:hAnsi="Arial"/>
                <w:sz w:val="13"/>
                <w:szCs w:val="13"/>
                <w:b w:val="1"/>
                <w:bCs w:val="1"/>
                <w:color w:val="auto"/>
              </w:rPr>
              <w:t>Six Months Ended</w:t>
            </w:r>
          </w:p>
        </w:tc>
        <w:tc>
          <w:tcPr>
            <w:tcW w:w="6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bottom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March 31, 2023</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3"/>
                <w:szCs w:val="13"/>
                <w:b w:val="1"/>
                <w:bCs w:val="1"/>
                <w:color w:val="auto"/>
              </w:rPr>
              <w:t>June 30, 2023</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 2023</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840" w:type="dxa"/>
            <w:vAlign w:val="bottom"/>
            <w:tcBorders>
              <w:bottom w:val="single" w:sz="8" w:color="auto"/>
            </w:tcBorders>
            <w:gridSpan w:val="3"/>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Adjustments As Restated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88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Adjustments As Restated</w:t>
            </w:r>
          </w:p>
        </w:tc>
        <w:tc>
          <w:tcPr>
            <w:tcW w:w="40" w:type="dxa"/>
            <w:vAlign w:val="bottom"/>
          </w:tcPr>
          <w:p>
            <w:pPr>
              <w:spacing w:after="0"/>
              <w:rPr>
                <w:sz w:val="14"/>
                <w:szCs w:val="14"/>
                <w:color w:val="auto"/>
              </w:rPr>
            </w:pPr>
          </w:p>
        </w:tc>
      </w:tr>
      <w:tr>
        <w:trPr>
          <w:trHeight w:val="169"/>
        </w:trPr>
        <w:tc>
          <w:tcPr>
            <w:tcW w:w="3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auto"/>
              </w:rPr>
              <w:t>(in thousands)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provided by operating activities: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1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tcPr>
          <w:p>
            <w:pPr>
              <w:jc w:val="right"/>
              <w:spacing w:after="0"/>
              <w:rPr>
                <w:sz w:val="20"/>
                <w:szCs w:val="20"/>
                <w:color w:val="auto"/>
              </w:rPr>
            </w:pPr>
            <w:r>
              <w:rPr>
                <w:rFonts w:ascii="Arial" w:cs="Arial" w:eastAsia="Arial" w:hAnsi="Arial"/>
                <w:sz w:val="13"/>
                <w:szCs w:val="13"/>
                <w:color w:val="auto"/>
              </w:rPr>
              <w:t>$   116,654</w:t>
            </w: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(7,777) $</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108,877</w:t>
            </w:r>
          </w:p>
        </w:tc>
        <w:tc>
          <w:tcPr>
            <w:tcW w:w="840" w:type="dxa"/>
            <w:vAlign w:val="bottom"/>
          </w:tcPr>
          <w:p>
            <w:pPr>
              <w:jc w:val="right"/>
              <w:spacing w:after="0"/>
              <w:rPr>
                <w:sz w:val="20"/>
                <w:szCs w:val="20"/>
                <w:color w:val="auto"/>
              </w:rPr>
            </w:pPr>
            <w:r>
              <w:rPr>
                <w:rFonts w:ascii="Arial" w:cs="Arial" w:eastAsia="Arial" w:hAnsi="Arial"/>
                <w:sz w:val="13"/>
                <w:szCs w:val="13"/>
                <w:color w:val="auto"/>
              </w:rPr>
              <w:t>$   232,252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(15,330) $</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216,922</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395,917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(25,094) $</w:t>
            </w:r>
          </w:p>
        </w:tc>
        <w:tc>
          <w:tcPr>
            <w:tcW w:w="640" w:type="dxa"/>
            <w:vAlign w:val="bottom"/>
          </w:tcPr>
          <w:p>
            <w:pPr>
              <w:jc w:val="right"/>
              <w:spacing w:after="0"/>
              <w:rPr>
                <w:sz w:val="20"/>
                <w:szCs w:val="20"/>
                <w:color w:val="auto"/>
              </w:rPr>
            </w:pPr>
            <w:r>
              <w:rPr>
                <w:rFonts w:ascii="Arial" w:cs="Arial" w:eastAsia="Arial" w:hAnsi="Arial"/>
                <w:sz w:val="13"/>
                <w:szCs w:val="13"/>
                <w:color w:val="auto"/>
              </w:rPr>
              <w:t>370,823</w:t>
            </w:r>
          </w:p>
        </w:tc>
        <w:tc>
          <w:tcPr>
            <w:tcW w:w="40" w:type="dxa"/>
            <w:vAlign w:val="bottom"/>
          </w:tcPr>
          <w:p>
            <w:pPr>
              <w:spacing w:after="0"/>
              <w:rPr>
                <w:sz w:val="15"/>
                <w:szCs w:val="15"/>
                <w:color w:val="auto"/>
              </w:rPr>
            </w:pPr>
          </w:p>
        </w:tc>
      </w:tr>
      <w:tr>
        <w:trPr>
          <w:trHeight w:val="168"/>
        </w:trPr>
        <w:tc>
          <w:tcPr>
            <w:tcW w:w="3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34"/>
        </w:trPr>
        <w:tc>
          <w:tcPr>
            <w:tcW w:w="3100" w:type="dxa"/>
            <w:vAlign w:val="bottom"/>
          </w:tcPr>
          <w:p>
            <w:pPr>
              <w:ind w:left="120"/>
              <w:spacing w:after="0" w:line="134" w:lineRule="exact"/>
              <w:rPr>
                <w:sz w:val="20"/>
                <w:szCs w:val="20"/>
                <w:color w:val="auto"/>
              </w:rPr>
            </w:pPr>
            <w:r>
              <w:rPr>
                <w:rFonts w:ascii="Arial" w:cs="Arial" w:eastAsia="Arial" w:hAnsi="Arial"/>
                <w:sz w:val="13"/>
                <w:szCs w:val="13"/>
                <w:color w:val="auto"/>
              </w:rPr>
              <w:t>Adjustments to reconcile net income to net cash</w:t>
            </w: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3100" w:type="dxa"/>
            <w:vAlign w:val="bottom"/>
          </w:tcPr>
          <w:p>
            <w:pPr>
              <w:ind w:left="120"/>
              <w:spacing w:after="0"/>
              <w:rPr>
                <w:sz w:val="20"/>
                <w:szCs w:val="20"/>
                <w:color w:val="auto"/>
              </w:rPr>
            </w:pPr>
            <w:r>
              <w:rPr>
                <w:rFonts w:ascii="Arial" w:cs="Arial" w:eastAsia="Arial" w:hAnsi="Arial"/>
                <w:sz w:val="13"/>
                <w:szCs w:val="13"/>
                <w:color w:val="auto"/>
              </w:rPr>
              <w:t>provided by operating activities:</w:t>
            </w: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9"/>
        </w:trPr>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Depreciation and amortization</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145,126</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145,126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290,185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290,185</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436,217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436,217</w:t>
            </w:r>
          </w:p>
        </w:tc>
        <w:tc>
          <w:tcPr>
            <w:tcW w:w="40" w:type="dxa"/>
            <w:vAlign w:val="bottom"/>
          </w:tcPr>
          <w:p>
            <w:pPr>
              <w:spacing w:after="0"/>
              <w:rPr>
                <w:sz w:val="15"/>
                <w:szCs w:val="15"/>
                <w:color w:val="auto"/>
              </w:rPr>
            </w:pPr>
          </w:p>
        </w:tc>
      </w:tr>
      <w:tr>
        <w:trPr>
          <w:trHeight w:val="134"/>
        </w:trPr>
        <w:tc>
          <w:tcPr>
            <w:tcW w:w="3100" w:type="dxa"/>
            <w:vAlign w:val="bottom"/>
          </w:tcPr>
          <w:p>
            <w:pPr>
              <w:ind w:left="200"/>
              <w:spacing w:after="0" w:line="134" w:lineRule="exact"/>
              <w:rPr>
                <w:sz w:val="20"/>
                <w:szCs w:val="20"/>
                <w:color w:val="auto"/>
              </w:rPr>
            </w:pPr>
            <w:r>
              <w:rPr>
                <w:rFonts w:ascii="Arial" w:cs="Arial" w:eastAsia="Arial" w:hAnsi="Arial"/>
                <w:sz w:val="13"/>
                <w:szCs w:val="13"/>
                <w:color w:val="auto"/>
              </w:rPr>
              <w:t>Impairment of operating right-of-use assets and</w:t>
            </w:r>
          </w:p>
        </w:tc>
        <w:tc>
          <w:tcPr>
            <w:tcW w:w="1000" w:type="dxa"/>
            <w:vAlign w:val="bottom"/>
          </w:tcPr>
          <w:p>
            <w:pPr>
              <w:jc w:val="right"/>
              <w:spacing w:after="0" w:line="134" w:lineRule="exact"/>
              <w:rPr>
                <w:sz w:val="20"/>
                <w:szCs w:val="20"/>
                <w:color w:val="auto"/>
              </w:rPr>
            </w:pPr>
            <w:r>
              <w:rPr>
                <w:rFonts w:ascii="Arial" w:cs="Arial" w:eastAsia="Arial" w:hAnsi="Arial"/>
                <w:sz w:val="13"/>
                <w:szCs w:val="13"/>
                <w:color w:val="auto"/>
              </w:rPr>
              <w:t>6,933</w:t>
            </w:r>
          </w:p>
        </w:tc>
        <w:tc>
          <w:tcPr>
            <w:tcW w:w="420" w:type="dxa"/>
            <w:vAlign w:val="bottom"/>
          </w:tcPr>
          <w:p>
            <w:pPr>
              <w:spacing w:after="0"/>
              <w:rPr>
                <w:sz w:val="11"/>
                <w:szCs w:val="11"/>
                <w:color w:val="auto"/>
              </w:rPr>
            </w:pPr>
          </w:p>
        </w:tc>
        <w:tc>
          <w:tcPr>
            <w:tcW w:w="740" w:type="dxa"/>
            <w:vAlign w:val="bottom"/>
          </w:tcPr>
          <w:p>
            <w:pPr>
              <w:jc w:val="right"/>
              <w:ind w:right="213"/>
              <w:spacing w:after="0" w:line="13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line="134" w:lineRule="exact"/>
              <w:rPr>
                <w:sz w:val="20"/>
                <w:szCs w:val="20"/>
                <w:color w:val="auto"/>
              </w:rPr>
            </w:pPr>
            <w:r>
              <w:rPr>
                <w:rFonts w:ascii="Arial" w:cs="Arial" w:eastAsia="Arial" w:hAnsi="Arial"/>
                <w:sz w:val="13"/>
                <w:szCs w:val="13"/>
                <w:color w:val="auto"/>
              </w:rPr>
              <w:t>6,933</w:t>
            </w: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8,613</w:t>
            </w:r>
          </w:p>
        </w:tc>
        <w:tc>
          <w:tcPr>
            <w:tcW w:w="100" w:type="dxa"/>
            <w:vAlign w:val="bottom"/>
          </w:tcPr>
          <w:p>
            <w:pPr>
              <w:spacing w:after="0"/>
              <w:rPr>
                <w:sz w:val="11"/>
                <w:szCs w:val="11"/>
                <w:color w:val="auto"/>
              </w:rPr>
            </w:pPr>
          </w:p>
        </w:tc>
        <w:tc>
          <w:tcPr>
            <w:tcW w:w="1040" w:type="dxa"/>
            <w:vAlign w:val="bottom"/>
          </w:tcPr>
          <w:p>
            <w:pPr>
              <w:jc w:val="right"/>
              <w:ind w:right="193"/>
              <w:spacing w:after="0" w:line="134"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line="134" w:lineRule="exact"/>
              <w:rPr>
                <w:sz w:val="20"/>
                <w:szCs w:val="20"/>
                <w:color w:val="auto"/>
              </w:rPr>
            </w:pPr>
            <w:r>
              <w:rPr>
                <w:rFonts w:ascii="Arial" w:cs="Arial" w:eastAsia="Arial" w:hAnsi="Arial"/>
                <w:sz w:val="13"/>
                <w:szCs w:val="13"/>
                <w:color w:val="auto"/>
              </w:rPr>
              <w:t>8,613</w:t>
            </w:r>
          </w:p>
        </w:tc>
        <w:tc>
          <w:tcPr>
            <w:tcW w:w="20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8,845</w:t>
            </w:r>
          </w:p>
        </w:tc>
        <w:tc>
          <w:tcPr>
            <w:tcW w:w="100" w:type="dxa"/>
            <w:vAlign w:val="bottom"/>
          </w:tcPr>
          <w:p>
            <w:pPr>
              <w:spacing w:after="0"/>
              <w:rPr>
                <w:sz w:val="11"/>
                <w:szCs w:val="11"/>
                <w:color w:val="auto"/>
              </w:rPr>
            </w:pPr>
          </w:p>
        </w:tc>
        <w:tc>
          <w:tcPr>
            <w:tcW w:w="1040" w:type="dxa"/>
            <w:vAlign w:val="bottom"/>
          </w:tcPr>
          <w:p>
            <w:pPr>
              <w:jc w:val="right"/>
              <w:ind w:right="193"/>
              <w:spacing w:after="0" w:line="134"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8,845</w:t>
            </w:r>
          </w:p>
        </w:tc>
        <w:tc>
          <w:tcPr>
            <w:tcW w:w="40" w:type="dxa"/>
            <w:vAlign w:val="bottom"/>
          </w:tcPr>
          <w:p>
            <w:pPr>
              <w:spacing w:after="0"/>
              <w:rPr>
                <w:sz w:val="11"/>
                <w:szCs w:val="11"/>
                <w:color w:val="auto"/>
              </w:rPr>
            </w:pPr>
          </w:p>
        </w:tc>
      </w:tr>
      <w:tr>
        <w:trPr>
          <w:trHeight w:val="176"/>
        </w:trPr>
        <w:tc>
          <w:tcPr>
            <w:tcW w:w="3100" w:type="dxa"/>
            <w:vAlign w:val="bottom"/>
          </w:tcPr>
          <w:p>
            <w:pPr>
              <w:ind w:left="200"/>
              <w:spacing w:after="0"/>
              <w:rPr>
                <w:sz w:val="20"/>
                <w:szCs w:val="20"/>
                <w:color w:val="auto"/>
              </w:rPr>
            </w:pPr>
            <w:r>
              <w:rPr>
                <w:rFonts w:ascii="Arial" w:cs="Arial" w:eastAsia="Arial" w:hAnsi="Arial"/>
                <w:sz w:val="13"/>
                <w:szCs w:val="13"/>
                <w:color w:val="auto"/>
              </w:rPr>
              <w:t>related property, plant and equipment</w:t>
            </w: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35"/>
        </w:trPr>
        <w:tc>
          <w:tcPr>
            <w:tcW w:w="3100" w:type="dxa"/>
            <w:vAlign w:val="bottom"/>
            <w:shd w:val="clear" w:color="auto" w:fill="CCEEFF"/>
          </w:tcPr>
          <w:p>
            <w:pPr>
              <w:ind w:left="200"/>
              <w:spacing w:after="0" w:line="136" w:lineRule="exact"/>
              <w:rPr>
                <w:sz w:val="20"/>
                <w:szCs w:val="20"/>
                <w:color w:val="auto"/>
              </w:rPr>
            </w:pPr>
            <w:r>
              <w:rPr>
                <w:rFonts w:ascii="Arial" w:cs="Arial" w:eastAsia="Arial" w:hAnsi="Arial"/>
                <w:sz w:val="13"/>
                <w:szCs w:val="13"/>
                <w:color w:val="auto"/>
              </w:rPr>
              <w:t>Reduction in carrying value of operating right-of-</w:t>
            </w: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11,304</w:t>
            </w: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3"/>
              <w:spacing w:after="0" w:line="13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rPr>
              <w:t>11,304</w:t>
            </w: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23,607</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93"/>
              <w:spacing w:after="0" w:line="136"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23,607</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33,979</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93"/>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33,979</w:t>
            </w:r>
          </w:p>
        </w:tc>
        <w:tc>
          <w:tcPr>
            <w:tcW w:w="40" w:type="dxa"/>
            <w:vAlign w:val="bottom"/>
          </w:tcPr>
          <w:p>
            <w:pPr>
              <w:spacing w:after="0"/>
              <w:rPr>
                <w:sz w:val="11"/>
                <w:szCs w:val="11"/>
                <w:color w:val="auto"/>
              </w:rPr>
            </w:pPr>
          </w:p>
        </w:tc>
      </w:tr>
      <w:tr>
        <w:trPr>
          <w:trHeight w:val="177"/>
        </w:trPr>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use assets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100" w:type="dxa"/>
            <w:vAlign w:val="bottom"/>
          </w:tcPr>
          <w:p>
            <w:pPr>
              <w:ind w:left="200"/>
              <w:spacing w:after="0"/>
              <w:rPr>
                <w:sz w:val="20"/>
                <w:szCs w:val="20"/>
                <w:color w:val="auto"/>
              </w:rPr>
            </w:pPr>
            <w:r>
              <w:rPr>
                <w:rFonts w:ascii="Arial" w:cs="Arial" w:eastAsia="Arial" w:hAnsi="Arial"/>
                <w:sz w:val="13"/>
                <w:szCs w:val="13"/>
                <w:color w:val="auto"/>
              </w:rPr>
              <w:t>Loss on equity method investments</w:t>
            </w:r>
          </w:p>
        </w:tc>
        <w:tc>
          <w:tcPr>
            <w:tcW w:w="1000" w:type="dxa"/>
            <w:vAlign w:val="bottom"/>
          </w:tcPr>
          <w:p>
            <w:pPr>
              <w:jc w:val="right"/>
              <w:spacing w:after="0"/>
              <w:rPr>
                <w:sz w:val="20"/>
                <w:szCs w:val="20"/>
                <w:color w:val="auto"/>
              </w:rPr>
            </w:pPr>
            <w:r>
              <w:rPr>
                <w:rFonts w:ascii="Arial" w:cs="Arial" w:eastAsia="Arial" w:hAnsi="Arial"/>
                <w:sz w:val="13"/>
                <w:szCs w:val="13"/>
                <w:color w:val="auto"/>
              </w:rPr>
              <w:t>383</w:t>
            </w:r>
          </w:p>
        </w:tc>
        <w:tc>
          <w:tcPr>
            <w:tcW w:w="4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383</w:t>
            </w:r>
          </w:p>
        </w:tc>
        <w:tc>
          <w:tcPr>
            <w:tcW w:w="840" w:type="dxa"/>
            <w:vAlign w:val="bottom"/>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5"/>
                <w:szCs w:val="15"/>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383</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5"/>
                <w:szCs w:val="15"/>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383</w:t>
            </w:r>
          </w:p>
        </w:tc>
        <w:tc>
          <w:tcPr>
            <w:tcW w:w="40" w:type="dxa"/>
            <w:vAlign w:val="bottom"/>
          </w:tcPr>
          <w:p>
            <w:pPr>
              <w:spacing w:after="0"/>
              <w:rPr>
                <w:sz w:val="15"/>
                <w:szCs w:val="15"/>
                <w:color w:val="auto"/>
              </w:rPr>
            </w:pPr>
          </w:p>
        </w:tc>
      </w:tr>
      <w:tr>
        <w:trPr>
          <w:trHeight w:val="179"/>
        </w:trPr>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Acquisition-related gain</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(6,160)</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(6,160)</w:t>
            </w:r>
          </w:p>
        </w:tc>
        <w:tc>
          <w:tcPr>
            <w:tcW w:w="40" w:type="dxa"/>
            <w:vAlign w:val="bottom"/>
          </w:tcPr>
          <w:p>
            <w:pPr>
              <w:spacing w:after="0"/>
              <w:rPr>
                <w:sz w:val="15"/>
                <w:szCs w:val="15"/>
                <w:color w:val="auto"/>
              </w:rPr>
            </w:pPr>
          </w:p>
        </w:tc>
      </w:tr>
      <w:tr>
        <w:trPr>
          <w:trHeight w:val="177"/>
        </w:trPr>
        <w:tc>
          <w:tcPr>
            <w:tcW w:w="3100" w:type="dxa"/>
            <w:vAlign w:val="bottom"/>
          </w:tcPr>
          <w:p>
            <w:pPr>
              <w:ind w:left="200"/>
              <w:spacing w:after="0"/>
              <w:rPr>
                <w:sz w:val="20"/>
                <w:szCs w:val="20"/>
                <w:color w:val="auto"/>
              </w:rPr>
            </w:pPr>
            <w:r>
              <w:rPr>
                <w:rFonts w:ascii="Arial" w:cs="Arial" w:eastAsia="Arial" w:hAnsi="Arial"/>
                <w:sz w:val="13"/>
                <w:szCs w:val="13"/>
                <w:color w:val="auto"/>
              </w:rPr>
              <w:t>Amortization of financing costs and debt discount</w:t>
            </w:r>
          </w:p>
        </w:tc>
        <w:tc>
          <w:tcPr>
            <w:tcW w:w="1000" w:type="dxa"/>
            <w:vAlign w:val="bottom"/>
          </w:tcPr>
          <w:p>
            <w:pPr>
              <w:jc w:val="right"/>
              <w:spacing w:after="0"/>
              <w:rPr>
                <w:sz w:val="20"/>
                <w:szCs w:val="20"/>
                <w:color w:val="auto"/>
              </w:rPr>
            </w:pPr>
            <w:r>
              <w:rPr>
                <w:rFonts w:ascii="Arial" w:cs="Arial" w:eastAsia="Arial" w:hAnsi="Arial"/>
                <w:sz w:val="13"/>
                <w:szCs w:val="13"/>
                <w:color w:val="auto"/>
              </w:rPr>
              <w:t>4,497</w:t>
            </w:r>
          </w:p>
        </w:tc>
        <w:tc>
          <w:tcPr>
            <w:tcW w:w="4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4,497</w:t>
            </w:r>
          </w:p>
        </w:tc>
        <w:tc>
          <w:tcPr>
            <w:tcW w:w="840" w:type="dxa"/>
            <w:vAlign w:val="bottom"/>
          </w:tcPr>
          <w:p>
            <w:pPr>
              <w:jc w:val="right"/>
              <w:spacing w:after="0"/>
              <w:rPr>
                <w:sz w:val="20"/>
                <w:szCs w:val="20"/>
                <w:color w:val="auto"/>
              </w:rPr>
            </w:pPr>
            <w:r>
              <w:rPr>
                <w:rFonts w:ascii="Arial" w:cs="Arial" w:eastAsia="Arial" w:hAnsi="Arial"/>
                <w:sz w:val="13"/>
                <w:szCs w:val="13"/>
                <w:color w:val="auto"/>
              </w:rPr>
              <w:t>7,899</w:t>
            </w:r>
          </w:p>
        </w:tc>
        <w:tc>
          <w:tcPr>
            <w:tcW w:w="100" w:type="dxa"/>
            <w:vAlign w:val="bottom"/>
          </w:tcPr>
          <w:p>
            <w:pPr>
              <w:spacing w:after="0"/>
              <w:rPr>
                <w:sz w:val="15"/>
                <w:szCs w:val="15"/>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7,899</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12,485</w:t>
            </w:r>
          </w:p>
        </w:tc>
        <w:tc>
          <w:tcPr>
            <w:tcW w:w="100" w:type="dxa"/>
            <w:vAlign w:val="bottom"/>
          </w:tcPr>
          <w:p>
            <w:pPr>
              <w:spacing w:after="0"/>
              <w:rPr>
                <w:sz w:val="15"/>
                <w:szCs w:val="15"/>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12,485</w:t>
            </w:r>
          </w:p>
        </w:tc>
        <w:tc>
          <w:tcPr>
            <w:tcW w:w="40" w:type="dxa"/>
            <w:vAlign w:val="bottom"/>
          </w:tcPr>
          <w:p>
            <w:pPr>
              <w:spacing w:after="0"/>
              <w:rPr>
                <w:sz w:val="15"/>
                <w:szCs w:val="15"/>
                <w:color w:val="auto"/>
              </w:rPr>
            </w:pPr>
          </w:p>
        </w:tc>
      </w:tr>
      <w:tr>
        <w:trPr>
          <w:trHeight w:val="179"/>
        </w:trPr>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 compensation expense</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14,759</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14,759</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31,357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31,357</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47,303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47,303</w:t>
            </w:r>
          </w:p>
        </w:tc>
        <w:tc>
          <w:tcPr>
            <w:tcW w:w="40" w:type="dxa"/>
            <w:vAlign w:val="bottom"/>
          </w:tcPr>
          <w:p>
            <w:pPr>
              <w:spacing w:after="0"/>
              <w:rPr>
                <w:sz w:val="15"/>
                <w:szCs w:val="15"/>
                <w:color w:val="auto"/>
              </w:rPr>
            </w:pPr>
          </w:p>
        </w:tc>
      </w:tr>
      <w:tr>
        <w:trPr>
          <w:trHeight w:val="177"/>
        </w:trPr>
        <w:tc>
          <w:tcPr>
            <w:tcW w:w="3100" w:type="dxa"/>
            <w:vAlign w:val="bottom"/>
          </w:tcPr>
          <w:p>
            <w:pPr>
              <w:ind w:left="200"/>
              <w:spacing w:after="0"/>
              <w:rPr>
                <w:sz w:val="20"/>
                <w:szCs w:val="20"/>
                <w:color w:val="auto"/>
              </w:rPr>
            </w:pPr>
            <w:r>
              <w:rPr>
                <w:rFonts w:ascii="Arial" w:cs="Arial" w:eastAsia="Arial" w:hAnsi="Arial"/>
                <w:sz w:val="13"/>
                <w:szCs w:val="13"/>
                <w:color w:val="auto"/>
              </w:rPr>
              <w:t>Deferred tax benefit</w:t>
            </w:r>
          </w:p>
        </w:tc>
        <w:tc>
          <w:tcPr>
            <w:tcW w:w="1000" w:type="dxa"/>
            <w:vAlign w:val="bottom"/>
          </w:tcPr>
          <w:p>
            <w:pPr>
              <w:jc w:val="right"/>
              <w:spacing w:after="0"/>
              <w:rPr>
                <w:sz w:val="20"/>
                <w:szCs w:val="20"/>
                <w:color w:val="auto"/>
              </w:rPr>
            </w:pPr>
            <w:r>
              <w:rPr>
                <w:rFonts w:ascii="Arial" w:cs="Arial" w:eastAsia="Arial" w:hAnsi="Arial"/>
                <w:sz w:val="13"/>
                <w:szCs w:val="13"/>
                <w:color w:val="auto"/>
              </w:rPr>
              <w:t>(43,823)</w:t>
            </w:r>
          </w:p>
        </w:tc>
        <w:tc>
          <w:tcPr>
            <w:tcW w:w="42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(590)</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(44,413)</w:t>
            </w:r>
          </w:p>
        </w:tc>
        <w:tc>
          <w:tcPr>
            <w:tcW w:w="840" w:type="dxa"/>
            <w:vAlign w:val="bottom"/>
          </w:tcPr>
          <w:p>
            <w:pPr>
              <w:jc w:val="right"/>
              <w:spacing w:after="0"/>
              <w:rPr>
                <w:sz w:val="20"/>
                <w:szCs w:val="20"/>
                <w:color w:val="auto"/>
              </w:rPr>
            </w:pPr>
            <w:r>
              <w:rPr>
                <w:rFonts w:ascii="Arial" w:cs="Arial" w:eastAsia="Arial" w:hAnsi="Arial"/>
                <w:sz w:val="13"/>
                <w:szCs w:val="13"/>
                <w:color w:val="auto"/>
              </w:rPr>
              <w:t>(59,177)</w:t>
            </w:r>
          </w:p>
        </w:tc>
        <w:tc>
          <w:tcPr>
            <w:tcW w:w="10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(1,178)</w:t>
            </w:r>
          </w:p>
        </w:tc>
        <w:tc>
          <w:tcPr>
            <w:tcW w:w="660" w:type="dxa"/>
            <w:vAlign w:val="bottom"/>
          </w:tcPr>
          <w:p>
            <w:pPr>
              <w:jc w:val="right"/>
              <w:spacing w:after="0"/>
              <w:rPr>
                <w:sz w:val="20"/>
                <w:szCs w:val="20"/>
                <w:color w:val="auto"/>
              </w:rPr>
            </w:pPr>
            <w:r>
              <w:rPr>
                <w:rFonts w:ascii="Arial" w:cs="Arial" w:eastAsia="Arial" w:hAnsi="Arial"/>
                <w:sz w:val="13"/>
                <w:szCs w:val="13"/>
                <w:color w:val="auto"/>
              </w:rPr>
              <w:t>(60,355)</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(114,487)</w:t>
            </w:r>
          </w:p>
        </w:tc>
        <w:tc>
          <w:tcPr>
            <w:tcW w:w="10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(1,880)</w:t>
            </w:r>
          </w:p>
        </w:tc>
        <w:tc>
          <w:tcPr>
            <w:tcW w:w="640" w:type="dxa"/>
            <w:vAlign w:val="bottom"/>
          </w:tcPr>
          <w:p>
            <w:pPr>
              <w:jc w:val="right"/>
              <w:spacing w:after="0"/>
              <w:rPr>
                <w:sz w:val="20"/>
                <w:szCs w:val="20"/>
                <w:color w:val="auto"/>
              </w:rPr>
            </w:pPr>
            <w:r>
              <w:rPr>
                <w:rFonts w:ascii="Arial" w:cs="Arial" w:eastAsia="Arial" w:hAnsi="Arial"/>
                <w:sz w:val="13"/>
                <w:szCs w:val="13"/>
                <w:color w:val="auto"/>
              </w:rPr>
              <w:t>(116,367)</w:t>
            </w:r>
          </w:p>
        </w:tc>
        <w:tc>
          <w:tcPr>
            <w:tcW w:w="40" w:type="dxa"/>
            <w:vAlign w:val="bottom"/>
          </w:tcPr>
          <w:p>
            <w:pPr>
              <w:spacing w:after="0"/>
              <w:rPr>
                <w:sz w:val="15"/>
                <w:szCs w:val="15"/>
                <w:color w:val="auto"/>
              </w:rPr>
            </w:pPr>
          </w:p>
        </w:tc>
      </w:tr>
      <w:tr>
        <w:trPr>
          <w:trHeight w:val="179"/>
        </w:trPr>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foreign exchange movements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(1,319)</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(1,319)</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(3,345)</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(7,670)</w:t>
            </w:r>
          </w:p>
        </w:tc>
        <w:tc>
          <w:tcPr>
            <w:tcW w:w="40" w:type="dxa"/>
            <w:vAlign w:val="bottom"/>
          </w:tcPr>
          <w:p>
            <w:pPr>
              <w:spacing w:after="0"/>
              <w:rPr>
                <w:sz w:val="15"/>
                <w:szCs w:val="15"/>
                <w:color w:val="auto"/>
              </w:rPr>
            </w:pPr>
          </w:p>
        </w:tc>
      </w:tr>
      <w:tr>
        <w:trPr>
          <w:trHeight w:val="177"/>
        </w:trPr>
        <w:tc>
          <w:tcPr>
            <w:tcW w:w="3100" w:type="dxa"/>
            <w:vAlign w:val="bottom"/>
          </w:tcPr>
          <w:p>
            <w:pPr>
              <w:ind w:left="200"/>
              <w:spacing w:after="0"/>
              <w:rPr>
                <w:sz w:val="20"/>
                <w:szCs w:val="20"/>
                <w:color w:val="auto"/>
              </w:rPr>
            </w:pPr>
            <w:r>
              <w:rPr>
                <w:rFonts w:ascii="Arial" w:cs="Arial" w:eastAsia="Arial" w:hAnsi="Arial"/>
                <w:sz w:val="13"/>
                <w:szCs w:val="13"/>
                <w:color w:val="auto"/>
              </w:rPr>
              <w:t>Other non-cash items</w:t>
            </w:r>
          </w:p>
        </w:tc>
        <w:tc>
          <w:tcPr>
            <w:tcW w:w="1000" w:type="dxa"/>
            <w:vAlign w:val="bottom"/>
          </w:tcPr>
          <w:p>
            <w:pPr>
              <w:jc w:val="right"/>
              <w:spacing w:after="0"/>
              <w:rPr>
                <w:sz w:val="20"/>
                <w:szCs w:val="20"/>
                <w:color w:val="auto"/>
              </w:rPr>
            </w:pPr>
            <w:r>
              <w:rPr>
                <w:rFonts w:ascii="Arial" w:cs="Arial" w:eastAsia="Arial" w:hAnsi="Arial"/>
                <w:sz w:val="13"/>
                <w:szCs w:val="13"/>
                <w:color w:val="auto"/>
              </w:rPr>
              <w:t>17,534</w:t>
            </w:r>
          </w:p>
        </w:tc>
        <w:tc>
          <w:tcPr>
            <w:tcW w:w="4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17,534</w:t>
            </w:r>
          </w:p>
        </w:tc>
        <w:tc>
          <w:tcPr>
            <w:tcW w:w="840" w:type="dxa"/>
            <w:vAlign w:val="bottom"/>
          </w:tcPr>
          <w:p>
            <w:pPr>
              <w:jc w:val="right"/>
              <w:spacing w:after="0"/>
              <w:rPr>
                <w:sz w:val="20"/>
                <w:szCs w:val="20"/>
                <w:color w:val="auto"/>
              </w:rPr>
            </w:pPr>
            <w:r>
              <w:rPr>
                <w:rFonts w:ascii="Arial" w:cs="Arial" w:eastAsia="Arial" w:hAnsi="Arial"/>
                <w:sz w:val="13"/>
                <w:szCs w:val="13"/>
                <w:color w:val="auto"/>
              </w:rPr>
              <w:t>18,202</w:t>
            </w:r>
          </w:p>
        </w:tc>
        <w:tc>
          <w:tcPr>
            <w:tcW w:w="100" w:type="dxa"/>
            <w:vAlign w:val="bottom"/>
          </w:tcPr>
          <w:p>
            <w:pPr>
              <w:spacing w:after="0"/>
              <w:rPr>
                <w:sz w:val="15"/>
                <w:szCs w:val="15"/>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18,202</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21,966</w:t>
            </w:r>
          </w:p>
        </w:tc>
        <w:tc>
          <w:tcPr>
            <w:tcW w:w="100" w:type="dxa"/>
            <w:vAlign w:val="bottom"/>
          </w:tcPr>
          <w:p>
            <w:pPr>
              <w:spacing w:after="0"/>
              <w:rPr>
                <w:sz w:val="15"/>
                <w:szCs w:val="15"/>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21,966</w:t>
            </w:r>
          </w:p>
        </w:tc>
        <w:tc>
          <w:tcPr>
            <w:tcW w:w="40" w:type="dxa"/>
            <w:vAlign w:val="bottom"/>
          </w:tcPr>
          <w:p>
            <w:pPr>
              <w:spacing w:after="0"/>
              <w:rPr>
                <w:sz w:val="15"/>
                <w:szCs w:val="15"/>
                <w:color w:val="auto"/>
              </w:rPr>
            </w:pPr>
          </w:p>
        </w:tc>
      </w:tr>
      <w:tr>
        <w:trPr>
          <w:trHeight w:val="179"/>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310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1000" w:type="dxa"/>
            <w:vAlign w:val="bottom"/>
          </w:tcPr>
          <w:p>
            <w:pPr>
              <w:jc w:val="right"/>
              <w:spacing w:after="0"/>
              <w:rPr>
                <w:sz w:val="20"/>
                <w:szCs w:val="20"/>
                <w:color w:val="auto"/>
              </w:rPr>
            </w:pPr>
            <w:r>
              <w:rPr>
                <w:rFonts w:ascii="Arial" w:cs="Arial" w:eastAsia="Arial" w:hAnsi="Arial"/>
                <w:sz w:val="13"/>
                <w:szCs w:val="13"/>
                <w:color w:val="auto"/>
              </w:rPr>
              <w:t>(93,259)</w:t>
            </w:r>
          </w:p>
        </w:tc>
        <w:tc>
          <w:tcPr>
            <w:tcW w:w="4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(93,259)</w:t>
            </w:r>
          </w:p>
        </w:tc>
        <w:tc>
          <w:tcPr>
            <w:tcW w:w="840" w:type="dxa"/>
            <w:vAlign w:val="bottom"/>
          </w:tcPr>
          <w:p>
            <w:pPr>
              <w:jc w:val="right"/>
              <w:spacing w:after="0"/>
              <w:rPr>
                <w:sz w:val="20"/>
                <w:szCs w:val="20"/>
                <w:color w:val="auto"/>
              </w:rPr>
            </w:pPr>
            <w:r>
              <w:rPr>
                <w:rFonts w:ascii="Arial" w:cs="Arial" w:eastAsia="Arial" w:hAnsi="Arial"/>
                <w:sz w:val="13"/>
                <w:szCs w:val="13"/>
                <w:color w:val="auto"/>
              </w:rPr>
              <w:t>(40,675)</w:t>
            </w:r>
          </w:p>
        </w:tc>
        <w:tc>
          <w:tcPr>
            <w:tcW w:w="100" w:type="dxa"/>
            <w:vAlign w:val="bottom"/>
          </w:tcPr>
          <w:p>
            <w:pPr>
              <w:spacing w:after="0"/>
              <w:rPr>
                <w:sz w:val="15"/>
                <w:szCs w:val="15"/>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(40,675)</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(139,096)</w:t>
            </w:r>
          </w:p>
        </w:tc>
        <w:tc>
          <w:tcPr>
            <w:tcW w:w="100" w:type="dxa"/>
            <w:vAlign w:val="bottom"/>
          </w:tcPr>
          <w:p>
            <w:pPr>
              <w:spacing w:after="0"/>
              <w:rPr>
                <w:sz w:val="15"/>
                <w:szCs w:val="15"/>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(139,096)</w:t>
            </w:r>
          </w:p>
        </w:tc>
        <w:tc>
          <w:tcPr>
            <w:tcW w:w="40" w:type="dxa"/>
            <w:vAlign w:val="bottom"/>
          </w:tcPr>
          <w:p>
            <w:pPr>
              <w:spacing w:after="0"/>
              <w:rPr>
                <w:sz w:val="15"/>
                <w:szCs w:val="15"/>
                <w:color w:val="auto"/>
              </w:rPr>
            </w:pPr>
          </w:p>
        </w:tc>
      </w:tr>
      <w:tr>
        <w:trPr>
          <w:trHeight w:val="179"/>
        </w:trPr>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Unbilled revenue</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(18,346)</w:t>
            </w:r>
          </w:p>
        </w:tc>
        <w:tc>
          <w:tcPr>
            <w:tcW w:w="116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109,105</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90,759</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97,970</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70,760</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128,688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143,058</w:t>
            </w:r>
          </w:p>
        </w:tc>
        <w:tc>
          <w:tcPr>
            <w:tcW w:w="40" w:type="dxa"/>
            <w:vAlign w:val="bottom"/>
          </w:tcPr>
          <w:p>
            <w:pPr>
              <w:spacing w:after="0"/>
              <w:rPr>
                <w:sz w:val="15"/>
                <w:szCs w:val="15"/>
                <w:color w:val="auto"/>
              </w:rPr>
            </w:pPr>
          </w:p>
        </w:tc>
      </w:tr>
      <w:tr>
        <w:trPr>
          <w:trHeight w:val="177"/>
        </w:trPr>
        <w:tc>
          <w:tcPr>
            <w:tcW w:w="3100" w:type="dxa"/>
            <w:vAlign w:val="bottom"/>
          </w:tcPr>
          <w:p>
            <w:pPr>
              <w:ind w:left="200"/>
              <w:spacing w:after="0"/>
              <w:rPr>
                <w:sz w:val="20"/>
                <w:szCs w:val="20"/>
                <w:color w:val="auto"/>
              </w:rPr>
            </w:pPr>
            <w:r>
              <w:rPr>
                <w:rFonts w:ascii="Arial" w:cs="Arial" w:eastAsia="Arial" w:hAnsi="Arial"/>
                <w:sz w:val="13"/>
                <w:szCs w:val="13"/>
                <w:color w:val="auto"/>
              </w:rPr>
              <w:t>Unearned revenue</w:t>
            </w:r>
          </w:p>
        </w:tc>
        <w:tc>
          <w:tcPr>
            <w:tcW w:w="1000" w:type="dxa"/>
            <w:vAlign w:val="bottom"/>
          </w:tcPr>
          <w:p>
            <w:pPr>
              <w:jc w:val="right"/>
              <w:spacing w:after="0"/>
              <w:rPr>
                <w:sz w:val="20"/>
                <w:szCs w:val="20"/>
                <w:color w:val="auto"/>
              </w:rPr>
            </w:pPr>
            <w:r>
              <w:rPr>
                <w:rFonts w:ascii="Arial" w:cs="Arial" w:eastAsia="Arial" w:hAnsi="Arial"/>
                <w:sz w:val="13"/>
                <w:szCs w:val="13"/>
                <w:color w:val="auto"/>
              </w:rPr>
              <w:t>80,990</w:t>
            </w:r>
          </w:p>
        </w:tc>
        <w:tc>
          <w:tcPr>
            <w:tcW w:w="42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3"/>
                <w:szCs w:val="13"/>
                <w:color w:val="auto"/>
                <w:w w:val="99"/>
              </w:rPr>
              <w:t>(99,960)</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(18,970)</w:t>
            </w:r>
          </w:p>
        </w:tc>
        <w:tc>
          <w:tcPr>
            <w:tcW w:w="840" w:type="dxa"/>
            <w:vAlign w:val="bottom"/>
          </w:tcPr>
          <w:p>
            <w:pPr>
              <w:jc w:val="right"/>
              <w:spacing w:after="0"/>
              <w:rPr>
                <w:sz w:val="20"/>
                <w:szCs w:val="20"/>
                <w:color w:val="auto"/>
              </w:rPr>
            </w:pPr>
            <w:r>
              <w:rPr>
                <w:rFonts w:ascii="Arial" w:cs="Arial" w:eastAsia="Arial" w:hAnsi="Arial"/>
                <w:sz w:val="13"/>
                <w:szCs w:val="13"/>
                <w:color w:val="auto"/>
              </w:rPr>
              <w:t>65,266</w:t>
            </w:r>
          </w:p>
        </w:tc>
        <w:tc>
          <w:tcPr>
            <w:tcW w:w="10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(79,908)</w:t>
            </w:r>
          </w:p>
        </w:tc>
        <w:tc>
          <w:tcPr>
            <w:tcW w:w="660" w:type="dxa"/>
            <w:vAlign w:val="bottom"/>
          </w:tcPr>
          <w:p>
            <w:pPr>
              <w:jc w:val="right"/>
              <w:spacing w:after="0"/>
              <w:rPr>
                <w:sz w:val="20"/>
                <w:szCs w:val="20"/>
                <w:color w:val="auto"/>
              </w:rPr>
            </w:pPr>
            <w:r>
              <w:rPr>
                <w:rFonts w:ascii="Arial" w:cs="Arial" w:eastAsia="Arial" w:hAnsi="Arial"/>
                <w:sz w:val="13"/>
                <w:szCs w:val="13"/>
                <w:color w:val="auto"/>
              </w:rPr>
              <w:t>(14,642)</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158,269</w:t>
            </w:r>
          </w:p>
        </w:tc>
        <w:tc>
          <w:tcPr>
            <w:tcW w:w="10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color w:val="auto"/>
              </w:rPr>
              <w:t>(99,235)</w:t>
            </w:r>
          </w:p>
        </w:tc>
        <w:tc>
          <w:tcPr>
            <w:tcW w:w="640" w:type="dxa"/>
            <w:vAlign w:val="bottom"/>
          </w:tcPr>
          <w:p>
            <w:pPr>
              <w:jc w:val="right"/>
              <w:spacing w:after="0"/>
              <w:rPr>
                <w:sz w:val="20"/>
                <w:szCs w:val="20"/>
                <w:color w:val="auto"/>
              </w:rPr>
            </w:pPr>
            <w:r>
              <w:rPr>
                <w:rFonts w:ascii="Arial" w:cs="Arial" w:eastAsia="Arial" w:hAnsi="Arial"/>
                <w:sz w:val="13"/>
                <w:szCs w:val="13"/>
                <w:color w:val="auto"/>
              </w:rPr>
              <w:t>59,034</w:t>
            </w:r>
          </w:p>
        </w:tc>
        <w:tc>
          <w:tcPr>
            <w:tcW w:w="40" w:type="dxa"/>
            <w:vAlign w:val="bottom"/>
          </w:tcPr>
          <w:p>
            <w:pPr>
              <w:spacing w:after="0"/>
              <w:rPr>
                <w:sz w:val="15"/>
                <w:szCs w:val="15"/>
                <w:color w:val="auto"/>
              </w:rPr>
            </w:pPr>
          </w:p>
        </w:tc>
      </w:tr>
      <w:tr>
        <w:trPr>
          <w:trHeight w:val="178"/>
        </w:trPr>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Other net assets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(65,933)</w:t>
            </w: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(778)</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(66,711)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(161,816)</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(1,554)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(163,370)</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(141,425)</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(2,479)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(143,904)</w:t>
            </w:r>
          </w:p>
        </w:tc>
        <w:tc>
          <w:tcPr>
            <w:tcW w:w="40" w:type="dxa"/>
            <w:vAlign w:val="bottom"/>
          </w:tcPr>
          <w:p>
            <w:pPr>
              <w:spacing w:after="0"/>
              <w:rPr>
                <w:sz w:val="15"/>
                <w:szCs w:val="15"/>
                <w:color w:val="auto"/>
              </w:rPr>
            </w:pPr>
          </w:p>
        </w:tc>
      </w:tr>
      <w:tr>
        <w:trPr>
          <w:trHeight w:val="168"/>
        </w:trPr>
        <w:tc>
          <w:tcPr>
            <w:tcW w:w="310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000" w:type="dxa"/>
            <w:vAlign w:val="bottom"/>
          </w:tcPr>
          <w:p>
            <w:pPr>
              <w:jc w:val="right"/>
              <w:spacing w:after="0"/>
              <w:rPr>
                <w:sz w:val="20"/>
                <w:szCs w:val="20"/>
                <w:color w:val="auto"/>
              </w:rPr>
            </w:pPr>
            <w:r>
              <w:rPr>
                <w:rFonts w:ascii="Arial" w:cs="Arial" w:eastAsia="Arial" w:hAnsi="Arial"/>
                <w:sz w:val="13"/>
                <w:szCs w:val="13"/>
                <w:color w:val="auto"/>
              </w:rPr>
              <w:t>175,500</w:t>
            </w:r>
          </w:p>
        </w:tc>
        <w:tc>
          <w:tcPr>
            <w:tcW w:w="420" w:type="dxa"/>
            <w:vAlign w:val="bottom"/>
          </w:tcPr>
          <w:p>
            <w:pPr>
              <w:spacing w:after="0"/>
              <w:rPr>
                <w:sz w:val="14"/>
                <w:szCs w:val="14"/>
                <w:color w:val="auto"/>
              </w:rPr>
            </w:pPr>
          </w:p>
        </w:tc>
        <w:tc>
          <w:tcPr>
            <w:tcW w:w="7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175,500</w:t>
            </w:r>
          </w:p>
        </w:tc>
        <w:tc>
          <w:tcPr>
            <w:tcW w:w="840" w:type="dxa"/>
            <w:vAlign w:val="bottom"/>
          </w:tcPr>
          <w:p>
            <w:pPr>
              <w:jc w:val="right"/>
              <w:spacing w:after="0"/>
              <w:rPr>
                <w:sz w:val="20"/>
                <w:szCs w:val="20"/>
                <w:color w:val="auto"/>
              </w:rPr>
            </w:pPr>
            <w:r>
              <w:rPr>
                <w:rFonts w:ascii="Arial" w:cs="Arial" w:eastAsia="Arial" w:hAnsi="Arial"/>
                <w:sz w:val="13"/>
                <w:szCs w:val="13"/>
                <w:color w:val="auto"/>
              </w:rPr>
              <w:t>379,381</w:t>
            </w:r>
          </w:p>
        </w:tc>
        <w:tc>
          <w:tcPr>
            <w:tcW w:w="100" w:type="dxa"/>
            <w:vAlign w:val="bottom"/>
          </w:tcPr>
          <w:p>
            <w:pPr>
              <w:spacing w:after="0"/>
              <w:rPr>
                <w:sz w:val="14"/>
                <w:szCs w:val="14"/>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379,381</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720,896</w:t>
            </w:r>
          </w:p>
        </w:tc>
        <w:tc>
          <w:tcPr>
            <w:tcW w:w="100" w:type="dxa"/>
            <w:vAlign w:val="bottom"/>
          </w:tcPr>
          <w:p>
            <w:pPr>
              <w:spacing w:after="0"/>
              <w:rPr>
                <w:sz w:val="14"/>
                <w:szCs w:val="14"/>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720,896</w:t>
            </w:r>
          </w:p>
        </w:tc>
        <w:tc>
          <w:tcPr>
            <w:tcW w:w="40" w:type="dxa"/>
            <w:vAlign w:val="bottom"/>
          </w:tcPr>
          <w:p>
            <w:pPr>
              <w:spacing w:after="0"/>
              <w:rPr>
                <w:sz w:val="14"/>
                <w:szCs w:val="14"/>
                <w:color w:val="auto"/>
              </w:rPr>
            </w:pPr>
          </w:p>
        </w:tc>
      </w:tr>
      <w:tr>
        <w:trPr>
          <w:trHeight w:val="345"/>
        </w:trPr>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jc w:val="right"/>
              <w:ind w:right="153"/>
              <w:spacing w:after="0"/>
              <w:rPr>
                <w:sz w:val="20"/>
                <w:szCs w:val="20"/>
                <w:color w:val="auto"/>
              </w:rPr>
            </w:pPr>
            <w:r>
              <w:rPr>
                <w:rFonts w:ascii="Arial" w:cs="Arial" w:eastAsia="Arial" w:hAnsi="Arial"/>
                <w:sz w:val="13"/>
                <w:szCs w:val="13"/>
                <w:color w:val="auto"/>
              </w:rPr>
              <w:t>27</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2"/>
        </w:trPr>
        <w:tc>
          <w:tcPr>
            <w:tcW w:w="3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b w:val="1"/>
          <w:bCs w:val="1"/>
          <w:color w:val="auto"/>
        </w:rPr>
        <w:t>ICON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Borders>
              <w:top w:val="single" w:sz="8" w:color="auto"/>
              <w:bottom w:val="single" w:sz="8" w:color="auto"/>
            </w:tcBorders>
            <w:shd w:val="clear" w:color="auto" w:fill="CCEEFF"/>
          </w:tcPr>
          <w:p>
            <w:pPr>
              <w:spacing w:after="0"/>
              <w:rPr>
                <w:sz w:val="14"/>
                <w:szCs w:val="14"/>
                <w:color w:val="auto"/>
              </w:rPr>
            </w:pPr>
          </w:p>
        </w:tc>
        <w:tc>
          <w:tcPr>
            <w:tcW w:w="2120" w:type="dxa"/>
            <w:vAlign w:val="bottom"/>
            <w:tcBorders>
              <w:top w:val="single" w:sz="8" w:color="auto"/>
              <w:bottom w:val="single" w:sz="8" w:color="auto"/>
            </w:tcBorders>
            <w:gridSpan w:val="3"/>
            <w:shd w:val="clear" w:color="auto" w:fill="CCEEFF"/>
          </w:tcPr>
          <w:p>
            <w:pPr>
              <w:ind w:left="780"/>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1980" w:type="dxa"/>
            <w:vAlign w:val="bottom"/>
            <w:tcBorders>
              <w:top w:val="single" w:sz="8" w:color="auto"/>
              <w:bottom w:val="single" w:sz="8" w:color="auto"/>
            </w:tcBorders>
            <w:gridSpan w:val="3"/>
            <w:shd w:val="clear" w:color="auto" w:fill="CCEEFF"/>
          </w:tcPr>
          <w:p>
            <w:pPr>
              <w:jc w:val="center"/>
              <w:ind w:left="613"/>
              <w:spacing w:after="0"/>
              <w:rPr>
                <w:sz w:val="20"/>
                <w:szCs w:val="20"/>
                <w:color w:val="auto"/>
              </w:rPr>
            </w:pPr>
            <w:r>
              <w:rPr>
                <w:rFonts w:ascii="Arial" w:cs="Arial" w:eastAsia="Arial" w:hAnsi="Arial"/>
                <w:sz w:val="13"/>
                <w:szCs w:val="13"/>
                <w:b w:val="1"/>
                <w:bCs w:val="1"/>
                <w:color w:val="auto"/>
              </w:rPr>
              <w:t>Six Months Ended</w:t>
            </w: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2020" w:type="dxa"/>
            <w:vAlign w:val="bottom"/>
            <w:tcBorders>
              <w:top w:val="single" w:sz="8" w:color="auto"/>
              <w:bottom w:val="single" w:sz="8" w:color="auto"/>
            </w:tcBorders>
            <w:gridSpan w:val="3"/>
            <w:shd w:val="clear" w:color="auto" w:fill="CCEEFF"/>
          </w:tcPr>
          <w:p>
            <w:pPr>
              <w:ind w:left="72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r>
      <w:tr>
        <w:trPr>
          <w:trHeight w:val="169"/>
        </w:trPr>
        <w:tc>
          <w:tcPr>
            <w:tcW w:w="3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March 31, 2023</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13"/>
              <w:spacing w:after="0"/>
              <w:rPr>
                <w:sz w:val="20"/>
                <w:szCs w:val="20"/>
                <w:color w:val="auto"/>
              </w:rPr>
            </w:pPr>
            <w:r>
              <w:rPr>
                <w:rFonts w:ascii="Arial" w:cs="Arial" w:eastAsia="Arial" w:hAnsi="Arial"/>
                <w:sz w:val="13"/>
                <w:szCs w:val="13"/>
                <w:b w:val="1"/>
                <w:bCs w:val="1"/>
                <w:color w:val="auto"/>
              </w:rPr>
              <w:t>June 30, 2023</w:t>
            </w:r>
          </w:p>
        </w:tc>
        <w:tc>
          <w:tcPr>
            <w:tcW w:w="6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September 30, 2023</w:t>
            </w:r>
          </w:p>
        </w:tc>
        <w:tc>
          <w:tcPr>
            <w:tcW w:w="640" w:type="dxa"/>
            <w:vAlign w:val="bottom"/>
            <w:tcBorders>
              <w:bottom w:val="single" w:sz="8" w:color="auto"/>
            </w:tcBorders>
          </w:tcPr>
          <w:p>
            <w:pPr>
              <w:spacing w:after="0"/>
              <w:rPr>
                <w:sz w:val="14"/>
                <w:szCs w:val="14"/>
                <w:color w:val="auto"/>
              </w:rPr>
            </w:pPr>
          </w:p>
        </w:tc>
      </w:tr>
      <w:tr>
        <w:trPr>
          <w:trHeight w:val="169"/>
        </w:trPr>
        <w:tc>
          <w:tcPr>
            <w:tcW w:w="3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As Restated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As Restated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As Restated</w:t>
            </w:r>
          </w:p>
        </w:tc>
      </w:tr>
      <w:tr>
        <w:trPr>
          <w:trHeight w:val="169"/>
        </w:trPr>
        <w:tc>
          <w:tcPr>
            <w:tcW w:w="3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gridSpan w:val="2"/>
          </w:tcPr>
          <w:p>
            <w:pPr>
              <w:jc w:val="center"/>
              <w:ind w:right="113"/>
              <w:spacing w:after="0"/>
              <w:rPr>
                <w:sz w:val="20"/>
                <w:szCs w:val="20"/>
                <w:color w:val="auto"/>
              </w:rPr>
            </w:pPr>
            <w:r>
              <w:rPr>
                <w:rFonts w:ascii="Arial" w:cs="Arial" w:eastAsia="Arial" w:hAnsi="Arial"/>
                <w:sz w:val="13"/>
                <w:szCs w:val="13"/>
                <w:b w:val="1"/>
                <w:bCs w:val="1"/>
                <w:color w:val="auto"/>
              </w:rPr>
              <w:t>(in thousands)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used in investing activities:</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7"/>
        </w:trPr>
        <w:tc>
          <w:tcPr>
            <w:tcW w:w="3140" w:type="dxa"/>
            <w:vAlign w:val="bottom"/>
          </w:tcPr>
          <w:p>
            <w:pPr>
              <w:ind w:left="120"/>
              <w:spacing w:after="0"/>
              <w:rPr>
                <w:sz w:val="20"/>
                <w:szCs w:val="20"/>
                <w:color w:val="auto"/>
              </w:rPr>
            </w:pPr>
            <w:r>
              <w:rPr>
                <w:rFonts w:ascii="Arial" w:cs="Arial" w:eastAsia="Arial" w:hAnsi="Arial"/>
                <w:sz w:val="13"/>
                <w:szCs w:val="13"/>
                <w:color w:val="auto"/>
              </w:rPr>
              <w:t>Purchase of property, plant and equipment</w:t>
            </w:r>
          </w:p>
        </w:tc>
        <w:tc>
          <w:tcPr>
            <w:tcW w:w="960" w:type="dxa"/>
            <w:vAlign w:val="bottom"/>
          </w:tcPr>
          <w:p>
            <w:pPr>
              <w:jc w:val="right"/>
              <w:spacing w:after="0"/>
              <w:rPr>
                <w:sz w:val="20"/>
                <w:szCs w:val="20"/>
                <w:color w:val="auto"/>
              </w:rPr>
            </w:pPr>
            <w:r>
              <w:rPr>
                <w:rFonts w:ascii="Arial" w:cs="Arial" w:eastAsia="Arial" w:hAnsi="Arial"/>
                <w:sz w:val="13"/>
                <w:szCs w:val="13"/>
                <w:color w:val="auto"/>
              </w:rPr>
              <w:t>(26,744)</w:t>
            </w:r>
          </w:p>
        </w:tc>
        <w:tc>
          <w:tcPr>
            <w:tcW w:w="100" w:type="dxa"/>
            <w:vAlign w:val="bottom"/>
          </w:tcPr>
          <w:p>
            <w:pPr>
              <w:spacing w:after="0"/>
              <w:rPr>
                <w:sz w:val="15"/>
                <w:szCs w:val="15"/>
                <w:color w:val="auto"/>
              </w:rPr>
            </w:pPr>
          </w:p>
        </w:tc>
        <w:tc>
          <w:tcPr>
            <w:tcW w:w="1060" w:type="dxa"/>
            <w:vAlign w:val="bottom"/>
          </w:tcPr>
          <w:p>
            <w:pPr>
              <w:ind w:left="6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(26,744)</w:t>
            </w:r>
          </w:p>
        </w:tc>
        <w:tc>
          <w:tcPr>
            <w:tcW w:w="860" w:type="dxa"/>
            <w:vAlign w:val="bottom"/>
          </w:tcPr>
          <w:p>
            <w:pPr>
              <w:jc w:val="right"/>
              <w:spacing w:after="0"/>
              <w:rPr>
                <w:sz w:val="20"/>
                <w:szCs w:val="20"/>
                <w:color w:val="auto"/>
              </w:rPr>
            </w:pPr>
            <w:r>
              <w:rPr>
                <w:rFonts w:ascii="Arial" w:cs="Arial" w:eastAsia="Arial" w:hAnsi="Arial"/>
                <w:sz w:val="13"/>
                <w:szCs w:val="13"/>
                <w:color w:val="auto"/>
              </w:rPr>
              <w:t>(58,880)</w:t>
            </w:r>
          </w:p>
        </w:tc>
        <w:tc>
          <w:tcPr>
            <w:tcW w:w="10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(58,880)</w:t>
            </w:r>
          </w:p>
        </w:tc>
        <w:tc>
          <w:tcPr>
            <w:tcW w:w="880" w:type="dxa"/>
            <w:vAlign w:val="bottom"/>
          </w:tcPr>
          <w:p>
            <w:pPr>
              <w:jc w:val="right"/>
              <w:spacing w:after="0"/>
              <w:rPr>
                <w:sz w:val="20"/>
                <w:szCs w:val="20"/>
                <w:color w:val="auto"/>
              </w:rPr>
            </w:pPr>
            <w:r>
              <w:rPr>
                <w:rFonts w:ascii="Arial" w:cs="Arial" w:eastAsia="Arial" w:hAnsi="Arial"/>
                <w:sz w:val="13"/>
                <w:szCs w:val="13"/>
                <w:color w:val="auto"/>
              </w:rPr>
              <w:t>(87,980)</w:t>
            </w:r>
          </w:p>
        </w:tc>
        <w:tc>
          <w:tcPr>
            <w:tcW w:w="10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(87,980)</w:t>
            </w:r>
          </w:p>
        </w:tc>
      </w:tr>
      <w:tr>
        <w:trPr>
          <w:trHeight w:val="135"/>
        </w:trPr>
        <w:tc>
          <w:tcPr>
            <w:tcW w:w="314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Purchase of subsidiary undertakings (net of cash</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ind w:left="660"/>
              <w:spacing w:after="0" w:line="136"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(5,100)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40"/>
              <w:spacing w:after="0" w:line="136"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(5,100)</w:t>
            </w: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(5,100)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ind w:left="640"/>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(5,100)</w:t>
            </w:r>
          </w:p>
        </w:tc>
      </w:tr>
      <w:tr>
        <w:trPr>
          <w:trHeight w:val="177"/>
        </w:trPr>
        <w:tc>
          <w:tcPr>
            <w:tcW w:w="3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acquired)</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7"/>
        </w:trPr>
        <w:tc>
          <w:tcPr>
            <w:tcW w:w="3140" w:type="dxa"/>
            <w:vAlign w:val="bottom"/>
          </w:tcPr>
          <w:p>
            <w:pPr>
              <w:ind w:left="120"/>
              <w:spacing w:after="0"/>
              <w:rPr>
                <w:sz w:val="20"/>
                <w:szCs w:val="20"/>
                <w:color w:val="auto"/>
              </w:rPr>
            </w:pPr>
            <w:r>
              <w:rPr>
                <w:rFonts w:ascii="Arial" w:cs="Arial" w:eastAsia="Arial" w:hAnsi="Arial"/>
                <w:sz w:val="13"/>
                <w:szCs w:val="13"/>
                <w:color w:val="auto"/>
              </w:rPr>
              <w:t>Movement of available for sale investments</w:t>
            </w:r>
          </w:p>
        </w:tc>
        <w:tc>
          <w:tcPr>
            <w:tcW w:w="96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5"/>
                <w:szCs w:val="15"/>
                <w:color w:val="auto"/>
              </w:rPr>
            </w:pPr>
          </w:p>
        </w:tc>
        <w:tc>
          <w:tcPr>
            <w:tcW w:w="1060" w:type="dxa"/>
            <w:vAlign w:val="bottom"/>
          </w:tcPr>
          <w:p>
            <w:pPr>
              <w:ind w:left="66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60</w:t>
            </w:r>
          </w:p>
        </w:tc>
        <w:tc>
          <w:tcPr>
            <w:tcW w:w="86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60</w:t>
            </w:r>
          </w:p>
        </w:tc>
        <w:tc>
          <w:tcPr>
            <w:tcW w:w="88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(241)</w:t>
            </w:r>
          </w:p>
        </w:tc>
      </w:tr>
      <w:tr>
        <w:trPr>
          <w:trHeight w:val="178"/>
        </w:trPr>
        <w:tc>
          <w:tcPr>
            <w:tcW w:w="3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Purchase of investments in equity</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(4,733)</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(10,829)</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(10,829)</w:t>
            </w:r>
          </w:p>
        </w:tc>
      </w:tr>
      <w:tr>
        <w:trPr>
          <w:trHeight w:val="169"/>
        </w:trPr>
        <w:tc>
          <w:tcPr>
            <w:tcW w:w="314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960" w:type="dxa"/>
            <w:vAlign w:val="bottom"/>
          </w:tcPr>
          <w:p>
            <w:pPr>
              <w:jc w:val="right"/>
              <w:spacing w:after="0"/>
              <w:rPr>
                <w:sz w:val="20"/>
                <w:szCs w:val="20"/>
                <w:color w:val="auto"/>
              </w:rPr>
            </w:pPr>
            <w:r>
              <w:rPr>
                <w:rFonts w:ascii="Arial" w:cs="Arial" w:eastAsia="Arial" w:hAnsi="Arial"/>
                <w:sz w:val="13"/>
                <w:szCs w:val="13"/>
                <w:color w:val="auto"/>
              </w:rPr>
              <w:t>(28,042)</w:t>
            </w:r>
          </w:p>
        </w:tc>
        <w:tc>
          <w:tcPr>
            <w:tcW w:w="100" w:type="dxa"/>
            <w:vAlign w:val="bottom"/>
          </w:tcPr>
          <w:p>
            <w:pPr>
              <w:spacing w:after="0"/>
              <w:rPr>
                <w:sz w:val="14"/>
                <w:szCs w:val="14"/>
                <w:color w:val="auto"/>
              </w:rPr>
            </w:pPr>
          </w:p>
        </w:tc>
        <w:tc>
          <w:tcPr>
            <w:tcW w:w="1060" w:type="dxa"/>
            <w:vAlign w:val="bottom"/>
          </w:tcPr>
          <w:p>
            <w:pPr>
              <w:ind w:left="6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(28,042)</w:t>
            </w:r>
          </w:p>
        </w:tc>
        <w:tc>
          <w:tcPr>
            <w:tcW w:w="860" w:type="dxa"/>
            <w:vAlign w:val="bottom"/>
          </w:tcPr>
          <w:p>
            <w:pPr>
              <w:jc w:val="right"/>
              <w:spacing w:after="0"/>
              <w:rPr>
                <w:sz w:val="20"/>
                <w:szCs w:val="20"/>
                <w:color w:val="auto"/>
              </w:rPr>
            </w:pPr>
            <w:r>
              <w:rPr>
                <w:rFonts w:ascii="Arial" w:cs="Arial" w:eastAsia="Arial" w:hAnsi="Arial"/>
                <w:sz w:val="13"/>
                <w:szCs w:val="13"/>
                <w:color w:val="auto"/>
              </w:rPr>
              <w:t>(68,653)</w:t>
            </w:r>
          </w:p>
        </w:tc>
        <w:tc>
          <w:tcPr>
            <w:tcW w:w="100" w:type="dxa"/>
            <w:vAlign w:val="bottom"/>
          </w:tcPr>
          <w:p>
            <w:pPr>
              <w:spacing w:after="0"/>
              <w:rPr>
                <w:sz w:val="14"/>
                <w:szCs w:val="14"/>
                <w:color w:val="auto"/>
              </w:rPr>
            </w:pPr>
          </w:p>
        </w:tc>
        <w:tc>
          <w:tcPr>
            <w:tcW w:w="1020" w:type="dxa"/>
            <w:vAlign w:val="bottom"/>
          </w:tcPr>
          <w:p>
            <w:pPr>
              <w:ind w:left="6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(68,653)</w:t>
            </w:r>
          </w:p>
        </w:tc>
        <w:tc>
          <w:tcPr>
            <w:tcW w:w="880" w:type="dxa"/>
            <w:vAlign w:val="bottom"/>
          </w:tcPr>
          <w:p>
            <w:pPr>
              <w:jc w:val="right"/>
              <w:spacing w:after="0"/>
              <w:rPr>
                <w:sz w:val="20"/>
                <w:szCs w:val="20"/>
                <w:color w:val="auto"/>
              </w:rPr>
            </w:pPr>
            <w:r>
              <w:rPr>
                <w:rFonts w:ascii="Arial" w:cs="Arial" w:eastAsia="Arial" w:hAnsi="Arial"/>
                <w:sz w:val="13"/>
                <w:szCs w:val="13"/>
                <w:color w:val="auto"/>
              </w:rPr>
              <w:t>(104,150)</w:t>
            </w:r>
          </w:p>
        </w:tc>
        <w:tc>
          <w:tcPr>
            <w:tcW w:w="100" w:type="dxa"/>
            <w:vAlign w:val="bottom"/>
          </w:tcPr>
          <w:p>
            <w:pPr>
              <w:spacing w:after="0"/>
              <w:rPr>
                <w:sz w:val="14"/>
                <w:szCs w:val="14"/>
                <w:color w:val="auto"/>
              </w:rPr>
            </w:pPr>
          </w:p>
        </w:tc>
        <w:tc>
          <w:tcPr>
            <w:tcW w:w="1040" w:type="dxa"/>
            <w:vAlign w:val="bottom"/>
          </w:tcPr>
          <w:p>
            <w:pPr>
              <w:ind w:left="6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(104,150)</w:t>
            </w:r>
          </w:p>
        </w:tc>
      </w:tr>
      <w:tr>
        <w:trPr>
          <w:trHeight w:val="212"/>
        </w:trPr>
        <w:tc>
          <w:tcPr>
            <w:tcW w:w="3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Cash flows used in financing activities: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8"/>
        </w:trPr>
        <w:tc>
          <w:tcPr>
            <w:tcW w:w="3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Drawdown of credit lines and loan facilities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180,000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230,000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230,000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305,000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305,000</w:t>
            </w:r>
          </w:p>
        </w:tc>
      </w:tr>
      <w:tr>
        <w:trPr>
          <w:trHeight w:val="177"/>
        </w:trPr>
        <w:tc>
          <w:tcPr>
            <w:tcW w:w="3140" w:type="dxa"/>
            <w:vAlign w:val="bottom"/>
          </w:tcPr>
          <w:p>
            <w:pPr>
              <w:ind w:left="120"/>
              <w:spacing w:after="0"/>
              <w:rPr>
                <w:sz w:val="20"/>
                <w:szCs w:val="20"/>
                <w:color w:val="auto"/>
              </w:rPr>
            </w:pPr>
            <w:r>
              <w:rPr>
                <w:rFonts w:ascii="Arial" w:cs="Arial" w:eastAsia="Arial" w:hAnsi="Arial"/>
                <w:sz w:val="13"/>
                <w:szCs w:val="13"/>
                <w:color w:val="auto"/>
              </w:rPr>
              <w:t>Repayment of credit lines and loan facilities</w:t>
            </w:r>
          </w:p>
        </w:tc>
        <w:tc>
          <w:tcPr>
            <w:tcW w:w="960" w:type="dxa"/>
            <w:vAlign w:val="bottom"/>
          </w:tcPr>
          <w:p>
            <w:pPr>
              <w:jc w:val="right"/>
              <w:spacing w:after="0"/>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5"/>
                <w:szCs w:val="15"/>
                <w:color w:val="auto"/>
              </w:rPr>
            </w:pPr>
          </w:p>
        </w:tc>
        <w:tc>
          <w:tcPr>
            <w:tcW w:w="1060" w:type="dxa"/>
            <w:vAlign w:val="bottom"/>
          </w:tcPr>
          <w:p>
            <w:pPr>
              <w:ind w:left="6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(350,000)</w:t>
            </w:r>
          </w:p>
        </w:tc>
        <w:tc>
          <w:tcPr>
            <w:tcW w:w="860" w:type="dxa"/>
            <w:vAlign w:val="bottom"/>
          </w:tcPr>
          <w:p>
            <w:pPr>
              <w:jc w:val="right"/>
              <w:spacing w:after="0"/>
              <w:rPr>
                <w:sz w:val="20"/>
                <w:szCs w:val="20"/>
                <w:color w:val="auto"/>
              </w:rPr>
            </w:pPr>
            <w:r>
              <w:rPr>
                <w:rFonts w:ascii="Arial" w:cs="Arial" w:eastAsia="Arial" w:hAnsi="Arial"/>
                <w:sz w:val="13"/>
                <w:szCs w:val="13"/>
                <w:color w:val="auto"/>
              </w:rPr>
              <w:t>(580,000)</w:t>
            </w:r>
          </w:p>
        </w:tc>
        <w:tc>
          <w:tcPr>
            <w:tcW w:w="10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(580,000)</w:t>
            </w:r>
          </w:p>
        </w:tc>
        <w:tc>
          <w:tcPr>
            <w:tcW w:w="880" w:type="dxa"/>
            <w:vAlign w:val="bottom"/>
          </w:tcPr>
          <w:p>
            <w:pPr>
              <w:jc w:val="right"/>
              <w:spacing w:after="0"/>
              <w:rPr>
                <w:sz w:val="20"/>
                <w:szCs w:val="20"/>
                <w:color w:val="auto"/>
              </w:rPr>
            </w:pPr>
            <w:r>
              <w:rPr>
                <w:rFonts w:ascii="Arial" w:cs="Arial" w:eastAsia="Arial" w:hAnsi="Arial"/>
                <w:sz w:val="13"/>
                <w:szCs w:val="13"/>
                <w:color w:val="auto"/>
              </w:rPr>
              <w:t>(930,000)</w:t>
            </w:r>
          </w:p>
        </w:tc>
        <w:tc>
          <w:tcPr>
            <w:tcW w:w="10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(930,000)</w:t>
            </w:r>
          </w:p>
        </w:tc>
      </w:tr>
      <w:tr>
        <w:trPr>
          <w:trHeight w:val="179"/>
        </w:trPr>
        <w:tc>
          <w:tcPr>
            <w:tcW w:w="3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exercise of equity compensation</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12,940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20,177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36,517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36,517</w:t>
            </w:r>
          </w:p>
        </w:tc>
      </w:tr>
      <w:tr>
        <w:trPr>
          <w:trHeight w:val="177"/>
        </w:trPr>
        <w:tc>
          <w:tcPr>
            <w:tcW w:w="31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Share issue costs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70"/>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(157,064)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(157,064)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(329,832)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(329,832)</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(588,497)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(588,497)</w:t>
            </w:r>
          </w:p>
        </w:tc>
      </w:tr>
      <w:tr>
        <w:trPr>
          <w:trHeight w:val="211"/>
        </w:trPr>
        <w:tc>
          <w:tcPr>
            <w:tcW w:w="3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7"/>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 of exchange rate movements on cash</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512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(3,952)</w:t>
            </w:r>
          </w:p>
        </w:tc>
      </w:tr>
      <w:tr>
        <w:trPr>
          <w:trHeight w:val="126"/>
        </w:trPr>
        <w:tc>
          <w:tcPr>
            <w:tcW w:w="3140" w:type="dxa"/>
            <w:vAlign w:val="bottom"/>
          </w:tcPr>
          <w:p>
            <w:pPr>
              <w:ind w:left="20"/>
              <w:spacing w:after="0" w:line="126" w:lineRule="exact"/>
              <w:rPr>
                <w:sz w:val="20"/>
                <w:szCs w:val="20"/>
                <w:color w:val="auto"/>
              </w:rPr>
            </w:pPr>
            <w:r>
              <w:rPr>
                <w:rFonts w:ascii="Arial" w:cs="Arial" w:eastAsia="Arial" w:hAnsi="Arial"/>
                <w:sz w:val="13"/>
                <w:szCs w:val="13"/>
                <w:b w:val="1"/>
                <w:bCs w:val="1"/>
                <w:color w:val="auto"/>
              </w:rPr>
              <w:t>Net (decrease)/increase in cash and cash</w:t>
            </w:r>
          </w:p>
        </w:tc>
        <w:tc>
          <w:tcPr>
            <w:tcW w:w="960" w:type="dxa"/>
            <w:vAlign w:val="bottom"/>
          </w:tcPr>
          <w:p>
            <w:pPr>
              <w:jc w:val="right"/>
              <w:spacing w:after="0" w:line="126" w:lineRule="exact"/>
              <w:rPr>
                <w:sz w:val="20"/>
                <w:szCs w:val="20"/>
                <w:color w:val="auto"/>
              </w:rPr>
            </w:pPr>
            <w:r>
              <w:rPr>
                <w:rFonts w:ascii="Arial" w:cs="Arial" w:eastAsia="Arial" w:hAnsi="Arial"/>
                <w:sz w:val="13"/>
                <w:szCs w:val="13"/>
                <w:color w:val="auto"/>
              </w:rPr>
              <w:t>(8,888)</w:t>
            </w:r>
          </w:p>
        </w:tc>
        <w:tc>
          <w:tcPr>
            <w:tcW w:w="100" w:type="dxa"/>
            <w:vAlign w:val="bottom"/>
          </w:tcPr>
          <w:p>
            <w:pPr>
              <w:spacing w:after="0"/>
              <w:rPr>
                <w:sz w:val="10"/>
                <w:szCs w:val="10"/>
                <w:color w:val="auto"/>
              </w:rPr>
            </w:pPr>
          </w:p>
        </w:tc>
        <w:tc>
          <w:tcPr>
            <w:tcW w:w="1060" w:type="dxa"/>
            <w:vAlign w:val="bottom"/>
          </w:tcPr>
          <w:p>
            <w:pPr>
              <w:ind w:left="660"/>
              <w:spacing w:after="0" w:line="12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6" w:lineRule="exact"/>
              <w:rPr>
                <w:sz w:val="20"/>
                <w:szCs w:val="20"/>
                <w:color w:val="auto"/>
              </w:rPr>
            </w:pPr>
            <w:r>
              <w:rPr>
                <w:rFonts w:ascii="Arial" w:cs="Arial" w:eastAsia="Arial" w:hAnsi="Arial"/>
                <w:sz w:val="13"/>
                <w:szCs w:val="13"/>
                <w:color w:val="auto"/>
              </w:rPr>
              <w:t>(8,888)</w:t>
            </w:r>
          </w:p>
        </w:tc>
        <w:tc>
          <w:tcPr>
            <w:tcW w:w="860" w:type="dxa"/>
            <w:vAlign w:val="bottom"/>
          </w:tcPr>
          <w:p>
            <w:pPr>
              <w:jc w:val="right"/>
              <w:spacing w:after="0" w:line="126" w:lineRule="exact"/>
              <w:rPr>
                <w:sz w:val="20"/>
                <w:szCs w:val="20"/>
                <w:color w:val="auto"/>
              </w:rPr>
            </w:pPr>
            <w:r>
              <w:rPr>
                <w:rFonts w:ascii="Arial" w:cs="Arial" w:eastAsia="Arial" w:hAnsi="Arial"/>
                <w:sz w:val="13"/>
                <w:szCs w:val="13"/>
                <w:color w:val="auto"/>
              </w:rPr>
              <w:t>(18,592)</w:t>
            </w:r>
          </w:p>
        </w:tc>
        <w:tc>
          <w:tcPr>
            <w:tcW w:w="100" w:type="dxa"/>
            <w:vAlign w:val="bottom"/>
          </w:tcPr>
          <w:p>
            <w:pPr>
              <w:spacing w:after="0"/>
              <w:rPr>
                <w:sz w:val="10"/>
                <w:szCs w:val="10"/>
                <w:color w:val="auto"/>
              </w:rPr>
            </w:pPr>
          </w:p>
        </w:tc>
        <w:tc>
          <w:tcPr>
            <w:tcW w:w="1020" w:type="dxa"/>
            <w:vAlign w:val="bottom"/>
          </w:tcPr>
          <w:p>
            <w:pPr>
              <w:ind w:left="640"/>
              <w:spacing w:after="0" w:line="126"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(18,592)</w:t>
            </w: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24,297</w:t>
            </w:r>
          </w:p>
        </w:tc>
        <w:tc>
          <w:tcPr>
            <w:tcW w:w="100" w:type="dxa"/>
            <w:vAlign w:val="bottom"/>
          </w:tcPr>
          <w:p>
            <w:pPr>
              <w:spacing w:after="0"/>
              <w:rPr>
                <w:sz w:val="10"/>
                <w:szCs w:val="10"/>
                <w:color w:val="auto"/>
              </w:rPr>
            </w:pPr>
          </w:p>
        </w:tc>
        <w:tc>
          <w:tcPr>
            <w:tcW w:w="1040" w:type="dxa"/>
            <w:vAlign w:val="bottom"/>
          </w:tcPr>
          <w:p>
            <w:pPr>
              <w:ind w:left="640"/>
              <w:spacing w:after="0" w:line="12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6" w:lineRule="exact"/>
              <w:rPr>
                <w:sz w:val="20"/>
                <w:szCs w:val="20"/>
                <w:color w:val="auto"/>
              </w:rPr>
            </w:pPr>
            <w:r>
              <w:rPr>
                <w:rFonts w:ascii="Arial" w:cs="Arial" w:eastAsia="Arial" w:hAnsi="Arial"/>
                <w:sz w:val="13"/>
                <w:szCs w:val="13"/>
                <w:color w:val="auto"/>
              </w:rPr>
              <w:t>24,297</w:t>
            </w:r>
          </w:p>
        </w:tc>
      </w:tr>
      <w:tr>
        <w:trPr>
          <w:trHeight w:val="178"/>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equivalents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288,768</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288,768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288,768</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288,768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288,768</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288,768</w:t>
            </w:r>
          </w:p>
        </w:tc>
      </w:tr>
      <w:tr>
        <w:trPr>
          <w:trHeight w:val="17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279,880</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279,880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270,176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 $</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270,176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313,065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313,065</w:t>
            </w: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40"/>
          </w:cols>
          <w:pgMar w:left="300" w:top="427"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3"/>
          <w:szCs w:val="13"/>
          <w:b w:val="1"/>
          <w:bCs w:val="1"/>
          <w:color w:val="auto"/>
        </w:rPr>
        <w:t>ICON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THE RESTATED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Disaggregation of revenue</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Revenue disaggregated by customer concentration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Borders>
              <w:bottom w:val="single" w:sz="8" w:color="auto"/>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15"/>
                <w:szCs w:val="15"/>
                <w:color w:val="auto"/>
              </w:rPr>
            </w:pPr>
          </w:p>
        </w:tc>
        <w:tc>
          <w:tcPr>
            <w:tcW w:w="3060" w:type="dxa"/>
            <w:vAlign w:val="bottom"/>
            <w:tcBorders>
              <w:bottom w:val="single" w:sz="8" w:color="auto"/>
            </w:tcBorders>
            <w:gridSpan w:val="4"/>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Three Months Ended March 31,</w:t>
            </w:r>
          </w:p>
        </w:tc>
        <w:tc>
          <w:tcPr>
            <w:tcW w:w="1080" w:type="dxa"/>
            <w:vAlign w:val="bottom"/>
            <w:tcBorders>
              <w:bottom w:val="single" w:sz="8" w:color="auto"/>
            </w:tcBorders>
            <w:shd w:val="clear" w:color="auto" w:fill="CCEEFF"/>
          </w:tcPr>
          <w:p>
            <w:pPr>
              <w:spacing w:after="0"/>
              <w:rPr>
                <w:sz w:val="15"/>
                <w:szCs w:val="15"/>
                <w:color w:val="auto"/>
              </w:rPr>
            </w:pPr>
          </w:p>
        </w:tc>
      </w:tr>
      <w:tr>
        <w:trPr>
          <w:trHeight w:val="124"/>
        </w:trPr>
        <w:tc>
          <w:tcPr>
            <w:tcW w:w="38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0"/>
                <w:szCs w:val="10"/>
                <w:color w:val="auto"/>
              </w:rPr>
            </w:pPr>
          </w:p>
        </w:tc>
        <w:tc>
          <w:tcPr>
            <w:tcW w:w="132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r>
      <w:tr>
        <w:trPr>
          <w:trHeight w:val="178"/>
        </w:trPr>
        <w:tc>
          <w:tcPr>
            <w:tcW w:w="38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380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(in thousands)</w:t>
            </w: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3800" w:type="dxa"/>
            <w:vAlign w:val="bottom"/>
          </w:tcPr>
          <w:p>
            <w:pPr>
              <w:ind w:left="20"/>
              <w:spacing w:after="0"/>
              <w:rPr>
                <w:sz w:val="20"/>
                <w:szCs w:val="20"/>
                <w:color w:val="auto"/>
              </w:rPr>
            </w:pPr>
            <w:r>
              <w:rPr>
                <w:rFonts w:ascii="Arial" w:cs="Arial" w:eastAsia="Arial" w:hAnsi="Arial"/>
                <w:sz w:val="13"/>
                <w:szCs w:val="13"/>
                <w:color w:val="auto"/>
              </w:rPr>
              <w:t>Clients 1-5</w:t>
            </w:r>
          </w:p>
        </w:tc>
        <w:tc>
          <w:tcPr>
            <w:tcW w:w="33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496,118</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539,035</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567,913</w:t>
            </w:r>
          </w:p>
        </w:tc>
      </w:tr>
      <w:tr>
        <w:trPr>
          <w:trHeight w:val="179"/>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6-10</w:t>
            </w:r>
          </w:p>
        </w:tc>
        <w:tc>
          <w:tcPr>
            <w:tcW w:w="3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309,562</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313,756</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269,815</w:t>
            </w:r>
          </w:p>
        </w:tc>
      </w:tr>
      <w:tr>
        <w:trPr>
          <w:trHeight w:val="177"/>
        </w:trPr>
        <w:tc>
          <w:tcPr>
            <w:tcW w:w="3800" w:type="dxa"/>
            <w:vAlign w:val="bottom"/>
          </w:tcPr>
          <w:p>
            <w:pPr>
              <w:ind w:left="20"/>
              <w:spacing w:after="0"/>
              <w:rPr>
                <w:sz w:val="20"/>
                <w:szCs w:val="20"/>
                <w:color w:val="auto"/>
              </w:rPr>
            </w:pPr>
            <w:r>
              <w:rPr>
                <w:rFonts w:ascii="Arial" w:cs="Arial" w:eastAsia="Arial" w:hAnsi="Arial"/>
                <w:sz w:val="13"/>
                <w:szCs w:val="13"/>
                <w:color w:val="auto"/>
              </w:rPr>
              <w:t>Clients 11-25</w:t>
            </w:r>
          </w:p>
        </w:tc>
        <w:tc>
          <w:tcPr>
            <w:tcW w:w="3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475,299</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422,459</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413,296</w:t>
            </w:r>
          </w:p>
        </w:tc>
      </w:tr>
      <w:tr>
        <w:trPr>
          <w:trHeight w:val="178"/>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734,341</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768,004</w:t>
            </w: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714,784</w:t>
            </w:r>
          </w:p>
        </w:tc>
      </w:tr>
      <w:tr>
        <w:trPr>
          <w:trHeight w:val="16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33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2,015,320</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2,043,254</w:t>
            </w:r>
          </w:p>
        </w:tc>
        <w:tc>
          <w:tcPr>
            <w:tcW w:w="4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1,965,808</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040" w:type="dxa"/>
            <w:vAlign w:val="bottom"/>
            <w:tcBorders>
              <w:bottom w:val="single" w:sz="8" w:color="auto"/>
            </w:tcBorders>
            <w:gridSpan w:val="4"/>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Three Months Ended June 30,</w:t>
            </w:r>
          </w:p>
        </w:tc>
        <w:tc>
          <w:tcPr>
            <w:tcW w:w="1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840" w:type="dxa"/>
            <w:vAlign w:val="bottom"/>
            <w:tcBorders>
              <w:bottom w:val="single" w:sz="8" w:color="auto"/>
            </w:tcBorders>
            <w:gridSpan w:val="4"/>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Six Months Ended June 30,</w:t>
            </w:r>
          </w:p>
        </w:tc>
        <w:tc>
          <w:tcPr>
            <w:tcW w:w="1140" w:type="dxa"/>
            <w:vAlign w:val="bottom"/>
            <w:tcBorders>
              <w:bottom w:val="single" w:sz="8" w:color="auto"/>
            </w:tcBorders>
            <w:shd w:val="clear" w:color="auto" w:fill="CCEEFF"/>
          </w:tcPr>
          <w:p>
            <w:pPr>
              <w:spacing w:after="0"/>
              <w:rPr>
                <w:sz w:val="15"/>
                <w:szCs w:val="15"/>
                <w:color w:val="auto"/>
              </w:rPr>
            </w:pPr>
          </w:p>
        </w:tc>
      </w:tr>
      <w:tr>
        <w:trPr>
          <w:trHeight w:val="124"/>
        </w:trPr>
        <w:tc>
          <w:tcPr>
            <w:tcW w:w="1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0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56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3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r>
      <w:tr>
        <w:trPr>
          <w:trHeight w:val="178"/>
        </w:trPr>
        <w:tc>
          <w:tcPr>
            <w:tcW w:w="1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1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7"/>
        </w:trPr>
        <w:tc>
          <w:tcPr>
            <w:tcW w:w="1500" w:type="dxa"/>
            <w:vAlign w:val="bottom"/>
          </w:tcPr>
          <w:p>
            <w:pPr>
              <w:ind w:left="20"/>
              <w:spacing w:after="0"/>
              <w:rPr>
                <w:sz w:val="20"/>
                <w:szCs w:val="20"/>
                <w:color w:val="auto"/>
              </w:rPr>
            </w:pPr>
            <w:r>
              <w:rPr>
                <w:rFonts w:ascii="Arial" w:cs="Arial" w:eastAsia="Arial" w:hAnsi="Arial"/>
                <w:sz w:val="13"/>
                <w:szCs w:val="13"/>
                <w:color w:val="auto"/>
              </w:rPr>
              <w:t>Clients 1-5</w:t>
            </w:r>
          </w:p>
        </w:tc>
        <w:tc>
          <w:tcPr>
            <w:tcW w:w="106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502,385</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509,632</w:t>
            </w: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528,152</w:t>
            </w:r>
          </w:p>
        </w:tc>
        <w:tc>
          <w:tcPr>
            <w:tcW w:w="56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998,504</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1,048,666</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1,088,264</w:t>
            </w:r>
          </w:p>
        </w:tc>
      </w:tr>
      <w:tr>
        <w:trPr>
          <w:trHeight w:val="179"/>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6-10</w:t>
            </w:r>
          </w:p>
        </w:tc>
        <w:tc>
          <w:tcPr>
            <w:tcW w:w="10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300,080</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301,723</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282,313</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607,546</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607,270</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559,930</w:t>
            </w:r>
          </w:p>
        </w:tc>
      </w:tr>
      <w:tr>
        <w:trPr>
          <w:trHeight w:val="177"/>
        </w:trPr>
        <w:tc>
          <w:tcPr>
            <w:tcW w:w="1500" w:type="dxa"/>
            <w:vAlign w:val="bottom"/>
          </w:tcPr>
          <w:p>
            <w:pPr>
              <w:ind w:left="20"/>
              <w:spacing w:after="0"/>
              <w:rPr>
                <w:sz w:val="20"/>
                <w:szCs w:val="20"/>
                <w:color w:val="auto"/>
              </w:rPr>
            </w:pPr>
            <w:r>
              <w:rPr>
                <w:rFonts w:ascii="Arial" w:cs="Arial" w:eastAsia="Arial" w:hAnsi="Arial"/>
                <w:sz w:val="13"/>
                <w:szCs w:val="13"/>
                <w:color w:val="auto"/>
              </w:rPr>
              <w:t>Clients 11-25</w:t>
            </w:r>
          </w:p>
        </w:tc>
        <w:tc>
          <w:tcPr>
            <w:tcW w:w="10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523,737</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436,571</w:t>
            </w:r>
          </w:p>
        </w:tc>
        <w:tc>
          <w:tcPr>
            <w:tcW w:w="4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415,996</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994,379</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865,334</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822,819</w:t>
            </w:r>
          </w:p>
        </w:tc>
      </w:tr>
      <w:tr>
        <w:trPr>
          <w:trHeight w:val="178"/>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712,886</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794,000</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781,740</w:t>
            </w: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1,453,979</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1,563,910</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1,502,996</w:t>
            </w:r>
          </w:p>
        </w:tc>
      </w:tr>
      <w:tr>
        <w:trPr>
          <w:trHeight w:val="169"/>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2,039,088</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2,041,926</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2,008,201</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4,054,408</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4,085,180</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3,974,009</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140" w:type="dxa"/>
            <w:vAlign w:val="bottom"/>
            <w:tcBorders>
              <w:bottom w:val="single" w:sz="8" w:color="auto"/>
            </w:tcBorders>
            <w:gridSpan w:val="4"/>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Three Months Ended September 30,</w:t>
            </w: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960" w:type="dxa"/>
            <w:vAlign w:val="bottom"/>
            <w:tcBorders>
              <w:bottom w:val="single" w:sz="8" w:color="auto"/>
            </w:tcBorders>
            <w:gridSpan w:val="4"/>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Nine Months Ended September 30,</w:t>
            </w:r>
          </w:p>
        </w:tc>
        <w:tc>
          <w:tcPr>
            <w:tcW w:w="1020" w:type="dxa"/>
            <w:vAlign w:val="bottom"/>
            <w:tcBorders>
              <w:bottom w:val="single" w:sz="8" w:color="auto"/>
            </w:tcBorders>
            <w:shd w:val="clear" w:color="auto" w:fill="CCEEFF"/>
          </w:tcPr>
          <w:p>
            <w:pPr>
              <w:spacing w:after="0"/>
              <w:rPr>
                <w:sz w:val="15"/>
                <w:szCs w:val="15"/>
                <w:color w:val="auto"/>
              </w:rPr>
            </w:pPr>
          </w:p>
        </w:tc>
      </w:tr>
      <w:tr>
        <w:trPr>
          <w:trHeight w:val="124"/>
        </w:trPr>
        <w:tc>
          <w:tcPr>
            <w:tcW w:w="1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500" w:type="dxa"/>
            <w:vAlign w:val="bottom"/>
          </w:tcPr>
          <w:p>
            <w:pPr>
              <w:spacing w:after="0"/>
              <w:rPr>
                <w:sz w:val="10"/>
                <w:szCs w:val="10"/>
                <w:color w:val="auto"/>
              </w:rPr>
            </w:pPr>
          </w:p>
        </w:tc>
        <w:tc>
          <w:tcPr>
            <w:tcW w:w="10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56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r>
      <w:tr>
        <w:trPr>
          <w:trHeight w:val="178"/>
        </w:trPr>
        <w:tc>
          <w:tcPr>
            <w:tcW w:w="1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1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7"/>
        </w:trPr>
        <w:tc>
          <w:tcPr>
            <w:tcW w:w="1500" w:type="dxa"/>
            <w:vAlign w:val="bottom"/>
          </w:tcPr>
          <w:p>
            <w:pPr>
              <w:ind w:left="20"/>
              <w:spacing w:after="0"/>
              <w:rPr>
                <w:sz w:val="20"/>
                <w:szCs w:val="20"/>
                <w:color w:val="auto"/>
              </w:rPr>
            </w:pPr>
            <w:r>
              <w:rPr>
                <w:rFonts w:ascii="Arial" w:cs="Arial" w:eastAsia="Arial" w:hAnsi="Arial"/>
                <w:sz w:val="13"/>
                <w:szCs w:val="13"/>
                <w:color w:val="auto"/>
              </w:rPr>
              <w:t>Clients 1-5</w:t>
            </w:r>
          </w:p>
        </w:tc>
        <w:tc>
          <w:tcPr>
            <w:tcW w:w="106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501,343</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508,385</w:t>
            </w: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515,190</w:t>
            </w:r>
          </w:p>
        </w:tc>
        <w:tc>
          <w:tcPr>
            <w:tcW w:w="56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1,499,847</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1,547,372</w:t>
            </w:r>
          </w:p>
        </w:tc>
        <w:tc>
          <w:tcPr>
            <w:tcW w:w="480" w:type="dxa"/>
            <w:vAlign w:val="bottom"/>
          </w:tcPr>
          <w:p>
            <w:pPr>
              <w:jc w:val="right"/>
              <w:ind w:right="33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1,602,943</w:t>
            </w:r>
          </w:p>
        </w:tc>
      </w:tr>
      <w:tr>
        <w:trPr>
          <w:trHeight w:val="179"/>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6-10</w:t>
            </w:r>
          </w:p>
        </w:tc>
        <w:tc>
          <w:tcPr>
            <w:tcW w:w="10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308,045</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324,708</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294,715</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890,203</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939,831</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855,156</w:t>
            </w:r>
          </w:p>
        </w:tc>
      </w:tr>
      <w:tr>
        <w:trPr>
          <w:trHeight w:val="177"/>
        </w:trPr>
        <w:tc>
          <w:tcPr>
            <w:tcW w:w="1500" w:type="dxa"/>
            <w:vAlign w:val="bottom"/>
          </w:tcPr>
          <w:p>
            <w:pPr>
              <w:ind w:left="20"/>
              <w:spacing w:after="0"/>
              <w:rPr>
                <w:sz w:val="20"/>
                <w:szCs w:val="20"/>
                <w:color w:val="auto"/>
              </w:rPr>
            </w:pPr>
            <w:r>
              <w:rPr>
                <w:rFonts w:ascii="Arial" w:cs="Arial" w:eastAsia="Arial" w:hAnsi="Arial"/>
                <w:sz w:val="13"/>
                <w:szCs w:val="13"/>
                <w:color w:val="auto"/>
              </w:rPr>
              <w:t>Clients 11-25</w:t>
            </w:r>
          </w:p>
        </w:tc>
        <w:tc>
          <w:tcPr>
            <w:tcW w:w="10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541,879</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454,808</w:t>
            </w:r>
          </w:p>
        </w:tc>
        <w:tc>
          <w:tcPr>
            <w:tcW w:w="50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460,192</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1,546,626</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1,316,277</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1,272,595</w:t>
            </w:r>
          </w:p>
        </w:tc>
      </w:tr>
      <w:tr>
        <w:trPr>
          <w:trHeight w:val="178"/>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733,148</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754,042</w:t>
            </w:r>
          </w:p>
        </w:tc>
        <w:tc>
          <w:tcPr>
            <w:tcW w:w="5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770,217</w:t>
            </w: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2,202,147</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2,323,643</w:t>
            </w:r>
          </w:p>
        </w:tc>
        <w:tc>
          <w:tcPr>
            <w:tcW w:w="4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2,283,629</w:t>
            </w:r>
          </w:p>
        </w:tc>
      </w:tr>
      <w:tr>
        <w:trPr>
          <w:trHeight w:val="169"/>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2,084,415</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2,041,943</w:t>
            </w:r>
          </w:p>
        </w:tc>
        <w:tc>
          <w:tcPr>
            <w:tcW w:w="5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2,040,314</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6,138,823</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6,127,123</w:t>
            </w:r>
          </w:p>
        </w:tc>
        <w:tc>
          <w:tcPr>
            <w:tcW w:w="4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6,014,323</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533"/>
        <w:spacing w:after="0" w:line="290" w:lineRule="auto"/>
        <w:rPr>
          <w:sz w:val="20"/>
          <w:szCs w:val="20"/>
          <w:color w:val="auto"/>
        </w:rPr>
      </w:pPr>
      <w:r>
        <w:rPr>
          <w:rFonts w:ascii="Arial" w:cs="Arial" w:eastAsia="Arial" w:hAnsi="Arial"/>
          <w:sz w:val="13"/>
          <w:szCs w:val="13"/>
          <w:color w:val="auto"/>
        </w:rPr>
        <w:t>There was no revenue from individual customers greater than 10% of consolidated revenue in the respective years. Our customers have similar profiles and economic characteristics, and therefore have similar degrees of risk and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color w:val="auto"/>
        </w:rPr>
        <w:t>2. Accounts receivable, unbilled revenue (contract assets) and unearned revenue or payments on account (contract liabilities)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Accounts receivable and unbilled revenue were as follows for the periods ended: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shd w:val="clear" w:color="auto" w:fill="CCEEFF"/>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March 31,</w:t>
            </w:r>
          </w:p>
        </w:tc>
        <w:tc>
          <w:tcPr>
            <w:tcW w:w="340" w:type="dxa"/>
            <w:vAlign w:val="bottom"/>
            <w:shd w:val="clear" w:color="auto" w:fill="CCEEFF"/>
          </w:tcPr>
          <w:p>
            <w:pPr>
              <w:spacing w:after="0"/>
              <w:rPr>
                <w:sz w:val="13"/>
                <w:szCs w:val="13"/>
                <w:color w:val="auto"/>
              </w:rPr>
            </w:pPr>
          </w:p>
        </w:tc>
        <w:tc>
          <w:tcPr>
            <w:tcW w:w="1720" w:type="dxa"/>
            <w:vAlign w:val="bottom"/>
            <w:shd w:val="clear" w:color="auto" w:fill="CCEEFF"/>
          </w:tcPr>
          <w:p>
            <w:pPr>
              <w:ind w:left="1120"/>
              <w:spacing w:after="0"/>
              <w:rPr>
                <w:sz w:val="20"/>
                <w:szCs w:val="20"/>
                <w:color w:val="auto"/>
              </w:rPr>
            </w:pPr>
            <w:r>
              <w:rPr>
                <w:rFonts w:ascii="Arial" w:cs="Arial" w:eastAsia="Arial" w:hAnsi="Arial"/>
                <w:sz w:val="13"/>
                <w:szCs w:val="13"/>
                <w:b w:val="1"/>
                <w:bCs w:val="1"/>
                <w:color w:val="auto"/>
              </w:rPr>
              <w:t>June 30,</w:t>
            </w:r>
          </w:p>
        </w:tc>
        <w:tc>
          <w:tcPr>
            <w:tcW w:w="5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2025</w:t>
            </w:r>
          </w:p>
        </w:tc>
        <w:tc>
          <w:tcPr>
            <w:tcW w:w="34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2025</w:t>
            </w:r>
          </w:p>
        </w:tc>
        <w:tc>
          <w:tcPr>
            <w:tcW w:w="58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392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5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right"/>
              <w:ind w:right="513"/>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(Billed services)</w:t>
            </w:r>
          </w:p>
        </w:tc>
        <w:tc>
          <w:tcPr>
            <w:tcW w:w="180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1,426,035</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1,411,329</w:t>
            </w: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1,427,376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credit losses</w:t>
            </w:r>
          </w:p>
        </w:tc>
        <w:tc>
          <w:tcPr>
            <w:tcW w:w="1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(38,573)</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(44,074)</w:t>
            </w: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(39,686)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18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1,387,462</w:t>
            </w:r>
          </w:p>
        </w:tc>
        <w:tc>
          <w:tcPr>
            <w:tcW w:w="3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1,367,255</w:t>
            </w:r>
          </w:p>
        </w:tc>
        <w:tc>
          <w:tcPr>
            <w:tcW w:w="5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1,387,690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Unbilled revenue (Unbilled services)</w:t>
            </w:r>
          </w:p>
        </w:tc>
        <w:tc>
          <w:tcPr>
            <w:tcW w:w="1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1,101,511</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1,173,021</w:t>
            </w: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1,195,747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auto"/>
            </w:tcBorders>
            <w:shd w:val="clear" w:color="auto" w:fill="CCEEFF"/>
          </w:tcPr>
          <w:p>
            <w:pPr>
              <w:spacing w:after="0"/>
              <w:rPr>
                <w:sz w:val="16"/>
                <w:szCs w:val="16"/>
                <w:color w:val="auto"/>
              </w:rPr>
            </w:pPr>
          </w:p>
        </w:tc>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Accounts receivable and unbilled revenue, net</w:t>
            </w:r>
          </w:p>
        </w:tc>
        <w:tc>
          <w:tcPr>
            <w:tcW w:w="18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2,488,973</w:t>
            </w: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2,540,276</w:t>
            </w:r>
          </w:p>
        </w:tc>
        <w:tc>
          <w:tcPr>
            <w:tcW w:w="5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2,583,437</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March 31,</w:t>
            </w:r>
          </w:p>
        </w:tc>
        <w:tc>
          <w:tcPr>
            <w:tcW w:w="340" w:type="dxa"/>
            <w:vAlign w:val="bottom"/>
            <w:shd w:val="clear" w:color="auto" w:fill="CCEEFF"/>
          </w:tcPr>
          <w:p>
            <w:pPr>
              <w:spacing w:after="0"/>
              <w:rPr>
                <w:sz w:val="11"/>
                <w:szCs w:val="11"/>
                <w:color w:val="auto"/>
              </w:rPr>
            </w:pPr>
          </w:p>
        </w:tc>
        <w:tc>
          <w:tcPr>
            <w:tcW w:w="1720" w:type="dxa"/>
            <w:vAlign w:val="bottom"/>
            <w:shd w:val="clear" w:color="auto" w:fill="CCEEFF"/>
          </w:tcPr>
          <w:p>
            <w:pPr>
              <w:ind w:left="1140"/>
              <w:spacing w:after="0" w:line="134" w:lineRule="exact"/>
              <w:rPr>
                <w:sz w:val="20"/>
                <w:szCs w:val="20"/>
                <w:color w:val="auto"/>
              </w:rPr>
            </w:pPr>
            <w:r>
              <w:rPr>
                <w:rFonts w:ascii="Arial" w:cs="Arial" w:eastAsia="Arial" w:hAnsi="Arial"/>
                <w:sz w:val="13"/>
                <w:szCs w:val="13"/>
                <w:b w:val="1"/>
                <w:bCs w:val="1"/>
                <w:color w:val="auto"/>
              </w:rPr>
              <w:t>June 30,</w:t>
            </w:r>
          </w:p>
        </w:tc>
        <w:tc>
          <w:tcPr>
            <w:tcW w:w="580" w:type="dxa"/>
            <w:vAlign w:val="bottom"/>
            <w:shd w:val="clear" w:color="auto" w:fill="CCEEFF"/>
          </w:tcPr>
          <w:p>
            <w:pPr>
              <w:spacing w:after="0"/>
              <w:rPr>
                <w:sz w:val="11"/>
                <w:szCs w:val="11"/>
                <w:color w:val="auto"/>
              </w:rPr>
            </w:pPr>
          </w:p>
        </w:tc>
        <w:tc>
          <w:tcPr>
            <w:tcW w:w="1460" w:type="dxa"/>
            <w:vAlign w:val="bottom"/>
            <w:shd w:val="clear" w:color="auto" w:fill="CCEEFF"/>
          </w:tcPr>
          <w:p>
            <w:pPr>
              <w:ind w:left="500"/>
              <w:spacing w:after="0" w:line="134" w:lineRule="exact"/>
              <w:rPr>
                <w:sz w:val="20"/>
                <w:szCs w:val="20"/>
                <w:color w:val="auto"/>
              </w:rPr>
            </w:pPr>
            <w:r>
              <w:rPr>
                <w:rFonts w:ascii="Arial" w:cs="Arial" w:eastAsia="Arial" w:hAnsi="Arial"/>
                <w:sz w:val="13"/>
                <w:szCs w:val="13"/>
                <w:b w:val="1"/>
                <w:bCs w:val="1"/>
                <w:color w:val="auto"/>
              </w:rPr>
              <w:t>September 30,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right"/>
              <w:ind w:right="273"/>
              <w:spacing w:after="0" w:line="134" w:lineRule="exact"/>
              <w:rPr>
                <w:sz w:val="20"/>
                <w:szCs w:val="20"/>
                <w:color w:val="auto"/>
              </w:rPr>
            </w:pPr>
            <w:r>
              <w:rPr>
                <w:rFonts w:ascii="Arial" w:cs="Arial" w:eastAsia="Arial" w:hAnsi="Arial"/>
                <w:sz w:val="13"/>
                <w:szCs w:val="13"/>
                <w:b w:val="1"/>
                <w:bCs w:val="1"/>
                <w:color w:val="auto"/>
              </w:rPr>
              <w:t>2024</w:t>
            </w:r>
          </w:p>
        </w:tc>
        <w:tc>
          <w:tcPr>
            <w:tcW w:w="17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58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2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gridSpan w:val="2"/>
            <w:shd w:val="clear" w:color="auto" w:fill="CCEEFF"/>
          </w:tcPr>
          <w:p>
            <w:pPr>
              <w:jc w:val="right"/>
              <w:ind w:right="273"/>
              <w:spacing w:after="0"/>
              <w:rPr>
                <w:sz w:val="20"/>
                <w:szCs w:val="20"/>
                <w:color w:val="auto"/>
              </w:rPr>
            </w:pPr>
            <w:r>
              <w:rPr>
                <w:rFonts w:ascii="Arial" w:cs="Arial" w:eastAsia="Arial" w:hAnsi="Arial"/>
                <w:sz w:val="13"/>
                <w:szCs w:val="13"/>
                <w:b w:val="1"/>
                <w:bCs w:val="1"/>
                <w:color w:val="auto"/>
              </w:rPr>
              <w:t>(As Restated)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5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3"/>
                <w:szCs w:val="13"/>
                <w:b w:val="1"/>
                <w:bCs w:val="1"/>
                <w:color w:val="auto"/>
              </w:rPr>
              <w:t>(As 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right"/>
              <w:ind w:right="493"/>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(Billed services)</w:t>
            </w:r>
          </w:p>
        </w:tc>
        <w:tc>
          <w:tcPr>
            <w:tcW w:w="180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1,737,822</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1,608,774</w:t>
            </w:r>
          </w:p>
        </w:tc>
        <w:tc>
          <w:tcPr>
            <w:tcW w:w="58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1,431,581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credit losses</w:t>
            </w:r>
          </w:p>
        </w:tc>
        <w:tc>
          <w:tcPr>
            <w:tcW w:w="1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(35,303)</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(40,122)</w:t>
            </w: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18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1,702,519</w:t>
            </w:r>
          </w:p>
        </w:tc>
        <w:tc>
          <w:tcPr>
            <w:tcW w:w="3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1,568,652</w:t>
            </w:r>
          </w:p>
        </w:tc>
        <w:tc>
          <w:tcPr>
            <w:tcW w:w="5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1,396,080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Unbilled revenue (Unbilled services)</w:t>
            </w:r>
          </w:p>
        </w:tc>
        <w:tc>
          <w:tcPr>
            <w:tcW w:w="1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949,567</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1,021,519</w:t>
            </w: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1,118,860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Accounts receivable and unbilled revenue, net</w:t>
            </w:r>
          </w:p>
        </w:tc>
        <w:tc>
          <w:tcPr>
            <w:tcW w:w="180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2,652,086</w:t>
            </w: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2,590,171</w:t>
            </w:r>
          </w:p>
        </w:tc>
        <w:tc>
          <w:tcPr>
            <w:tcW w:w="58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2,514,940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March 31,</w:t>
            </w:r>
          </w:p>
        </w:tc>
        <w:tc>
          <w:tcPr>
            <w:tcW w:w="340" w:type="dxa"/>
            <w:vAlign w:val="bottom"/>
            <w:shd w:val="clear" w:color="auto" w:fill="CCEEFF"/>
          </w:tcPr>
          <w:p>
            <w:pPr>
              <w:spacing w:after="0"/>
              <w:rPr>
                <w:sz w:val="11"/>
                <w:szCs w:val="11"/>
                <w:color w:val="auto"/>
              </w:rPr>
            </w:pPr>
          </w:p>
        </w:tc>
        <w:tc>
          <w:tcPr>
            <w:tcW w:w="1720" w:type="dxa"/>
            <w:vAlign w:val="bottom"/>
            <w:shd w:val="clear" w:color="auto" w:fill="CCEEFF"/>
          </w:tcPr>
          <w:p>
            <w:pPr>
              <w:ind w:left="1120"/>
              <w:spacing w:after="0" w:line="134" w:lineRule="exact"/>
              <w:rPr>
                <w:sz w:val="20"/>
                <w:szCs w:val="20"/>
                <w:color w:val="auto"/>
              </w:rPr>
            </w:pPr>
            <w:r>
              <w:rPr>
                <w:rFonts w:ascii="Arial" w:cs="Arial" w:eastAsia="Arial" w:hAnsi="Arial"/>
                <w:sz w:val="13"/>
                <w:szCs w:val="13"/>
                <w:b w:val="1"/>
                <w:bCs w:val="1"/>
                <w:color w:val="auto"/>
              </w:rPr>
              <w:t>June 30,</w:t>
            </w:r>
          </w:p>
        </w:tc>
        <w:tc>
          <w:tcPr>
            <w:tcW w:w="58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ind w:left="520"/>
              <w:spacing w:after="0" w:line="134"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34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58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392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5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right"/>
              <w:ind w:right="513"/>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(Billed services)</w:t>
            </w:r>
          </w:p>
        </w:tc>
        <w:tc>
          <w:tcPr>
            <w:tcW w:w="180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1,838,875</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1,788,140</w:t>
            </w: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1,883,296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Allowance for credit losses</w:t>
            </w:r>
          </w:p>
        </w:tc>
        <w:tc>
          <w:tcPr>
            <w:tcW w:w="1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(36,149)</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(29,029)</w:t>
            </w: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(32,934)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18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1,802,726</w:t>
            </w:r>
          </w:p>
        </w:tc>
        <w:tc>
          <w:tcPr>
            <w:tcW w:w="3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1,759,111</w:t>
            </w:r>
          </w:p>
        </w:tc>
        <w:tc>
          <w:tcPr>
            <w:tcW w:w="5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1,850,362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Unbilled revenue (Unbilled services)</w:t>
            </w:r>
          </w:p>
        </w:tc>
        <w:tc>
          <w:tcPr>
            <w:tcW w:w="1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880,412</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902,321</w:t>
            </w: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828,453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auto"/>
            </w:tcBorders>
            <w:shd w:val="clear" w:color="auto" w:fill="CCEEFF"/>
          </w:tcPr>
          <w:p>
            <w:pPr>
              <w:spacing w:after="0"/>
              <w:rPr>
                <w:sz w:val="16"/>
                <w:szCs w:val="16"/>
                <w:color w:val="auto"/>
              </w:rPr>
            </w:pPr>
          </w:p>
        </w:tc>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Accounts receivable and unbilled revenue, net</w:t>
            </w:r>
          </w:p>
        </w:tc>
        <w:tc>
          <w:tcPr>
            <w:tcW w:w="18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2,683,138</w:t>
            </w: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2,661,432</w:t>
            </w:r>
          </w:p>
        </w:tc>
        <w:tc>
          <w:tcPr>
            <w:tcW w:w="5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2,678,815</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32" w:name="page33"/>
    <w:bookmarkEnd w:id="32"/>
    <w:p>
      <w:pPr>
        <w:ind w:left="540"/>
        <w:spacing w:after="0"/>
        <w:rPr>
          <w:sz w:val="20"/>
          <w:szCs w:val="20"/>
          <w:color w:val="auto"/>
        </w:rPr>
      </w:pPr>
      <w:r>
        <w:rPr>
          <w:rFonts w:ascii="Arial" w:cs="Arial" w:eastAsia="Arial" w:hAnsi="Arial"/>
          <w:sz w:val="13"/>
          <w:szCs w:val="13"/>
          <w:color w:val="auto"/>
        </w:rPr>
        <w:t>Unbilled services and unearned revenue or payments on account (contract assets and liabilities) were as follows for the periods ended: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March 31,</w:t>
            </w: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September 30,</w:t>
            </w:r>
          </w:p>
        </w:tc>
      </w:tr>
      <w:tr>
        <w:trPr>
          <w:trHeight w:val="133"/>
        </w:trPr>
        <w:tc>
          <w:tcPr>
            <w:tcW w:w="38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2025</w:t>
            </w: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2025</w:t>
            </w:r>
          </w:p>
        </w:tc>
        <w:tc>
          <w:tcPr>
            <w:tcW w:w="5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2025</w:t>
            </w:r>
          </w:p>
        </w:tc>
      </w:tr>
      <w:tr>
        <w:trPr>
          <w:trHeight w:val="178"/>
        </w:trPr>
        <w:tc>
          <w:tcPr>
            <w:tcW w:w="384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5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3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jc w:val="right"/>
              <w:ind w:right="513"/>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8"/>
        </w:trPr>
        <w:tc>
          <w:tcPr>
            <w:tcW w:w="3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Unbilled revenue (Unbilled services)</w:t>
            </w:r>
          </w:p>
        </w:tc>
        <w:tc>
          <w:tcPr>
            <w:tcW w:w="188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1,101,511</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1,173,021</w:t>
            </w: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1,195,747</w:t>
            </w:r>
          </w:p>
        </w:tc>
      </w:tr>
      <w:tr>
        <w:trPr>
          <w:trHeight w:val="17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Unearned revenue (Payments on account )</w:t>
            </w:r>
          </w:p>
        </w:tc>
        <w:tc>
          <w:tcPr>
            <w:tcW w:w="18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(1,495,847)</w:t>
            </w: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(1,515,422)</w:t>
            </w:r>
          </w:p>
        </w:tc>
        <w:tc>
          <w:tcPr>
            <w:tcW w:w="5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(1,546,887)</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08"/>
        </w:trPr>
        <w:tc>
          <w:tcPr>
            <w:tcW w:w="3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3"/>
        </w:trPr>
        <w:tc>
          <w:tcPr>
            <w:tcW w:w="38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March 31,</w:t>
            </w: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June 30,</w:t>
            </w:r>
          </w:p>
        </w:tc>
        <w:tc>
          <w:tcPr>
            <w:tcW w:w="5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September 30,</w:t>
            </w:r>
          </w:p>
        </w:tc>
      </w:tr>
      <w:tr>
        <w:trPr>
          <w:trHeight w:val="133"/>
        </w:trPr>
        <w:tc>
          <w:tcPr>
            <w:tcW w:w="38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5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2024</w:t>
            </w:r>
          </w:p>
        </w:tc>
      </w:tr>
      <w:tr>
        <w:trPr>
          <w:trHeight w:val="178"/>
        </w:trPr>
        <w:tc>
          <w:tcPr>
            <w:tcW w:w="384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5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3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jc w:val="right"/>
              <w:ind w:right="513"/>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8"/>
        </w:trPr>
        <w:tc>
          <w:tcPr>
            <w:tcW w:w="3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Unbilled revenue (Unbilled services)</w:t>
            </w:r>
          </w:p>
        </w:tc>
        <w:tc>
          <w:tcPr>
            <w:tcW w:w="188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949,567</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1,021,519</w:t>
            </w: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1,118,860</w:t>
            </w:r>
          </w:p>
        </w:tc>
      </w:tr>
      <w:tr>
        <w:trPr>
          <w:trHeight w:val="17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Unearned revenue (Payments on account )</w:t>
            </w:r>
          </w:p>
        </w:tc>
        <w:tc>
          <w:tcPr>
            <w:tcW w:w="18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(1,585,694)</w:t>
            </w: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(1,544,275)</w:t>
            </w:r>
          </w:p>
        </w:tc>
        <w:tc>
          <w:tcPr>
            <w:tcW w:w="5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(1,477,952)</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08"/>
        </w:trPr>
        <w:tc>
          <w:tcPr>
            <w:tcW w:w="3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3"/>
        </w:trPr>
        <w:tc>
          <w:tcPr>
            <w:tcW w:w="38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March 31,</w:t>
            </w: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June 30,</w:t>
            </w:r>
          </w:p>
        </w:tc>
        <w:tc>
          <w:tcPr>
            <w:tcW w:w="5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September 30,</w:t>
            </w:r>
          </w:p>
        </w:tc>
      </w:tr>
      <w:tr>
        <w:trPr>
          <w:trHeight w:val="133"/>
        </w:trPr>
        <w:tc>
          <w:tcPr>
            <w:tcW w:w="38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5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2023</w:t>
            </w:r>
          </w:p>
        </w:tc>
      </w:tr>
      <w:tr>
        <w:trPr>
          <w:trHeight w:val="178"/>
        </w:trPr>
        <w:tc>
          <w:tcPr>
            <w:tcW w:w="384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5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3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jc w:val="right"/>
              <w:ind w:right="513"/>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8"/>
        </w:trPr>
        <w:tc>
          <w:tcPr>
            <w:tcW w:w="3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Unbilled revenue (Unbilled services)</w:t>
            </w:r>
          </w:p>
        </w:tc>
        <w:tc>
          <w:tcPr>
            <w:tcW w:w="188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880,412</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902,321</w:t>
            </w:r>
          </w:p>
        </w:tc>
        <w:tc>
          <w:tcPr>
            <w:tcW w:w="58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828,453</w:t>
            </w:r>
          </w:p>
        </w:tc>
      </w:tr>
      <w:tr>
        <w:trPr>
          <w:trHeight w:val="17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Unearned revenue (Payments on account )</w:t>
            </w:r>
          </w:p>
        </w:tc>
        <w:tc>
          <w:tcPr>
            <w:tcW w:w="18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(1,480,275)</w:t>
            </w: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(1,493,403)</w:t>
            </w:r>
          </w:p>
        </w:tc>
        <w:tc>
          <w:tcPr>
            <w:tcW w:w="5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(1,563,948)</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3"/>
          <w:szCs w:val="13"/>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63" w:lineRule="exact"/>
        <w:rPr>
          <w:sz w:val="20"/>
          <w:szCs w:val="20"/>
          <w:color w:val="auto"/>
        </w:rPr>
      </w:pPr>
    </w:p>
    <w:p>
      <w:pPr>
        <w:jc w:val="both"/>
        <w:ind w:firstLine="533"/>
        <w:spacing w:after="0" w:line="272" w:lineRule="auto"/>
        <w:rPr>
          <w:sz w:val="20"/>
          <w:szCs w:val="20"/>
          <w:color w:val="auto"/>
        </w:rPr>
      </w:pPr>
      <w:r>
        <w:rPr>
          <w:rFonts w:ascii="Arial" w:cs="Arial" w:eastAsia="Arial" w:hAnsi="Arial"/>
          <w:sz w:val="13"/>
          <w:szCs w:val="13"/>
          <w:color w:val="auto"/>
        </w:rPr>
        <w:t>Unbilled services / 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3. Goodwill</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change in the carrying amount of goodwill between December 31, 2024 and September 30, 2025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Nine Months Ended</w:t>
            </w:r>
          </w:p>
        </w:tc>
      </w:tr>
      <w:tr>
        <w:trPr>
          <w:trHeight w:val="133"/>
        </w:trPr>
        <w:tc>
          <w:tcPr>
            <w:tcW w:w="57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September 30,</w:t>
            </w:r>
          </w:p>
        </w:tc>
      </w:tr>
      <w:tr>
        <w:trPr>
          <w:trHeight w:val="133"/>
        </w:trPr>
        <w:tc>
          <w:tcPr>
            <w:tcW w:w="57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2025</w:t>
            </w:r>
          </w:p>
        </w:tc>
      </w:tr>
      <w:tr>
        <w:trPr>
          <w:trHeight w:val="178"/>
        </w:trPr>
        <w:tc>
          <w:tcPr>
            <w:tcW w:w="57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572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77"/>
        </w:trPr>
        <w:tc>
          <w:tcPr>
            <w:tcW w:w="5720" w:type="dxa"/>
            <w:vAlign w:val="bottom"/>
          </w:tcPr>
          <w:p>
            <w:pPr>
              <w:ind w:left="20"/>
              <w:spacing w:after="0"/>
              <w:rPr>
                <w:sz w:val="20"/>
                <w:szCs w:val="20"/>
                <w:color w:val="auto"/>
              </w:rPr>
            </w:pPr>
            <w:r>
              <w:rPr>
                <w:rFonts w:ascii="Arial" w:cs="Arial" w:eastAsia="Arial" w:hAnsi="Arial"/>
                <w:sz w:val="13"/>
                <w:szCs w:val="13"/>
                <w:color w:val="auto"/>
              </w:rPr>
              <w:t>Opening balance at December 31, 2024</w:t>
            </w:r>
          </w:p>
        </w:tc>
        <w:tc>
          <w:tcPr>
            <w:tcW w:w="386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9,051,410</w:t>
            </w:r>
          </w:p>
        </w:tc>
      </w:tr>
      <w:tr>
        <w:trPr>
          <w:trHeight w:val="179"/>
        </w:trPr>
        <w:tc>
          <w:tcPr>
            <w:tcW w:w="5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Prior period acquisitions</w:t>
            </w:r>
          </w:p>
        </w:tc>
        <w:tc>
          <w:tcPr>
            <w:tcW w:w="38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5,108</w:t>
            </w:r>
          </w:p>
        </w:tc>
      </w:tr>
      <w:tr>
        <w:trPr>
          <w:trHeight w:val="177"/>
        </w:trPr>
        <w:tc>
          <w:tcPr>
            <w:tcW w:w="5720" w:type="dxa"/>
            <w:vAlign w:val="bottom"/>
          </w:tcPr>
          <w:p>
            <w:pPr>
              <w:ind w:left="20"/>
              <w:spacing w:after="0"/>
              <w:rPr>
                <w:sz w:val="20"/>
                <w:szCs w:val="20"/>
                <w:color w:val="auto"/>
              </w:rPr>
            </w:pPr>
            <w:r>
              <w:rPr>
                <w:rFonts w:ascii="Arial" w:cs="Arial" w:eastAsia="Arial" w:hAnsi="Arial"/>
                <w:sz w:val="13"/>
                <w:szCs w:val="13"/>
                <w:color w:val="auto"/>
              </w:rPr>
              <w:t>Impairment</w:t>
            </w:r>
          </w:p>
        </w:tc>
        <w:tc>
          <w:tcPr>
            <w:tcW w:w="38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(364,248)</w:t>
            </w:r>
          </w:p>
        </w:tc>
      </w:tr>
      <w:tr>
        <w:trPr>
          <w:trHeight w:val="178"/>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38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36,105</w:t>
            </w:r>
          </w:p>
        </w:tc>
      </w:tr>
      <w:tr>
        <w:trPr>
          <w:trHeight w:val="16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Closing balance</w:t>
            </w:r>
          </w:p>
        </w:tc>
        <w:tc>
          <w:tcPr>
            <w:tcW w:w="386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8,728,375</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148"/>
        <w:spacing w:after="0" w:line="275" w:lineRule="auto"/>
        <w:rPr>
          <w:sz w:val="20"/>
          <w:szCs w:val="20"/>
          <w:color w:val="auto"/>
        </w:rPr>
      </w:pPr>
      <w:r>
        <w:rPr>
          <w:rFonts w:ascii="Arial" w:cs="Arial" w:eastAsia="Arial" w:hAnsi="Arial"/>
          <w:sz w:val="13"/>
          <w:szCs w:val="13"/>
          <w:color w:val="auto"/>
        </w:rPr>
        <w:t>The Company completed its assessment for impairment as at September 30, 2025, performing a quantitative assessment using a discounted cash flow method under the income approach to estimate the fair values of each reporting unit. As a result of this impairment test of goodwill, a non-cash goodwill impairment charge of $364.2 million was identified in respect of the Data Solutions Reporting Unit. The Company performed a quantitative impairment assessment using a discounted cash flow method under the income approach to estimate the fair values of each reporting unit, no impairment was identified in the Company’s other reporting units.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color w:val="auto"/>
        </w:rPr>
        <w:t>4. Intangible assets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carrying amount of Intangible Assets as of September 30, 2025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September 30,</w:t>
            </w:r>
          </w:p>
        </w:tc>
      </w:tr>
      <w:tr>
        <w:trPr>
          <w:trHeight w:val="133"/>
        </w:trPr>
        <w:tc>
          <w:tcPr>
            <w:tcW w:w="5440" w:type="dxa"/>
            <w:vAlign w:val="bottom"/>
            <w:shd w:val="clear" w:color="auto" w:fill="CCEEFF"/>
          </w:tcPr>
          <w:p>
            <w:pPr>
              <w:spacing w:after="0"/>
              <w:rPr>
                <w:sz w:val="11"/>
                <w:szCs w:val="11"/>
                <w:color w:val="auto"/>
              </w:rPr>
            </w:pPr>
          </w:p>
        </w:tc>
        <w:tc>
          <w:tcPr>
            <w:tcW w:w="442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2025</w:t>
            </w:r>
          </w:p>
        </w:tc>
      </w:tr>
      <w:tr>
        <w:trPr>
          <w:trHeight w:val="178"/>
        </w:trPr>
        <w:tc>
          <w:tcPr>
            <w:tcW w:w="5440" w:type="dxa"/>
            <w:vAlign w:val="bottom"/>
            <w:tcBorders>
              <w:bottom w:val="single" w:sz="8" w:color="auto"/>
            </w:tcBorders>
            <w:shd w:val="clear" w:color="auto" w:fill="CCEEFF"/>
          </w:tcPr>
          <w:p>
            <w:pPr>
              <w:spacing w:after="0"/>
              <w:rPr>
                <w:sz w:val="15"/>
                <w:szCs w:val="15"/>
                <w:color w:val="auto"/>
              </w:rPr>
            </w:pPr>
          </w:p>
        </w:tc>
        <w:tc>
          <w:tcPr>
            <w:tcW w:w="44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54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78"/>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4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7"/>
        </w:trPr>
        <w:tc>
          <w:tcPr>
            <w:tcW w:w="544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442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4,134,107</w:t>
            </w:r>
          </w:p>
        </w:tc>
      </w:tr>
      <w:tr>
        <w:trPr>
          <w:trHeight w:val="179"/>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w:t>
            </w:r>
          </w:p>
        </w:tc>
        <w:tc>
          <w:tcPr>
            <w:tcW w:w="4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545,922</w:t>
            </w:r>
          </w:p>
        </w:tc>
      </w:tr>
      <w:tr>
        <w:trPr>
          <w:trHeight w:val="177"/>
        </w:trPr>
        <w:tc>
          <w:tcPr>
            <w:tcW w:w="5440" w:type="dxa"/>
            <w:vAlign w:val="bottom"/>
          </w:tcPr>
          <w:p>
            <w:pPr>
              <w:ind w:left="20"/>
              <w:spacing w:after="0"/>
              <w:rPr>
                <w:sz w:val="20"/>
                <w:szCs w:val="20"/>
                <w:color w:val="auto"/>
              </w:rPr>
            </w:pPr>
            <w:r>
              <w:rPr>
                <w:rFonts w:ascii="Arial" w:cs="Arial" w:eastAsia="Arial" w:hAnsi="Arial"/>
                <w:sz w:val="13"/>
                <w:szCs w:val="13"/>
                <w:color w:val="auto"/>
              </w:rPr>
              <w:t>Trade names &amp; brands</w:t>
            </w:r>
          </w:p>
        </w:tc>
        <w:tc>
          <w:tcPr>
            <w:tcW w:w="4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204,713</w:t>
            </w:r>
          </w:p>
        </w:tc>
      </w:tr>
      <w:tr>
        <w:trPr>
          <w:trHeight w:val="179"/>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Patient database</w:t>
            </w:r>
          </w:p>
        </w:tc>
        <w:tc>
          <w:tcPr>
            <w:tcW w:w="4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170,487</w:t>
            </w:r>
          </w:p>
        </w:tc>
      </w:tr>
      <w:tr>
        <w:trPr>
          <w:trHeight w:val="177"/>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Technology assets</w:t>
            </w:r>
          </w:p>
        </w:tc>
        <w:tc>
          <w:tcPr>
            <w:tcW w:w="4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151,691</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cost</w:t>
            </w:r>
          </w:p>
        </w:tc>
        <w:tc>
          <w:tcPr>
            <w:tcW w:w="44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5,206,920</w:t>
            </w:r>
          </w:p>
        </w:tc>
      </w:tr>
      <w:tr>
        <w:trPr>
          <w:trHeight w:val="177"/>
        </w:trPr>
        <w:tc>
          <w:tcPr>
            <w:tcW w:w="5440" w:type="dxa"/>
            <w:vAlign w:val="bottom"/>
          </w:tcPr>
          <w:p>
            <w:pPr>
              <w:ind w:left="20"/>
              <w:spacing w:after="0"/>
              <w:rPr>
                <w:sz w:val="20"/>
                <w:szCs w:val="20"/>
                <w:color w:val="auto"/>
              </w:rPr>
            </w:pPr>
            <w:r>
              <w:rPr>
                <w:rFonts w:ascii="Arial" w:cs="Arial" w:eastAsia="Arial" w:hAnsi="Arial"/>
                <w:sz w:val="13"/>
                <w:szCs w:val="13"/>
                <w:color w:val="auto"/>
              </w:rPr>
              <w:t>Accumulated amortization</w:t>
            </w:r>
          </w:p>
        </w:tc>
        <w:tc>
          <w:tcPr>
            <w:tcW w:w="4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(1,822,598)</w:t>
            </w:r>
          </w:p>
        </w:tc>
      </w:tr>
      <w:tr>
        <w:trPr>
          <w:trHeight w:val="178"/>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Impairment</w:t>
            </w:r>
          </w:p>
        </w:tc>
        <w:tc>
          <w:tcPr>
            <w:tcW w:w="44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(86,739)</w:t>
            </w:r>
          </w:p>
        </w:tc>
      </w:tr>
      <w:tr>
        <w:trPr>
          <w:trHeight w:val="169"/>
        </w:trPr>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book value</w:t>
            </w:r>
          </w:p>
        </w:tc>
        <w:tc>
          <w:tcPr>
            <w:tcW w:w="44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3,297,583</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the three months ended September 30, 2025, the amortization expense recognized by the Company was $58.7 million (three months ended September 30, 2024: $58.0 million).</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the nine months ended September 30, 2025, the amortization expense recognized by the Company was $176.7 million (nine months ended September 30, 2024: $291.0 million).</w:t>
      </w:r>
    </w:p>
    <w:p>
      <w:pPr>
        <w:spacing w:after="0" w:line="195"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3"/>
          <w:szCs w:val="13"/>
          <w:color w:val="auto"/>
        </w:rPr>
        <w:t>An impairment indicator was identified specific to the Company's Data Solutions reporting unit that indicated the carrying amount of the intangible assets in the Data Solutions reporting unit may not be recoverable. This indicator related to the Company’s revised expectations on the future performance of the reporting unit considering specific external market participant factors. As a result, the Company assessed the fair value of the intangible assets based on estimated future discounted cash flows and recorded an impairment charge of $86.7 million.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There were no additions to intangible assets during the nine months ended September 30, 2025.</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5. Business Segment and Geographical Information</w:t>
      </w:r>
    </w:p>
    <w:p>
      <w:pPr>
        <w:spacing w:after="0" w:line="208" w:lineRule="exact"/>
        <w:rPr>
          <w:sz w:val="20"/>
          <w:szCs w:val="20"/>
          <w:color w:val="auto"/>
        </w:rPr>
      </w:pPr>
    </w:p>
    <w:p>
      <w:pPr>
        <w:ind w:firstLine="533"/>
        <w:spacing w:after="0" w:line="308" w:lineRule="auto"/>
        <w:rPr>
          <w:sz w:val="20"/>
          <w:szCs w:val="20"/>
          <w:color w:val="auto"/>
        </w:rPr>
      </w:pPr>
      <w:r>
        <w:rPr>
          <w:rFonts w:ascii="Arial" w:cs="Arial" w:eastAsia="Arial" w:hAnsi="Arial"/>
          <w:sz w:val="13"/>
          <w:szCs w:val="13"/>
          <w:color w:val="auto"/>
        </w:rPr>
        <w:t>The geographical distribution of the Company’s segment measures for each of the quarters ended March 31, June 30 and September 30, 2025; March 31, June 30 and September 30, 2024; and March 31, June 30 and September 30, 2023 is as follows: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a) The distribution of revenue by geographical area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920" w:type="dxa"/>
            <w:vAlign w:val="bottom"/>
            <w:tcBorders>
              <w:bottom w:val="single" w:sz="8" w:color="auto"/>
            </w:tcBorders>
            <w:gridSpan w:val="4"/>
            <w:shd w:val="clear" w:color="auto" w:fill="CCEEFF"/>
          </w:tcPr>
          <w:p>
            <w:pPr>
              <w:jc w:val="right"/>
              <w:ind w:right="193"/>
              <w:spacing w:after="0"/>
              <w:rPr>
                <w:sz w:val="20"/>
                <w:szCs w:val="20"/>
                <w:color w:val="auto"/>
              </w:rPr>
            </w:pPr>
            <w:r>
              <w:rPr>
                <w:rFonts w:ascii="Arial" w:cs="Arial" w:eastAsia="Arial" w:hAnsi="Arial"/>
                <w:sz w:val="13"/>
                <w:szCs w:val="13"/>
                <w:b w:val="1"/>
                <w:bCs w:val="1"/>
                <w:color w:val="auto"/>
              </w:rPr>
              <w:t>Three Months Ended March 31,</w:t>
            </w: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0"/>
                <w:szCs w:val="10"/>
                <w:color w:val="auto"/>
              </w:rPr>
            </w:pPr>
          </w:p>
        </w:tc>
        <w:tc>
          <w:tcPr>
            <w:tcW w:w="13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10"/>
                <w:szCs w:val="10"/>
                <w:color w:val="auto"/>
              </w:rPr>
            </w:pPr>
          </w:p>
        </w:tc>
        <w:tc>
          <w:tcPr>
            <w:tcW w:w="10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0"/>
                <w:szCs w:val="10"/>
                <w:color w:val="auto"/>
              </w:rPr>
            </w:pPr>
          </w:p>
        </w:tc>
      </w:tr>
      <w:tr>
        <w:trPr>
          <w:trHeight w:val="178"/>
        </w:trPr>
        <w:tc>
          <w:tcPr>
            <w:tcW w:w="1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(As Restated)</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(As Restated)</w:t>
            </w:r>
          </w:p>
        </w:tc>
        <w:tc>
          <w:tcPr>
            <w:tcW w:w="4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16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1640" w:type="dxa"/>
            <w:vAlign w:val="bottom"/>
          </w:tcPr>
          <w:p>
            <w:pPr>
              <w:ind w:left="20"/>
              <w:spacing w:after="0"/>
              <w:rPr>
                <w:sz w:val="20"/>
                <w:szCs w:val="20"/>
                <w:color w:val="auto"/>
              </w:rPr>
            </w:pPr>
            <w:r>
              <w:rPr>
                <w:rFonts w:ascii="Arial" w:cs="Arial" w:eastAsia="Arial" w:hAnsi="Arial"/>
                <w:sz w:val="13"/>
                <w:szCs w:val="13"/>
                <w:color w:val="auto"/>
              </w:rPr>
              <w:t>Ireland</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734,340</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13"/>
              <w:spacing w:after="0"/>
              <w:rPr>
                <w:sz w:val="20"/>
                <w:szCs w:val="20"/>
                <w:color w:val="auto"/>
              </w:rPr>
            </w:pPr>
            <w:r>
              <w:rPr>
                <w:rFonts w:ascii="Arial" w:cs="Arial" w:eastAsia="Arial" w:hAnsi="Arial"/>
                <w:sz w:val="13"/>
                <w:szCs w:val="13"/>
                <w:color w:val="auto"/>
              </w:rPr>
              <w:t>607,286</w:t>
            </w:r>
          </w:p>
        </w:tc>
        <w:tc>
          <w:tcPr>
            <w:tcW w:w="480" w:type="dxa"/>
            <w:vAlign w:val="bottom"/>
          </w:tcPr>
          <w:p>
            <w:pPr>
              <w:jc w:val="right"/>
              <w:ind w:right="333"/>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500,174</w:t>
            </w:r>
          </w:p>
        </w:tc>
        <w:tc>
          <w:tcPr>
            <w:tcW w:w="20" w:type="dxa"/>
            <w:vAlign w:val="bottom"/>
          </w:tcPr>
          <w:p>
            <w:pPr>
              <w:spacing w:after="0"/>
              <w:rPr>
                <w:sz w:val="15"/>
                <w:szCs w:val="15"/>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10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375,865</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389,603</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413,851</w:t>
            </w:r>
          </w:p>
        </w:tc>
        <w:tc>
          <w:tcPr>
            <w:tcW w:w="20" w:type="dxa"/>
            <w:vAlign w:val="bottom"/>
          </w:tcPr>
          <w:p>
            <w:pPr>
              <w:spacing w:after="0"/>
              <w:rPr>
                <w:sz w:val="15"/>
                <w:szCs w:val="15"/>
                <w:color w:val="auto"/>
              </w:rPr>
            </w:pPr>
          </w:p>
        </w:tc>
      </w:tr>
      <w:tr>
        <w:trPr>
          <w:trHeight w:val="177"/>
        </w:trPr>
        <w:tc>
          <w:tcPr>
            <w:tcW w:w="1640" w:type="dxa"/>
            <w:vAlign w:val="bottom"/>
          </w:tcPr>
          <w:p>
            <w:pPr>
              <w:ind w:left="20"/>
              <w:spacing w:after="0"/>
              <w:rPr>
                <w:sz w:val="20"/>
                <w:szCs w:val="20"/>
                <w:color w:val="auto"/>
              </w:rPr>
            </w:pPr>
            <w:r>
              <w:rPr>
                <w:rFonts w:ascii="Arial" w:cs="Arial" w:eastAsia="Arial" w:hAnsi="Arial"/>
                <w:sz w:val="13"/>
                <w:szCs w:val="13"/>
                <w:color w:val="auto"/>
              </w:rPr>
              <w:t>U.S.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672,424</w:t>
            </w:r>
          </w:p>
        </w:tc>
        <w:tc>
          <w:tcPr>
            <w:tcW w:w="200" w:type="dxa"/>
            <w:vAlign w:val="bottom"/>
          </w:tcPr>
          <w:p>
            <w:pPr>
              <w:spacing w:after="0"/>
              <w:rPr>
                <w:sz w:val="15"/>
                <w:szCs w:val="15"/>
                <w:color w:val="auto"/>
              </w:rPr>
            </w:pPr>
          </w:p>
        </w:tc>
        <w:tc>
          <w:tcPr>
            <w:tcW w:w="1300" w:type="dxa"/>
            <w:vAlign w:val="bottom"/>
          </w:tcPr>
          <w:p>
            <w:pPr>
              <w:jc w:val="right"/>
              <w:ind w:right="13"/>
              <w:spacing w:after="0"/>
              <w:rPr>
                <w:sz w:val="20"/>
                <w:szCs w:val="20"/>
                <w:color w:val="auto"/>
              </w:rPr>
            </w:pPr>
            <w:r>
              <w:rPr>
                <w:rFonts w:ascii="Arial" w:cs="Arial" w:eastAsia="Arial" w:hAnsi="Arial"/>
                <w:sz w:val="13"/>
                <w:szCs w:val="13"/>
                <w:color w:val="auto"/>
              </w:rPr>
              <w:t>808,364</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843,666</w:t>
            </w:r>
          </w:p>
        </w:tc>
        <w:tc>
          <w:tcPr>
            <w:tcW w:w="20" w:type="dxa"/>
            <w:vAlign w:val="bottom"/>
          </w:tcPr>
          <w:p>
            <w:pPr>
              <w:spacing w:after="0"/>
              <w:rPr>
                <w:sz w:val="15"/>
                <w:szCs w:val="15"/>
                <w:color w:val="auto"/>
              </w:rPr>
            </w:pPr>
          </w:p>
        </w:tc>
      </w:tr>
      <w:tr>
        <w:trPr>
          <w:trHeight w:val="178"/>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10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232,691</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238,001</w:t>
            </w: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208,117</w:t>
            </w:r>
          </w:p>
        </w:tc>
        <w:tc>
          <w:tcPr>
            <w:tcW w:w="20" w:type="dxa"/>
            <w:vAlign w:val="bottom"/>
          </w:tcPr>
          <w:p>
            <w:pPr>
              <w:spacing w:after="0"/>
              <w:rPr>
                <w:sz w:val="15"/>
                <w:szCs w:val="15"/>
                <w:color w:val="auto"/>
              </w:rPr>
            </w:pPr>
          </w:p>
        </w:tc>
      </w:tr>
      <w:tr>
        <w:trPr>
          <w:trHeight w:val="169"/>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2,015,320</w:t>
            </w: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2,043,254</w:t>
            </w:r>
          </w:p>
        </w:tc>
        <w:tc>
          <w:tcPr>
            <w:tcW w:w="4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1,965,808</w:t>
            </w:r>
          </w:p>
        </w:tc>
        <w:tc>
          <w:tcPr>
            <w:tcW w:w="20" w:type="dxa"/>
            <w:vAlign w:val="bottom"/>
          </w:tcPr>
          <w:p>
            <w:pPr>
              <w:spacing w:after="0"/>
              <w:rPr>
                <w:sz w:val="14"/>
                <w:szCs w:val="14"/>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4"/>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4"/>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120" w:type="dxa"/>
            <w:vAlign w:val="bottom"/>
            <w:gridSpan w:val="4"/>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920" w:type="dxa"/>
            <w:vAlign w:val="bottom"/>
            <w:gridSpan w:val="4"/>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8"/>
        </w:trPr>
        <w:tc>
          <w:tcPr>
            <w:tcW w:w="16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120" w:type="dxa"/>
            <w:vAlign w:val="bottom"/>
            <w:tcBorders>
              <w:bottom w:val="single" w:sz="8" w:color="auto"/>
            </w:tcBorders>
            <w:gridSpan w:val="4"/>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Three Months Ended June 30,</w:t>
            </w: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920" w:type="dxa"/>
            <w:vAlign w:val="bottom"/>
            <w:tcBorders>
              <w:bottom w:val="single" w:sz="8" w:color="auto"/>
            </w:tcBorders>
            <w:gridSpan w:val="4"/>
            <w:shd w:val="clear" w:color="auto" w:fill="CCEEFF"/>
          </w:tcPr>
          <w:p>
            <w:pPr>
              <w:jc w:val="right"/>
              <w:ind w:right="293"/>
              <w:spacing w:after="0"/>
              <w:rPr>
                <w:sz w:val="20"/>
                <w:szCs w:val="20"/>
                <w:color w:val="auto"/>
              </w:rPr>
            </w:pPr>
            <w:r>
              <w:rPr>
                <w:rFonts w:ascii="Arial" w:cs="Arial" w:eastAsia="Arial" w:hAnsi="Arial"/>
                <w:sz w:val="13"/>
                <w:szCs w:val="13"/>
                <w:b w:val="1"/>
                <w:bCs w:val="1"/>
                <w:color w:val="auto"/>
              </w:rPr>
              <w:t>Six Months Ended June 30,</w:t>
            </w: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r>
      <w:tr>
        <w:trPr>
          <w:trHeight w:val="124"/>
        </w:trPr>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50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540" w:type="dxa"/>
            <w:vAlign w:val="bottom"/>
          </w:tcPr>
          <w:p>
            <w:pPr>
              <w:spacing w:after="0"/>
              <w:rPr>
                <w:sz w:val="10"/>
                <w:szCs w:val="10"/>
                <w:color w:val="auto"/>
              </w:rPr>
            </w:pPr>
          </w:p>
        </w:tc>
        <w:tc>
          <w:tcPr>
            <w:tcW w:w="9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0"/>
                <w:szCs w:val="10"/>
                <w:color w:val="auto"/>
              </w:rPr>
            </w:pPr>
          </w:p>
        </w:tc>
        <w:tc>
          <w:tcPr>
            <w:tcW w:w="13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10"/>
                <w:szCs w:val="10"/>
                <w:color w:val="auto"/>
              </w:rPr>
            </w:pPr>
          </w:p>
        </w:tc>
        <w:tc>
          <w:tcPr>
            <w:tcW w:w="1020" w:type="dxa"/>
            <w:vAlign w:val="bottom"/>
            <w:gridSpan w:val="2"/>
          </w:tcPr>
          <w:p>
            <w:pPr>
              <w:jc w:val="right"/>
              <w:ind w:right="20"/>
              <w:spacing w:after="0" w:line="124" w:lineRule="exact"/>
              <w:rPr>
                <w:sz w:val="20"/>
                <w:szCs w:val="20"/>
                <w:color w:val="auto"/>
              </w:rPr>
            </w:pPr>
            <w:r>
              <w:rPr>
                <w:rFonts w:ascii="Arial" w:cs="Arial" w:eastAsia="Arial" w:hAnsi="Arial"/>
                <w:sz w:val="13"/>
                <w:szCs w:val="13"/>
                <w:b w:val="1"/>
                <w:bCs w:val="1"/>
                <w:color w:val="auto"/>
              </w:rPr>
              <w:t>2023</w:t>
            </w:r>
          </w:p>
        </w:tc>
      </w:tr>
      <w:tr>
        <w:trPr>
          <w:trHeight w:val="178"/>
        </w:trPr>
        <w:tc>
          <w:tcPr>
            <w:tcW w:w="1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1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7"/>
        </w:trPr>
        <w:tc>
          <w:tcPr>
            <w:tcW w:w="1640" w:type="dxa"/>
            <w:vAlign w:val="bottom"/>
          </w:tcPr>
          <w:p>
            <w:pPr>
              <w:ind w:left="20"/>
              <w:spacing w:after="0"/>
              <w:rPr>
                <w:sz w:val="20"/>
                <w:szCs w:val="20"/>
                <w:color w:val="auto"/>
              </w:rPr>
            </w:pPr>
            <w:r>
              <w:rPr>
                <w:rFonts w:ascii="Arial" w:cs="Arial" w:eastAsia="Arial" w:hAnsi="Arial"/>
                <w:sz w:val="13"/>
                <w:szCs w:val="13"/>
                <w:color w:val="auto"/>
              </w:rPr>
              <w:t>Ireland</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902,026</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627,500</w:t>
            </w:r>
          </w:p>
        </w:tc>
        <w:tc>
          <w:tcPr>
            <w:tcW w:w="50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582,403</w:t>
            </w:r>
          </w:p>
        </w:tc>
        <w:tc>
          <w:tcPr>
            <w:tcW w:w="54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1,636,366</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1,234,786</w:t>
            </w:r>
          </w:p>
        </w:tc>
        <w:tc>
          <w:tcPr>
            <w:tcW w:w="48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1,082,577</w:t>
            </w:r>
          </w:p>
        </w:tc>
        <w:tc>
          <w:tcPr>
            <w:tcW w:w="20" w:type="dxa"/>
            <w:vAlign w:val="bottom"/>
          </w:tcPr>
          <w:p>
            <w:pPr>
              <w:spacing w:after="0"/>
              <w:rPr>
                <w:sz w:val="15"/>
                <w:szCs w:val="15"/>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10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360,070</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383,199</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373,460</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735,935</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772,802</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787,311</w:t>
            </w:r>
          </w:p>
        </w:tc>
        <w:tc>
          <w:tcPr>
            <w:tcW w:w="20" w:type="dxa"/>
            <w:vAlign w:val="bottom"/>
            <w:shd w:val="clear" w:color="auto" w:fill="CCEEFF"/>
          </w:tcPr>
          <w:p>
            <w:pPr>
              <w:spacing w:after="0"/>
              <w:rPr>
                <w:sz w:val="15"/>
                <w:szCs w:val="15"/>
                <w:color w:val="auto"/>
              </w:rPr>
            </w:pPr>
          </w:p>
        </w:tc>
      </w:tr>
      <w:tr>
        <w:trPr>
          <w:trHeight w:val="177"/>
        </w:trPr>
        <w:tc>
          <w:tcPr>
            <w:tcW w:w="1640" w:type="dxa"/>
            <w:vAlign w:val="bottom"/>
          </w:tcPr>
          <w:p>
            <w:pPr>
              <w:ind w:left="20"/>
              <w:spacing w:after="0"/>
              <w:rPr>
                <w:sz w:val="20"/>
                <w:szCs w:val="20"/>
                <w:color w:val="auto"/>
              </w:rPr>
            </w:pPr>
            <w:r>
              <w:rPr>
                <w:rFonts w:ascii="Arial" w:cs="Arial" w:eastAsia="Arial" w:hAnsi="Arial"/>
                <w:sz w:val="13"/>
                <w:szCs w:val="13"/>
                <w:color w:val="auto"/>
              </w:rPr>
              <w:t>U.S.</w:t>
            </w:r>
          </w:p>
        </w:tc>
        <w:tc>
          <w:tcPr>
            <w:tcW w:w="10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573,395</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790,510</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847,322</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1,245,819</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1,598,874</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1,690,988</w:t>
            </w:r>
          </w:p>
        </w:tc>
        <w:tc>
          <w:tcPr>
            <w:tcW w:w="20" w:type="dxa"/>
            <w:vAlign w:val="bottom"/>
          </w:tcPr>
          <w:p>
            <w:pPr>
              <w:spacing w:after="0"/>
              <w:rPr>
                <w:sz w:val="15"/>
                <w:szCs w:val="15"/>
                <w:color w:val="auto"/>
              </w:rPr>
            </w:pPr>
          </w:p>
        </w:tc>
      </w:tr>
      <w:tr>
        <w:trPr>
          <w:trHeight w:val="178"/>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10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203,597</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240,717</w:t>
            </w:r>
          </w:p>
        </w:tc>
        <w:tc>
          <w:tcPr>
            <w:tcW w:w="5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205,016</w:t>
            </w: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436,288</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478,718</w:t>
            </w: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413,133</w:t>
            </w:r>
          </w:p>
        </w:tc>
        <w:tc>
          <w:tcPr>
            <w:tcW w:w="20" w:type="dxa"/>
            <w:vAlign w:val="bottom"/>
            <w:tcBorders>
              <w:bottom w:val="single" w:sz="8" w:color="auto"/>
            </w:tcBorders>
            <w:shd w:val="clear" w:color="auto" w:fill="CCEEFF"/>
          </w:tcPr>
          <w:p>
            <w:pPr>
              <w:spacing w:after="0"/>
              <w:rPr>
                <w:sz w:val="15"/>
                <w:szCs w:val="15"/>
                <w:color w:val="auto"/>
              </w:rPr>
            </w:pPr>
          </w:p>
        </w:tc>
      </w:tr>
      <w:tr>
        <w:trPr>
          <w:trHeight w:val="169"/>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2,039,088</w:t>
            </w: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2,041,926</w:t>
            </w:r>
          </w:p>
        </w:tc>
        <w:tc>
          <w:tcPr>
            <w:tcW w:w="5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2,008,201</w:t>
            </w:r>
          </w:p>
        </w:tc>
        <w:tc>
          <w:tcPr>
            <w:tcW w:w="5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4,054,408</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4,085,180</w:t>
            </w:r>
          </w:p>
        </w:tc>
        <w:tc>
          <w:tcPr>
            <w:tcW w:w="4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3,974,009</w:t>
            </w:r>
          </w:p>
        </w:tc>
        <w:tc>
          <w:tcPr>
            <w:tcW w:w="20" w:type="dxa"/>
            <w:vAlign w:val="bottom"/>
            <w:tcBorders>
              <w:bottom w:val="single" w:sz="8" w:color="auto"/>
            </w:tcBorders>
          </w:tcPr>
          <w:p>
            <w:pPr>
              <w:spacing w:after="0"/>
              <w:rPr>
                <w:sz w:val="14"/>
                <w:szCs w:val="14"/>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4"/>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4"/>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6"/>
        </w:trPr>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2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2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16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120" w:type="dxa"/>
            <w:vAlign w:val="bottom"/>
            <w:tcBorders>
              <w:bottom w:val="single" w:sz="8" w:color="auto"/>
            </w:tcBorders>
            <w:gridSpan w:val="4"/>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Three Months Ended September 30,</w:t>
            </w: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920" w:type="dxa"/>
            <w:vAlign w:val="bottom"/>
            <w:tcBorders>
              <w:bottom w:val="single" w:sz="8" w:color="auto"/>
            </w:tcBorders>
            <w:gridSpan w:val="4"/>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Nine Months Ended September 30,</w:t>
            </w: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r>
      <w:tr>
        <w:trPr>
          <w:trHeight w:val="124"/>
        </w:trPr>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50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540" w:type="dxa"/>
            <w:vAlign w:val="bottom"/>
          </w:tcPr>
          <w:p>
            <w:pPr>
              <w:spacing w:after="0"/>
              <w:rPr>
                <w:sz w:val="10"/>
                <w:szCs w:val="10"/>
                <w:color w:val="auto"/>
              </w:rPr>
            </w:pPr>
          </w:p>
        </w:tc>
        <w:tc>
          <w:tcPr>
            <w:tcW w:w="9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0"/>
                <w:szCs w:val="10"/>
                <w:color w:val="auto"/>
              </w:rPr>
            </w:pPr>
          </w:p>
        </w:tc>
        <w:tc>
          <w:tcPr>
            <w:tcW w:w="13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10"/>
                <w:szCs w:val="10"/>
                <w:color w:val="auto"/>
              </w:rPr>
            </w:pPr>
          </w:p>
        </w:tc>
        <w:tc>
          <w:tcPr>
            <w:tcW w:w="1020" w:type="dxa"/>
            <w:vAlign w:val="bottom"/>
            <w:gridSpan w:val="2"/>
          </w:tcPr>
          <w:p>
            <w:pPr>
              <w:jc w:val="right"/>
              <w:ind w:right="20"/>
              <w:spacing w:after="0" w:line="124" w:lineRule="exact"/>
              <w:rPr>
                <w:sz w:val="20"/>
                <w:szCs w:val="20"/>
                <w:color w:val="auto"/>
              </w:rPr>
            </w:pPr>
            <w:r>
              <w:rPr>
                <w:rFonts w:ascii="Arial" w:cs="Arial" w:eastAsia="Arial" w:hAnsi="Arial"/>
                <w:sz w:val="13"/>
                <w:szCs w:val="13"/>
                <w:b w:val="1"/>
                <w:bCs w:val="1"/>
                <w:color w:val="auto"/>
              </w:rPr>
              <w:t>2023</w:t>
            </w:r>
          </w:p>
        </w:tc>
      </w:tr>
      <w:tr>
        <w:trPr>
          <w:trHeight w:val="178"/>
        </w:trPr>
        <w:tc>
          <w:tcPr>
            <w:tcW w:w="1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1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7"/>
        </w:trPr>
        <w:tc>
          <w:tcPr>
            <w:tcW w:w="1640" w:type="dxa"/>
            <w:vAlign w:val="bottom"/>
          </w:tcPr>
          <w:p>
            <w:pPr>
              <w:ind w:left="20"/>
              <w:spacing w:after="0"/>
              <w:rPr>
                <w:sz w:val="20"/>
                <w:szCs w:val="20"/>
                <w:color w:val="auto"/>
              </w:rPr>
            </w:pPr>
            <w:r>
              <w:rPr>
                <w:rFonts w:ascii="Arial" w:cs="Arial" w:eastAsia="Arial" w:hAnsi="Arial"/>
                <w:sz w:val="13"/>
                <w:szCs w:val="13"/>
                <w:color w:val="auto"/>
              </w:rPr>
              <w:t>Ireland</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801,771</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627,432</w:t>
            </w:r>
          </w:p>
        </w:tc>
        <w:tc>
          <w:tcPr>
            <w:tcW w:w="50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582,839</w:t>
            </w:r>
          </w:p>
        </w:tc>
        <w:tc>
          <w:tcPr>
            <w:tcW w:w="54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2,438,137</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1,862,218</w:t>
            </w:r>
          </w:p>
        </w:tc>
        <w:tc>
          <w:tcPr>
            <w:tcW w:w="48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1,665,416</w:t>
            </w:r>
          </w:p>
        </w:tc>
        <w:tc>
          <w:tcPr>
            <w:tcW w:w="20" w:type="dxa"/>
            <w:vAlign w:val="bottom"/>
          </w:tcPr>
          <w:p>
            <w:pPr>
              <w:spacing w:after="0"/>
              <w:rPr>
                <w:sz w:val="15"/>
                <w:szCs w:val="15"/>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10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399,035</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420,759</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384,289</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1,134,970</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1,193,561</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1,171,600</w:t>
            </w:r>
          </w:p>
        </w:tc>
        <w:tc>
          <w:tcPr>
            <w:tcW w:w="20" w:type="dxa"/>
            <w:vAlign w:val="bottom"/>
            <w:shd w:val="clear" w:color="auto" w:fill="CCEEFF"/>
          </w:tcPr>
          <w:p>
            <w:pPr>
              <w:spacing w:after="0"/>
              <w:rPr>
                <w:sz w:val="15"/>
                <w:szCs w:val="15"/>
                <w:color w:val="auto"/>
              </w:rPr>
            </w:pPr>
          </w:p>
        </w:tc>
      </w:tr>
      <w:tr>
        <w:trPr>
          <w:trHeight w:val="177"/>
        </w:trPr>
        <w:tc>
          <w:tcPr>
            <w:tcW w:w="1640" w:type="dxa"/>
            <w:vAlign w:val="bottom"/>
          </w:tcPr>
          <w:p>
            <w:pPr>
              <w:ind w:left="20"/>
              <w:spacing w:after="0"/>
              <w:rPr>
                <w:sz w:val="20"/>
                <w:szCs w:val="20"/>
                <w:color w:val="auto"/>
              </w:rPr>
            </w:pPr>
            <w:r>
              <w:rPr>
                <w:rFonts w:ascii="Arial" w:cs="Arial" w:eastAsia="Arial" w:hAnsi="Arial"/>
                <w:sz w:val="13"/>
                <w:szCs w:val="13"/>
                <w:color w:val="auto"/>
              </w:rPr>
              <w:t>U.S.</w:t>
            </w:r>
          </w:p>
        </w:tc>
        <w:tc>
          <w:tcPr>
            <w:tcW w:w="10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649,040</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755,383</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830,934</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1,894,859</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2,354,257</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2,521,922</w:t>
            </w:r>
          </w:p>
        </w:tc>
        <w:tc>
          <w:tcPr>
            <w:tcW w:w="20" w:type="dxa"/>
            <w:vAlign w:val="bottom"/>
          </w:tcPr>
          <w:p>
            <w:pPr>
              <w:spacing w:after="0"/>
              <w:rPr>
                <w:sz w:val="15"/>
                <w:szCs w:val="15"/>
                <w:color w:val="auto"/>
              </w:rPr>
            </w:pPr>
          </w:p>
        </w:tc>
      </w:tr>
      <w:tr>
        <w:trPr>
          <w:trHeight w:val="178"/>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10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234,569</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238,369</w:t>
            </w:r>
          </w:p>
        </w:tc>
        <w:tc>
          <w:tcPr>
            <w:tcW w:w="5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242,252</w:t>
            </w: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670,857</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717,087</w:t>
            </w: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655,385</w:t>
            </w:r>
          </w:p>
        </w:tc>
        <w:tc>
          <w:tcPr>
            <w:tcW w:w="20" w:type="dxa"/>
            <w:vAlign w:val="bottom"/>
            <w:tcBorders>
              <w:bottom w:val="single" w:sz="8" w:color="auto"/>
            </w:tcBorders>
            <w:shd w:val="clear" w:color="auto" w:fill="CCEEFF"/>
          </w:tcPr>
          <w:p>
            <w:pPr>
              <w:spacing w:after="0"/>
              <w:rPr>
                <w:sz w:val="15"/>
                <w:szCs w:val="15"/>
                <w:color w:val="auto"/>
              </w:rPr>
            </w:pPr>
          </w:p>
        </w:tc>
      </w:tr>
      <w:tr>
        <w:trPr>
          <w:trHeight w:val="169"/>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2,084,415</w:t>
            </w: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2,041,943</w:t>
            </w:r>
          </w:p>
        </w:tc>
        <w:tc>
          <w:tcPr>
            <w:tcW w:w="5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2,040,314</w:t>
            </w:r>
          </w:p>
        </w:tc>
        <w:tc>
          <w:tcPr>
            <w:tcW w:w="5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6,138,823</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6,127,123</w:t>
            </w:r>
          </w:p>
        </w:tc>
        <w:tc>
          <w:tcPr>
            <w:tcW w:w="4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6,014,323</w:t>
            </w:r>
          </w:p>
        </w:tc>
        <w:tc>
          <w:tcPr>
            <w:tcW w:w="20" w:type="dxa"/>
            <w:vAlign w:val="bottom"/>
            <w:tcBorders>
              <w:bottom w:val="single" w:sz="8" w:color="auto"/>
            </w:tcBorders>
          </w:tcPr>
          <w:p>
            <w:pPr>
              <w:spacing w:after="0"/>
              <w:rPr>
                <w:sz w:val="14"/>
                <w:szCs w:val="14"/>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b) The distribution of income from operations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700" w:type="dxa"/>
            <w:vAlign w:val="bottom"/>
            <w:tcBorders>
              <w:bottom w:val="single" w:sz="8" w:color="auto"/>
            </w:tcBorders>
            <w:gridSpan w:val="6"/>
            <w:shd w:val="clear" w:color="auto" w:fill="CCEEFF"/>
          </w:tcPr>
          <w:p>
            <w:pPr>
              <w:jc w:val="right"/>
              <w:ind w:right="293"/>
              <w:spacing w:after="0"/>
              <w:rPr>
                <w:sz w:val="20"/>
                <w:szCs w:val="20"/>
                <w:color w:val="auto"/>
              </w:rPr>
            </w:pPr>
            <w:r>
              <w:rPr>
                <w:rFonts w:ascii="Arial" w:cs="Arial" w:eastAsia="Arial" w:hAnsi="Arial"/>
                <w:sz w:val="13"/>
                <w:szCs w:val="13"/>
                <w:b w:val="1"/>
                <w:bCs w:val="1"/>
                <w:color w:val="auto"/>
              </w:rPr>
              <w:t>Three Months Ended March 31,</w:t>
            </w:r>
          </w:p>
        </w:tc>
        <w:tc>
          <w:tcPr>
            <w:tcW w:w="900" w:type="dxa"/>
            <w:vAlign w:val="bottom"/>
            <w:tcBorders>
              <w:bottom w:val="single" w:sz="8" w:color="auto"/>
            </w:tcBorders>
            <w:shd w:val="clear" w:color="auto" w:fill="CCEEFF"/>
          </w:tcPr>
          <w:p>
            <w:pPr>
              <w:spacing w:after="0"/>
              <w:rPr>
                <w:sz w:val="15"/>
                <w:szCs w:val="15"/>
                <w:color w:val="auto"/>
              </w:rPr>
            </w:pPr>
          </w:p>
        </w:tc>
      </w:tr>
      <w:tr>
        <w:trPr>
          <w:trHeight w:val="124"/>
        </w:trPr>
        <w:tc>
          <w:tcPr>
            <w:tcW w:w="2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r>
      <w:tr>
        <w:trPr>
          <w:trHeight w:val="178"/>
        </w:trPr>
        <w:tc>
          <w:tcPr>
            <w:tcW w:w="2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Restated)</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2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7"/>
        </w:trPr>
        <w:tc>
          <w:tcPr>
            <w:tcW w:w="2600" w:type="dxa"/>
            <w:vAlign w:val="bottom"/>
          </w:tcPr>
          <w:p>
            <w:pPr>
              <w:ind w:left="20"/>
              <w:spacing w:after="0"/>
              <w:rPr>
                <w:sz w:val="20"/>
                <w:szCs w:val="20"/>
                <w:color w:val="auto"/>
              </w:rPr>
            </w:pPr>
            <w:r>
              <w:rPr>
                <w:rFonts w:ascii="Arial" w:cs="Arial" w:eastAsia="Arial" w:hAnsi="Arial"/>
                <w:sz w:val="13"/>
                <w:szCs w:val="13"/>
                <w:color w:val="auto"/>
              </w:rPr>
              <w:t>Ireland</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163,378</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210,497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156,422</w:t>
            </w:r>
          </w:p>
        </w:tc>
      </w:tr>
      <w:tr>
        <w:trPr>
          <w:trHeight w:val="179"/>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36,843</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53,197</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59,690</w:t>
            </w:r>
          </w:p>
        </w:tc>
      </w:tr>
      <w:tr>
        <w:trPr>
          <w:trHeight w:val="177"/>
        </w:trPr>
        <w:tc>
          <w:tcPr>
            <w:tcW w:w="2600" w:type="dxa"/>
            <w:vAlign w:val="bottom"/>
          </w:tcPr>
          <w:p>
            <w:pPr>
              <w:ind w:left="20"/>
              <w:spacing w:after="0"/>
              <w:rPr>
                <w:sz w:val="20"/>
                <w:szCs w:val="20"/>
                <w:color w:val="auto"/>
              </w:rPr>
            </w:pPr>
            <w:r>
              <w:rPr>
                <w:rFonts w:ascii="Arial" w:cs="Arial" w:eastAsia="Arial" w:hAnsi="Arial"/>
                <w:sz w:val="13"/>
                <w:szCs w:val="13"/>
                <w:color w:val="auto"/>
              </w:rPr>
              <w:t>U.S.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68,487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76,848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88,561</w:t>
            </w:r>
          </w:p>
        </w:tc>
      </w:tr>
      <w:tr>
        <w:trPr>
          <w:trHeight w:val="178"/>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8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17,208</w:t>
            </w:r>
          </w:p>
        </w:tc>
        <w:tc>
          <w:tcPr>
            <w:tcW w:w="2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18,404</w:t>
            </w: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17,648</w:t>
            </w:r>
          </w:p>
        </w:tc>
      </w:tr>
      <w:tr>
        <w:trPr>
          <w:trHeight w:val="16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Sub-total</w:t>
            </w: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285,916</w:t>
            </w: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358,946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322,321</w:t>
            </w:r>
          </w:p>
        </w:tc>
      </w:tr>
      <w:tr>
        <w:trPr>
          <w:trHeight w:val="16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8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(58,946)</w:t>
            </w:r>
          </w:p>
        </w:tc>
        <w:tc>
          <w:tcPr>
            <w:tcW w:w="2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(116,498)</w:t>
            </w: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(114,678)</w:t>
            </w:r>
          </w:p>
        </w:tc>
      </w:tr>
      <w:tr>
        <w:trPr>
          <w:trHeight w:val="16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226,970</w:t>
            </w: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242,448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207,643</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gridSpan w:val="4"/>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5"/>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6"/>
        </w:trPr>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r>
      <w:tr>
        <w:trPr>
          <w:trHeight w:val="178"/>
        </w:trPr>
        <w:tc>
          <w:tcPr>
            <w:tcW w:w="26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900" w:type="dxa"/>
            <w:vAlign w:val="bottom"/>
            <w:tcBorders>
              <w:bottom w:val="single" w:sz="8" w:color="auto"/>
            </w:tcBorders>
            <w:gridSpan w:val="4"/>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Three Months Ended June 30,</w:t>
            </w: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80" w:type="dxa"/>
            <w:vAlign w:val="bottom"/>
            <w:tcBorders>
              <w:bottom w:val="single" w:sz="8" w:color="auto"/>
            </w:tcBorders>
            <w:gridSpan w:val="5"/>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Six Months Ended June 30,</w:t>
            </w:r>
          </w:p>
        </w:tc>
        <w:tc>
          <w:tcPr>
            <w:tcW w:w="900" w:type="dxa"/>
            <w:vAlign w:val="bottom"/>
            <w:tcBorders>
              <w:bottom w:val="single" w:sz="8" w:color="auto"/>
            </w:tcBorders>
            <w:shd w:val="clear" w:color="auto" w:fill="CCEEFF"/>
          </w:tcPr>
          <w:p>
            <w:pPr>
              <w:spacing w:after="0"/>
              <w:rPr>
                <w:sz w:val="15"/>
                <w:szCs w:val="15"/>
                <w:color w:val="auto"/>
              </w:rPr>
            </w:pPr>
          </w:p>
        </w:tc>
      </w:tr>
      <w:tr>
        <w:trPr>
          <w:trHeight w:val="124"/>
        </w:trPr>
        <w:tc>
          <w:tcPr>
            <w:tcW w:w="2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0"/>
                <w:szCs w:val="10"/>
                <w:color w:val="auto"/>
              </w:rPr>
            </w:pP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0"/>
                <w:szCs w:val="10"/>
                <w:color w:val="auto"/>
              </w:rPr>
            </w:pPr>
          </w:p>
        </w:tc>
        <w:tc>
          <w:tcPr>
            <w:tcW w:w="114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10"/>
                <w:szCs w:val="10"/>
                <w:color w:val="auto"/>
              </w:rPr>
            </w:pPr>
          </w:p>
        </w:tc>
        <w:tc>
          <w:tcPr>
            <w:tcW w:w="9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r>
      <w:tr>
        <w:trPr>
          <w:trHeight w:val="178"/>
        </w:trPr>
        <w:tc>
          <w:tcPr>
            <w:tcW w:w="2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Restated)</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Restated)</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2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7"/>
        </w:trPr>
        <w:tc>
          <w:tcPr>
            <w:tcW w:w="2600" w:type="dxa"/>
            <w:vAlign w:val="bottom"/>
          </w:tcPr>
          <w:p>
            <w:pPr>
              <w:ind w:left="20"/>
              <w:spacing w:after="0"/>
              <w:rPr>
                <w:sz w:val="20"/>
                <w:szCs w:val="20"/>
                <w:color w:val="auto"/>
              </w:rPr>
            </w:pPr>
            <w:r>
              <w:rPr>
                <w:rFonts w:ascii="Arial" w:cs="Arial" w:eastAsia="Arial" w:hAnsi="Arial"/>
                <w:sz w:val="13"/>
                <w:szCs w:val="13"/>
                <w:color w:val="auto"/>
              </w:rPr>
              <w:t>Ireland</w:t>
            </w: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199,606</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153,450</w:t>
            </w: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231,085</w:t>
            </w:r>
          </w:p>
        </w:tc>
        <w:tc>
          <w:tcPr>
            <w:tcW w:w="48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362,984</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363,947</w:t>
            </w: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387,507</w:t>
            </w:r>
          </w:p>
        </w:tc>
      </w:tr>
      <w:tr>
        <w:trPr>
          <w:trHeight w:val="179"/>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7,978</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38,910</w:t>
            </w: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22,430</w:t>
            </w:r>
          </w:p>
        </w:tc>
        <w:tc>
          <w:tcPr>
            <w:tcW w:w="4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44,821</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92,107</w:t>
            </w: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82,120</w:t>
            </w:r>
          </w:p>
        </w:tc>
      </w:tr>
      <w:tr>
        <w:trPr>
          <w:trHeight w:val="177"/>
        </w:trPr>
        <w:tc>
          <w:tcPr>
            <w:tcW w:w="2600" w:type="dxa"/>
            <w:vAlign w:val="bottom"/>
          </w:tcPr>
          <w:p>
            <w:pPr>
              <w:ind w:left="20"/>
              <w:spacing w:after="0"/>
              <w:rPr>
                <w:sz w:val="20"/>
                <w:szCs w:val="20"/>
                <w:color w:val="auto"/>
              </w:rPr>
            </w:pPr>
            <w:r>
              <w:rPr>
                <w:rFonts w:ascii="Arial" w:cs="Arial" w:eastAsia="Arial" w:hAnsi="Arial"/>
                <w:sz w:val="13"/>
                <w:szCs w:val="13"/>
                <w:color w:val="auto"/>
              </w:rPr>
              <w:t>U.S.</w:t>
            </w: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72,234</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61,861</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56,251</w:t>
            </w:r>
          </w:p>
        </w:tc>
        <w:tc>
          <w:tcPr>
            <w:tcW w:w="4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140,721</w:t>
            </w: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138,709</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144,812</w:t>
            </w:r>
          </w:p>
        </w:tc>
      </w:tr>
      <w:tr>
        <w:trPr>
          <w:trHeight w:val="178"/>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8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10,178</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19,236</w:t>
            </w: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5,419</w:t>
            </w: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27,386</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37,640</w:t>
            </w: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23,067</w:t>
            </w:r>
          </w:p>
        </w:tc>
      </w:tr>
      <w:tr>
        <w:trPr>
          <w:trHeight w:val="16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Sub-total</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289,996</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273,457</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315,185</w:t>
            </w:r>
          </w:p>
        </w:tc>
        <w:tc>
          <w:tcPr>
            <w:tcW w:w="4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575,912</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632,403</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637,506</w:t>
            </w:r>
          </w:p>
        </w:tc>
      </w:tr>
      <w:tr>
        <w:trPr>
          <w:trHeight w:val="16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8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(59,057)</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(116,489)</w:t>
            </w:r>
          </w:p>
        </w:tc>
        <w:tc>
          <w:tcPr>
            <w:tcW w:w="4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(114,617)</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(118,003)</w:t>
            </w: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(232,987)</w:t>
            </w:r>
          </w:p>
        </w:tc>
        <w:tc>
          <w:tcPr>
            <w:tcW w:w="4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(229,295)</w:t>
            </w:r>
          </w:p>
        </w:tc>
      </w:tr>
      <w:tr>
        <w:trPr>
          <w:trHeight w:val="16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230,939</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156,968</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200,568</w:t>
            </w:r>
          </w:p>
        </w:tc>
        <w:tc>
          <w:tcPr>
            <w:tcW w:w="4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457,909</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399,416</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408,211</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gridSpan w:val="4"/>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6"/>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86"/>
        </w:trPr>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0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r>
      <w:tr>
        <w:trPr>
          <w:trHeight w:val="178"/>
        </w:trPr>
        <w:tc>
          <w:tcPr>
            <w:tcW w:w="26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7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900" w:type="dxa"/>
            <w:vAlign w:val="bottom"/>
            <w:tcBorders>
              <w:bottom w:val="single" w:sz="8" w:color="auto"/>
            </w:tcBorders>
            <w:shd w:val="clear" w:color="auto" w:fill="CCEEFF"/>
          </w:tcPr>
          <w:p>
            <w:pPr>
              <w:spacing w:after="0"/>
              <w:rPr>
                <w:sz w:val="15"/>
                <w:szCs w:val="15"/>
                <w:color w:val="auto"/>
              </w:rPr>
            </w:pPr>
          </w:p>
        </w:tc>
      </w:tr>
      <w:tr>
        <w:trPr>
          <w:trHeight w:val="124"/>
        </w:trPr>
        <w:tc>
          <w:tcPr>
            <w:tcW w:w="2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0"/>
                <w:szCs w:val="10"/>
                <w:color w:val="auto"/>
              </w:rPr>
            </w:pP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0"/>
                <w:szCs w:val="10"/>
                <w:color w:val="auto"/>
              </w:rPr>
            </w:pPr>
          </w:p>
        </w:tc>
        <w:tc>
          <w:tcPr>
            <w:tcW w:w="114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10"/>
                <w:szCs w:val="10"/>
                <w:color w:val="auto"/>
              </w:rPr>
            </w:pPr>
          </w:p>
        </w:tc>
        <w:tc>
          <w:tcPr>
            <w:tcW w:w="9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2023</w:t>
            </w:r>
          </w:p>
        </w:tc>
      </w:tr>
      <w:tr>
        <w:trPr>
          <w:trHeight w:val="178"/>
        </w:trPr>
        <w:tc>
          <w:tcPr>
            <w:tcW w:w="2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Restated)</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Restated)</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9"/>
        </w:trPr>
        <w:tc>
          <w:tcPr>
            <w:tcW w:w="2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7"/>
        </w:trPr>
        <w:tc>
          <w:tcPr>
            <w:tcW w:w="2600" w:type="dxa"/>
            <w:vAlign w:val="bottom"/>
          </w:tcPr>
          <w:p>
            <w:pPr>
              <w:ind w:left="20"/>
              <w:spacing w:after="0"/>
              <w:rPr>
                <w:sz w:val="20"/>
                <w:szCs w:val="20"/>
                <w:color w:val="auto"/>
              </w:rPr>
            </w:pPr>
            <w:r>
              <w:rPr>
                <w:rFonts w:ascii="Arial" w:cs="Arial" w:eastAsia="Arial" w:hAnsi="Arial"/>
                <w:sz w:val="13"/>
                <w:szCs w:val="13"/>
                <w:color w:val="auto"/>
              </w:rPr>
              <w:t>Ireland</w:t>
            </w: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164,983</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228,554</w:t>
            </w: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224,324</w:t>
            </w:r>
          </w:p>
        </w:tc>
        <w:tc>
          <w:tcPr>
            <w:tcW w:w="48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527,967</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592,501</w:t>
            </w: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611,831</w:t>
            </w:r>
          </w:p>
        </w:tc>
      </w:tr>
      <w:tr>
        <w:trPr>
          <w:trHeight w:val="179"/>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51,040</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55,194</w:t>
            </w: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56,569</w:t>
            </w:r>
          </w:p>
        </w:tc>
        <w:tc>
          <w:tcPr>
            <w:tcW w:w="4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95,861</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147,301</w:t>
            </w: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138,689</w:t>
            </w:r>
          </w:p>
        </w:tc>
      </w:tr>
      <w:tr>
        <w:trPr>
          <w:trHeight w:val="177"/>
        </w:trPr>
        <w:tc>
          <w:tcPr>
            <w:tcW w:w="2600" w:type="dxa"/>
            <w:vAlign w:val="bottom"/>
          </w:tcPr>
          <w:p>
            <w:pPr>
              <w:ind w:left="20"/>
              <w:spacing w:after="0"/>
              <w:rPr>
                <w:sz w:val="20"/>
                <w:szCs w:val="20"/>
                <w:color w:val="auto"/>
              </w:rPr>
            </w:pPr>
            <w:r>
              <w:rPr>
                <w:rFonts w:ascii="Arial" w:cs="Arial" w:eastAsia="Arial" w:hAnsi="Arial"/>
                <w:sz w:val="13"/>
                <w:szCs w:val="13"/>
                <w:color w:val="auto"/>
              </w:rPr>
              <w:t>U.S.</w:t>
            </w: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68,182</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59,610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70,320</w:t>
            </w:r>
          </w:p>
        </w:tc>
        <w:tc>
          <w:tcPr>
            <w:tcW w:w="4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208,903</w:t>
            </w: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198,319</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215,132</w:t>
            </w:r>
          </w:p>
        </w:tc>
      </w:tr>
      <w:tr>
        <w:trPr>
          <w:trHeight w:val="178"/>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8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16,848</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17,237</w:t>
            </w: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16,280</w:t>
            </w: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44,234</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54,877</w:t>
            </w: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39,347</w:t>
            </w:r>
          </w:p>
        </w:tc>
      </w:tr>
      <w:tr>
        <w:trPr>
          <w:trHeight w:val="16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Sub-total</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301,053</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360,595</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367,493</w:t>
            </w:r>
          </w:p>
        </w:tc>
        <w:tc>
          <w:tcPr>
            <w:tcW w:w="4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876,965</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992,998</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1,004,999</w:t>
            </w:r>
          </w:p>
        </w:tc>
      </w:tr>
      <w:tr>
        <w:trPr>
          <w:trHeight w:val="17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8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(58,688)</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(58,026)</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(114,573)</w:t>
            </w:r>
          </w:p>
        </w:tc>
        <w:tc>
          <w:tcPr>
            <w:tcW w:w="4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(176,691)</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(291,013)</w:t>
            </w: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(343,868)</w:t>
            </w:r>
          </w:p>
        </w:tc>
      </w:tr>
      <w:tr>
        <w:trPr>
          <w:trHeight w:val="177"/>
        </w:trPr>
        <w:tc>
          <w:tcPr>
            <w:tcW w:w="2600" w:type="dxa"/>
            <w:vAlign w:val="bottom"/>
          </w:tcPr>
          <w:p>
            <w:pPr>
              <w:ind w:left="20"/>
              <w:spacing w:after="0"/>
              <w:rPr>
                <w:sz w:val="20"/>
                <w:szCs w:val="20"/>
                <w:color w:val="auto"/>
              </w:rPr>
            </w:pPr>
            <w:r>
              <w:rPr>
                <w:rFonts w:ascii="Arial" w:cs="Arial" w:eastAsia="Arial" w:hAnsi="Arial"/>
                <w:sz w:val="13"/>
                <w:szCs w:val="13"/>
                <w:color w:val="auto"/>
              </w:rPr>
              <w:t>Goodwill impairment</w:t>
            </w:r>
          </w:p>
        </w:tc>
        <w:tc>
          <w:tcPr>
            <w:tcW w:w="8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(364,248)</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(364,248)</w:t>
            </w: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Impairment of non-financial assets</w:t>
            </w:r>
          </w:p>
        </w:tc>
        <w:tc>
          <w:tcPr>
            <w:tcW w:w="8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(101,027)</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(101,027)</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(222,910)</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302,569</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252,920</w:t>
            </w:r>
          </w:p>
        </w:tc>
        <w:tc>
          <w:tcPr>
            <w:tcW w:w="4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234,999</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701,985</w:t>
            </w: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661,131</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763"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Management’s discussion and analysis of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Restatement of Previously Issued Condensed Consolidated Financial Statements</w:t>
      </w:r>
    </w:p>
    <w:p>
      <w:pPr>
        <w:spacing w:after="0" w:line="217"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updates the corresponding discussions in the Affected Form 6-K Reports to give effect to the restatement of the Company's previously issued unaudited condensed consolidated financial statements and related disclosures included in the Affected Form 6-K Reports. The following should be read in conjunction with the audited consolidated financial statements and related footnotes included in our Form 20-F.</w:t>
      </w:r>
    </w:p>
    <w:p>
      <w:pPr>
        <w:spacing w:after="0" w:line="158" w:lineRule="exact"/>
        <w:rPr>
          <w:sz w:val="20"/>
          <w:szCs w:val="20"/>
          <w:color w:val="auto"/>
        </w:rPr>
      </w:pPr>
    </w:p>
    <w:p>
      <w:pPr>
        <w:jc w:val="both"/>
        <w:ind w:firstLine="533"/>
        <w:spacing w:after="0" w:line="290" w:lineRule="auto"/>
        <w:rPr>
          <w:sz w:val="20"/>
          <w:szCs w:val="20"/>
          <w:color w:val="auto"/>
        </w:rPr>
      </w:pPr>
      <w:r>
        <w:rPr>
          <w:rFonts w:ascii="Arial" w:cs="Arial" w:eastAsia="Arial" w:hAnsi="Arial"/>
          <w:sz w:val="13"/>
          <w:szCs w:val="13"/>
          <w:color w:val="auto"/>
        </w:rPr>
        <w:t xml:space="preserve">Detailed restatements of the Company’s consolidated financial statements for the years ended December 31, 2024 and December 31, 2023 are provided in Note 1A. </w:t>
      </w:r>
      <w:r>
        <w:rPr>
          <w:rFonts w:ascii="Arial" w:cs="Arial" w:eastAsia="Arial" w:hAnsi="Arial"/>
          <w:sz w:val="13"/>
          <w:szCs w:val="13"/>
          <w:i w:val="1"/>
          <w:iCs w:val="1"/>
          <w:color w:val="auto"/>
        </w:rPr>
        <w:t>Restatement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Previously Issued Consolidated Financial Statements </w:t>
      </w:r>
      <w:r>
        <w:rPr>
          <w:rFonts w:ascii="Arial" w:cs="Arial" w:eastAsia="Arial" w:hAnsi="Arial"/>
          <w:sz w:val="13"/>
          <w:szCs w:val="13"/>
          <w:color w:val="auto"/>
        </w:rPr>
        <w:t>in the Notes to the Consolidated Financial Statements of our Form 20-F.</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Results of Operations (Unaudited)</w:t>
      </w:r>
    </w:p>
    <w:p>
      <w:pPr>
        <w:spacing w:after="0" w:line="9" w:lineRule="exact"/>
        <w:rPr>
          <w:sz w:val="20"/>
          <w:szCs w:val="20"/>
          <w:color w:val="auto"/>
        </w:rPr>
      </w:pPr>
    </w:p>
    <w:p>
      <w:pPr>
        <w:jc w:val="both"/>
        <w:ind w:firstLine="533"/>
        <w:spacing w:after="0" w:line="246" w:lineRule="auto"/>
        <w:rPr>
          <w:sz w:val="20"/>
          <w:szCs w:val="20"/>
          <w:color w:val="auto"/>
        </w:rPr>
      </w:pPr>
      <w:r>
        <w:rPr>
          <w:rFonts w:ascii="Arial" w:cs="Arial" w:eastAsia="Arial" w:hAnsi="Arial"/>
          <w:sz w:val="13"/>
          <w:szCs w:val="13"/>
          <w:color w:val="auto"/>
        </w:rPr>
        <w:t>The following tables set forth our unaudited quarterly consolidated financial data for the fiscal quarters ended March 31, June 30, and September 30, 2025; March 31, June 30, and September 30, 2024 and March 31, June 30, and September 30, 2023. We have prepared the quarterly data on a basis consistent with our audited consolidated financial statements included in our Form 20-F and include, in our opinion, all adjustments necessary for a fair statement of the financial information contained in those statements. This information should be read in conjunction with the consolidated financial statements and related notes included elsewhere in this Form 6-K/A and our Form 20-F. The results of historical periods are not necessarily indicative of the results of operations for a full year or any future period.</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Three months ended March 31, 2025 compared to three months ended March 31, 2024; and three months ended March 31, 2024 compared to three months ended March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240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Three Months Ended March 31,</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3"/>
                <w:szCs w:val="13"/>
                <w:b w:val="1"/>
                <w:bCs w:val="1"/>
                <w:color w:val="auto"/>
              </w:rPr>
              <w:t>Percentage of Revenue</w:t>
            </w:r>
          </w:p>
        </w:tc>
        <w:tc>
          <w:tcPr>
            <w:tcW w:w="1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793"/>
              <w:spacing w:after="0"/>
              <w:rPr>
                <w:sz w:val="20"/>
                <w:szCs w:val="20"/>
                <w:color w:val="auto"/>
              </w:rPr>
            </w:pPr>
            <w:r>
              <w:rPr>
                <w:rFonts w:ascii="Arial" w:cs="Arial" w:eastAsia="Arial" w:hAnsi="Arial"/>
                <w:sz w:val="13"/>
                <w:szCs w:val="13"/>
                <w:b w:val="1"/>
                <w:bCs w:val="1"/>
                <w:color w:val="auto"/>
              </w:rPr>
              <w:t>Percentage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11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13"/>
              <w:spacing w:after="0" w:line="124" w:lineRule="exact"/>
              <w:rPr>
                <w:sz w:val="20"/>
                <w:szCs w:val="20"/>
                <w:color w:val="auto"/>
              </w:rPr>
            </w:pPr>
            <w:r>
              <w:rPr>
                <w:rFonts w:ascii="Arial" w:cs="Arial" w:eastAsia="Arial" w:hAnsi="Arial"/>
                <w:sz w:val="13"/>
                <w:szCs w:val="13"/>
                <w:b w:val="1"/>
                <w:bCs w:val="1"/>
                <w:color w:val="auto"/>
                <w:w w:val="96"/>
              </w:rPr>
              <w:t>2024</w:t>
            </w:r>
          </w:p>
        </w:tc>
        <w:tc>
          <w:tcPr>
            <w:tcW w:w="1380" w:type="dxa"/>
            <w:vAlign w:val="bottom"/>
            <w:shd w:val="clear" w:color="auto" w:fill="CCEEFF"/>
          </w:tcPr>
          <w:p>
            <w:pPr>
              <w:jc w:val="right"/>
              <w:ind w:right="13"/>
              <w:spacing w:after="0" w:line="124" w:lineRule="exact"/>
              <w:rPr>
                <w:sz w:val="20"/>
                <w:szCs w:val="20"/>
                <w:color w:val="auto"/>
              </w:rPr>
            </w:pPr>
            <w:r>
              <w:rPr>
                <w:rFonts w:ascii="Arial" w:cs="Arial" w:eastAsia="Arial" w:hAnsi="Arial"/>
                <w:sz w:val="13"/>
                <w:szCs w:val="13"/>
                <w:b w:val="1"/>
                <w:bCs w:val="1"/>
                <w:color w:val="auto"/>
              </w:rPr>
              <w:t>2023</w:t>
            </w:r>
          </w:p>
        </w:tc>
        <w:tc>
          <w:tcPr>
            <w:tcW w:w="54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373"/>
              <w:spacing w:after="0" w:line="124" w:lineRule="exact"/>
              <w:rPr>
                <w:sz w:val="20"/>
                <w:szCs w:val="20"/>
                <w:color w:val="auto"/>
              </w:rPr>
            </w:pPr>
            <w:r>
              <w:rPr>
                <w:rFonts w:ascii="Arial" w:cs="Arial" w:eastAsia="Arial" w:hAnsi="Arial"/>
                <w:sz w:val="13"/>
                <w:szCs w:val="13"/>
                <w:b w:val="1"/>
                <w:bCs w:val="1"/>
                <w:color w:val="auto"/>
              </w:rPr>
              <w:t>2025 vs 2024</w:t>
            </w:r>
          </w:p>
        </w:tc>
        <w:tc>
          <w:tcPr>
            <w:tcW w:w="10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 vs 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40" w:type="dxa"/>
            <w:vAlign w:val="bottom"/>
            <w:tcBorders>
              <w:bottom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(As Restated)</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(As Restated)</w:t>
            </w:r>
          </w:p>
        </w:tc>
        <w:tc>
          <w:tcPr>
            <w:tcW w:w="5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373"/>
              <w:spacing w:after="0"/>
              <w:rPr>
                <w:sz w:val="20"/>
                <w:szCs w:val="20"/>
                <w:color w:val="auto"/>
              </w:rPr>
            </w:pPr>
            <w:r>
              <w:rPr>
                <w:rFonts w:ascii="Arial" w:cs="Arial" w:eastAsia="Arial" w:hAnsi="Arial"/>
                <w:sz w:val="13"/>
                <w:szCs w:val="13"/>
                <w:b w:val="1"/>
                <w:bCs w:val="1"/>
                <w:color w:val="auto"/>
              </w:rPr>
              <w:t>(As Restated)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80" w:type="dxa"/>
            <w:vAlign w:val="bottom"/>
            <w:gridSpan w:val="3"/>
          </w:tcPr>
          <w:p>
            <w:pPr>
              <w:ind w:left="20"/>
              <w:spacing w:after="0"/>
              <w:rPr>
                <w:sz w:val="20"/>
                <w:szCs w:val="20"/>
                <w:color w:val="auto"/>
              </w:rPr>
            </w:pPr>
            <w:r>
              <w:rPr>
                <w:rFonts w:ascii="Arial" w:cs="Arial" w:eastAsia="Arial" w:hAnsi="Arial"/>
                <w:sz w:val="13"/>
                <w:szCs w:val="13"/>
                <w:color w:val="auto"/>
              </w:rPr>
              <w:t>Revenue</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1640" w:type="dxa"/>
            <w:vAlign w:val="bottom"/>
            <w:gridSpan w:val="2"/>
          </w:tcPr>
          <w:p>
            <w:pPr>
              <w:jc w:val="right"/>
              <w:ind w:right="113"/>
              <w:spacing w:after="0"/>
              <w:rPr>
                <w:sz w:val="20"/>
                <w:szCs w:val="20"/>
                <w:color w:val="auto"/>
              </w:rPr>
            </w:pPr>
            <w:r>
              <w:rPr>
                <w:rFonts w:ascii="Arial" w:cs="Arial" w:eastAsia="Arial" w:hAnsi="Arial"/>
                <w:sz w:val="13"/>
                <w:szCs w:val="13"/>
                <w:color w:val="auto"/>
              </w:rPr>
              <w:t>100.0 %</w:t>
            </w:r>
          </w:p>
        </w:tc>
        <w:tc>
          <w:tcPr>
            <w:tcW w:w="1380" w:type="dxa"/>
            <w:vAlign w:val="bottom"/>
          </w:tcPr>
          <w:p>
            <w:pPr>
              <w:jc w:val="right"/>
              <w:ind w:right="13"/>
              <w:spacing w:after="0"/>
              <w:rPr>
                <w:sz w:val="20"/>
                <w:szCs w:val="20"/>
                <w:color w:val="auto"/>
              </w:rPr>
            </w:pPr>
            <w:r>
              <w:rPr>
                <w:rFonts w:ascii="Arial" w:cs="Arial" w:eastAsia="Arial" w:hAnsi="Arial"/>
                <w:sz w:val="13"/>
                <w:szCs w:val="13"/>
                <w:color w:val="auto"/>
              </w:rPr>
              <w:t>100.0 %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Arial" w:cs="Arial" w:eastAsia="Arial" w:hAnsi="Arial"/>
                <w:sz w:val="13"/>
                <w:szCs w:val="13"/>
                <w:color w:val="auto"/>
              </w:rPr>
              <w:t>(1.4)%</w:t>
            </w:r>
          </w:p>
        </w:tc>
        <w:tc>
          <w:tcPr>
            <w:tcW w:w="1060" w:type="dxa"/>
            <w:vAlign w:val="bottom"/>
          </w:tcPr>
          <w:p>
            <w:pPr>
              <w:jc w:val="right"/>
              <w:spacing w:after="0"/>
              <w:rPr>
                <w:sz w:val="20"/>
                <w:szCs w:val="20"/>
                <w:color w:val="auto"/>
              </w:rPr>
            </w:pPr>
            <w:r>
              <w:rPr>
                <w:rFonts w:ascii="Arial" w:cs="Arial" w:eastAsia="Arial" w:hAnsi="Arial"/>
                <w:sz w:val="13"/>
                <w:szCs w:val="13"/>
                <w:color w:val="auto"/>
              </w:rPr>
              <w:t>3.9 %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Costs and expenses:</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Direct costs</w:t>
            </w:r>
          </w:p>
        </w:tc>
        <w:tc>
          <w:tcPr>
            <w:tcW w:w="10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color w:val="auto"/>
              </w:rPr>
              <w:t>71.9 %</w:t>
            </w:r>
          </w:p>
        </w:tc>
        <w:tc>
          <w:tcPr>
            <w:tcW w:w="1640" w:type="dxa"/>
            <w:vAlign w:val="bottom"/>
            <w:tcBorders>
              <w:top w:val="single" w:sz="8" w:color="CCEEFF"/>
            </w:tcBorders>
            <w:gridSpan w:val="2"/>
          </w:tcPr>
          <w:p>
            <w:pPr>
              <w:jc w:val="right"/>
              <w:ind w:right="113"/>
              <w:spacing w:after="0"/>
              <w:rPr>
                <w:sz w:val="20"/>
                <w:szCs w:val="20"/>
                <w:color w:val="auto"/>
              </w:rPr>
            </w:pPr>
            <w:r>
              <w:rPr>
                <w:rFonts w:ascii="Arial" w:cs="Arial" w:eastAsia="Arial" w:hAnsi="Arial"/>
                <w:sz w:val="13"/>
                <w:szCs w:val="13"/>
                <w:color w:val="auto"/>
              </w:rPr>
              <w:t>71.8 %</w:t>
            </w:r>
          </w:p>
        </w:tc>
        <w:tc>
          <w:tcPr>
            <w:tcW w:w="1380" w:type="dxa"/>
            <w:vAlign w:val="bottom"/>
            <w:tcBorders>
              <w:top w:val="single" w:sz="8" w:color="CCEEFF"/>
            </w:tcBorders>
          </w:tcPr>
          <w:p>
            <w:pPr>
              <w:jc w:val="right"/>
              <w:ind w:right="13"/>
              <w:spacing w:after="0"/>
              <w:rPr>
                <w:sz w:val="20"/>
                <w:szCs w:val="20"/>
                <w:color w:val="auto"/>
              </w:rPr>
            </w:pPr>
            <w:r>
              <w:rPr>
                <w:rFonts w:ascii="Arial" w:cs="Arial" w:eastAsia="Arial" w:hAnsi="Arial"/>
                <w:sz w:val="13"/>
                <w:szCs w:val="13"/>
                <w:color w:val="auto"/>
              </w:rPr>
              <w:t>70.8 %</w:t>
            </w:r>
          </w:p>
        </w:tc>
        <w:tc>
          <w:tcPr>
            <w:tcW w:w="5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jc w:val="right"/>
              <w:ind w:right="373"/>
              <w:spacing w:after="0"/>
              <w:rPr>
                <w:sz w:val="20"/>
                <w:szCs w:val="20"/>
                <w:color w:val="auto"/>
              </w:rPr>
            </w:pPr>
            <w:r>
              <w:rPr>
                <w:rFonts w:ascii="Arial" w:cs="Arial" w:eastAsia="Arial" w:hAnsi="Arial"/>
                <w:sz w:val="13"/>
                <w:szCs w:val="13"/>
                <w:color w:val="auto"/>
              </w:rPr>
              <w:t>(1.2)%</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5.4 %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7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Selling, general and administrative expense</w:t>
            </w: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16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8.7 %</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10.2 %</w:t>
            </w: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11.9 %</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60" w:type="dxa"/>
            <w:vAlign w:val="bottom"/>
            <w:gridSpan w:val="2"/>
          </w:tcPr>
          <w:p>
            <w:pPr>
              <w:ind w:left="100"/>
              <w:spacing w:after="0"/>
              <w:rPr>
                <w:sz w:val="20"/>
                <w:szCs w:val="20"/>
                <w:color w:val="auto"/>
              </w:rPr>
            </w:pPr>
            <w:r>
              <w:rPr>
                <w:rFonts w:ascii="Arial" w:cs="Arial" w:eastAsia="Arial" w:hAnsi="Arial"/>
                <w:sz w:val="13"/>
                <w:szCs w:val="13"/>
                <w:color w:val="auto"/>
              </w:rPr>
              <w:t>Depreciation</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1.8 %</w:t>
            </w:r>
          </w:p>
        </w:tc>
        <w:tc>
          <w:tcPr>
            <w:tcW w:w="1640" w:type="dxa"/>
            <w:vAlign w:val="bottom"/>
            <w:gridSpan w:val="2"/>
          </w:tcPr>
          <w:p>
            <w:pPr>
              <w:jc w:val="right"/>
              <w:ind w:right="113"/>
              <w:spacing w:after="0"/>
              <w:rPr>
                <w:sz w:val="20"/>
                <w:szCs w:val="20"/>
                <w:color w:val="auto"/>
              </w:rPr>
            </w:pPr>
            <w:r>
              <w:rPr>
                <w:rFonts w:ascii="Arial" w:cs="Arial" w:eastAsia="Arial" w:hAnsi="Arial"/>
                <w:sz w:val="13"/>
                <w:szCs w:val="13"/>
                <w:color w:val="auto"/>
              </w:rPr>
              <w:t>1.6 %</w:t>
            </w:r>
          </w:p>
        </w:tc>
        <w:tc>
          <w:tcPr>
            <w:tcW w:w="1380" w:type="dxa"/>
            <w:vAlign w:val="bottom"/>
          </w:tcPr>
          <w:p>
            <w:pPr>
              <w:jc w:val="right"/>
              <w:ind w:right="13"/>
              <w:spacing w:after="0"/>
              <w:rPr>
                <w:sz w:val="20"/>
                <w:szCs w:val="20"/>
                <w:color w:val="auto"/>
              </w:rPr>
            </w:pPr>
            <w:r>
              <w:rPr>
                <w:rFonts w:ascii="Arial" w:cs="Arial" w:eastAsia="Arial" w:hAnsi="Arial"/>
                <w:sz w:val="13"/>
                <w:szCs w:val="13"/>
                <w:color w:val="auto"/>
              </w:rPr>
              <w:t>1.5 %</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73"/>
              <w:spacing w:after="0"/>
              <w:rPr>
                <w:sz w:val="20"/>
                <w:szCs w:val="20"/>
                <w:color w:val="auto"/>
              </w:rPr>
            </w:pPr>
            <w:r>
              <w:rPr>
                <w:rFonts w:ascii="Arial" w:cs="Arial" w:eastAsia="Arial" w:hAnsi="Arial"/>
                <w:sz w:val="13"/>
                <w:szCs w:val="13"/>
                <w:color w:val="auto"/>
              </w:rPr>
              <w:t>13.2 %</w:t>
            </w:r>
          </w:p>
        </w:tc>
        <w:tc>
          <w:tcPr>
            <w:tcW w:w="1060" w:type="dxa"/>
            <w:vAlign w:val="bottom"/>
          </w:tcPr>
          <w:p>
            <w:pPr>
              <w:jc w:val="right"/>
              <w:spacing w:after="0"/>
              <w:rPr>
                <w:sz w:val="20"/>
                <w:szCs w:val="20"/>
                <w:color w:val="auto"/>
              </w:rPr>
            </w:pPr>
            <w:r>
              <w:rPr>
                <w:rFonts w:ascii="Arial" w:cs="Arial" w:eastAsia="Arial" w:hAnsi="Arial"/>
                <w:sz w:val="13"/>
                <w:szCs w:val="13"/>
                <w:color w:val="auto"/>
              </w:rPr>
              <w:t>7.3 %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164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5.7 %</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5.8 %</w:t>
            </w: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(49.4)%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60" w:type="dxa"/>
            <w:vAlign w:val="bottom"/>
            <w:gridSpan w:val="2"/>
          </w:tcPr>
          <w:p>
            <w:pPr>
              <w:ind w:left="100"/>
              <w:spacing w:after="0"/>
              <w:rPr>
                <w:sz w:val="20"/>
                <w:szCs w:val="20"/>
                <w:color w:val="auto"/>
              </w:rPr>
            </w:pPr>
            <w:r>
              <w:rPr>
                <w:rFonts w:ascii="Arial" w:cs="Arial" w:eastAsia="Arial" w:hAnsi="Arial"/>
                <w:sz w:val="13"/>
                <w:szCs w:val="13"/>
                <w:color w:val="auto"/>
              </w:rPr>
              <w:t>Transaction and integration related</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0.3 %</w:t>
            </w:r>
          </w:p>
        </w:tc>
        <w:tc>
          <w:tcPr>
            <w:tcW w:w="1640" w:type="dxa"/>
            <w:vAlign w:val="bottom"/>
            <w:gridSpan w:val="2"/>
          </w:tcPr>
          <w:p>
            <w:pPr>
              <w:jc w:val="right"/>
              <w:ind w:right="113"/>
              <w:spacing w:after="0"/>
              <w:rPr>
                <w:sz w:val="20"/>
                <w:szCs w:val="20"/>
                <w:color w:val="auto"/>
              </w:rPr>
            </w:pPr>
            <w:r>
              <w:rPr>
                <w:rFonts w:ascii="Arial" w:cs="Arial" w:eastAsia="Arial" w:hAnsi="Arial"/>
                <w:sz w:val="13"/>
                <w:szCs w:val="13"/>
                <w:color w:val="auto"/>
              </w:rPr>
              <w:t>0.3 %</w:t>
            </w:r>
          </w:p>
        </w:tc>
        <w:tc>
          <w:tcPr>
            <w:tcW w:w="1380" w:type="dxa"/>
            <w:vAlign w:val="bottom"/>
          </w:tcPr>
          <w:p>
            <w:pPr>
              <w:jc w:val="right"/>
              <w:ind w:right="13"/>
              <w:spacing w:after="0"/>
              <w:rPr>
                <w:sz w:val="20"/>
                <w:szCs w:val="20"/>
                <w:color w:val="auto"/>
              </w:rPr>
            </w:pPr>
            <w:r>
              <w:rPr>
                <w:rFonts w:ascii="Arial" w:cs="Arial" w:eastAsia="Arial" w:hAnsi="Arial"/>
                <w:sz w:val="13"/>
                <w:szCs w:val="13"/>
                <w:color w:val="auto"/>
              </w:rPr>
              <w:t>0.6 %</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73"/>
              <w:spacing w:after="0"/>
              <w:rPr>
                <w:sz w:val="20"/>
                <w:szCs w:val="20"/>
                <w:color w:val="auto"/>
              </w:rPr>
            </w:pPr>
            <w:r>
              <w:rPr>
                <w:rFonts w:ascii="Arial" w:cs="Arial" w:eastAsia="Arial" w:hAnsi="Arial"/>
                <w:sz w:val="13"/>
                <w:szCs w:val="13"/>
                <w:color w:val="auto"/>
              </w:rPr>
              <w:t>(22.7)%</w:t>
            </w:r>
          </w:p>
        </w:tc>
        <w:tc>
          <w:tcPr>
            <w:tcW w:w="1060" w:type="dxa"/>
            <w:vAlign w:val="bottom"/>
          </w:tcPr>
          <w:p>
            <w:pPr>
              <w:jc w:val="right"/>
              <w:spacing w:after="0"/>
              <w:rPr>
                <w:sz w:val="20"/>
                <w:szCs w:val="20"/>
                <w:color w:val="auto"/>
              </w:rPr>
            </w:pPr>
            <w:r>
              <w:rPr>
                <w:rFonts w:ascii="Arial" w:cs="Arial" w:eastAsia="Arial" w:hAnsi="Arial"/>
                <w:sz w:val="13"/>
                <w:szCs w:val="13"/>
                <w:color w:val="auto"/>
              </w:rPr>
              <w:t>(38.6)%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22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Restructuring</w:t>
            </w: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1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99"/>
              </w:rPr>
              <w:t>— %</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0.5 %</w:t>
            </w:r>
          </w:p>
        </w:tc>
        <w:tc>
          <w:tcPr>
            <w:tcW w:w="5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3"/>
                <w:szCs w:val="13"/>
                <w:color w:val="auto"/>
              </w:rPr>
              <w:t>NM</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Income from operations</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11.3 %</w:t>
            </w:r>
          </w:p>
        </w:tc>
        <w:tc>
          <w:tcPr>
            <w:tcW w:w="16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3"/>
                <w:szCs w:val="13"/>
                <w:color w:val="auto"/>
              </w:rPr>
              <w:t>11.9 %</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10.6 %</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(6.4)%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80" w:type="dxa"/>
            <w:vAlign w:val="bottom"/>
            <w:gridSpan w:val="3"/>
          </w:tcPr>
          <w:p>
            <w:pPr>
              <w:spacing w:after="0"/>
              <w:rPr>
                <w:sz w:val="20"/>
                <w:szCs w:val="20"/>
                <w:color w:val="auto"/>
              </w:rPr>
            </w:pPr>
            <w:r>
              <w:rPr>
                <w:rFonts w:ascii="Arial" w:cs="Arial" w:eastAsia="Arial" w:hAnsi="Arial"/>
                <w:sz w:val="13"/>
                <w:szCs w:val="13"/>
                <w:i w:val="1"/>
                <w:iCs w:val="1"/>
                <w:color w:val="auto"/>
              </w:rPr>
              <w:t>*NM – Not Meaningful</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020" w:type="dxa"/>
            <w:vAlign w:val="bottom"/>
            <w:tcBorders>
              <w:bottom w:val="single" w:sz="8" w:color="auto"/>
            </w:tcBorders>
            <w:gridSpan w:val="3"/>
            <w:shd w:val="clear" w:color="auto" w:fill="CCEEFF"/>
          </w:tcPr>
          <w:p>
            <w:pPr>
              <w:jc w:val="right"/>
              <w:ind w:right="493"/>
              <w:spacing w:after="0"/>
              <w:rPr>
                <w:sz w:val="20"/>
                <w:szCs w:val="20"/>
                <w:color w:val="auto"/>
              </w:rPr>
            </w:pPr>
            <w:r>
              <w:rPr>
                <w:rFonts w:ascii="Arial" w:cs="Arial" w:eastAsia="Arial" w:hAnsi="Arial"/>
                <w:sz w:val="13"/>
                <w:szCs w:val="13"/>
                <w:b w:val="1"/>
                <w:bCs w:val="1"/>
                <w:color w:val="auto"/>
              </w:rPr>
              <w:t>Three Months Ended March 31,</w:t>
            </w:r>
          </w:p>
        </w:tc>
        <w:tc>
          <w:tcPr>
            <w:tcW w:w="5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28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i w:val="1"/>
                <w:iCs w:val="1"/>
                <w:color w:val="auto"/>
              </w:rPr>
              <w:t>(in thousands)</w:t>
            </w: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180" w:type="dxa"/>
            <w:vAlign w:val="bottom"/>
            <w:shd w:val="clear" w:color="auto" w:fill="CCEEFF"/>
          </w:tcPr>
          <w:p>
            <w:pPr>
              <w:spacing w:after="0"/>
              <w:rPr>
                <w:sz w:val="10"/>
                <w:szCs w:val="10"/>
                <w:color w:val="auto"/>
              </w:rPr>
            </w:pPr>
          </w:p>
        </w:tc>
        <w:tc>
          <w:tcPr>
            <w:tcW w:w="1640" w:type="dxa"/>
            <w:vAlign w:val="bottom"/>
            <w:gridSpan w:val="2"/>
            <w:shd w:val="clear" w:color="auto" w:fill="CCEEFF"/>
          </w:tcPr>
          <w:p>
            <w:pPr>
              <w:jc w:val="right"/>
              <w:ind w:right="373"/>
              <w:spacing w:after="0" w:line="124" w:lineRule="exact"/>
              <w:rPr>
                <w:sz w:val="20"/>
                <w:szCs w:val="20"/>
                <w:color w:val="auto"/>
              </w:rPr>
            </w:pPr>
            <w:r>
              <w:rPr>
                <w:rFonts w:ascii="Arial" w:cs="Arial" w:eastAsia="Arial" w:hAnsi="Arial"/>
                <w:sz w:val="13"/>
                <w:szCs w:val="13"/>
                <w:b w:val="1"/>
                <w:bCs w:val="1"/>
                <w:color w:val="auto"/>
              </w:rPr>
              <w:t>2023</w:t>
            </w:r>
          </w:p>
        </w:tc>
        <w:tc>
          <w:tcPr>
            <w:tcW w:w="1380" w:type="dxa"/>
            <w:vAlign w:val="bottom"/>
            <w:shd w:val="clear" w:color="auto" w:fill="CCEEFF"/>
          </w:tcPr>
          <w:p>
            <w:pPr>
              <w:jc w:val="right"/>
              <w:ind w:right="153"/>
              <w:spacing w:after="0" w:line="124" w:lineRule="exact"/>
              <w:rPr>
                <w:sz w:val="20"/>
                <w:szCs w:val="20"/>
                <w:color w:val="auto"/>
              </w:rPr>
            </w:pPr>
            <w:r>
              <w:rPr>
                <w:rFonts w:ascii="Arial" w:cs="Arial" w:eastAsia="Arial" w:hAnsi="Arial"/>
                <w:sz w:val="13"/>
                <w:szCs w:val="13"/>
                <w:b w:val="1"/>
                <w:bCs w:val="1"/>
                <w:color w:val="auto"/>
              </w:rPr>
              <w:t>2025 vs 2024</w:t>
            </w: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right"/>
              <w:ind w:right="713"/>
              <w:spacing w:after="0" w:line="124" w:lineRule="exact"/>
              <w:rPr>
                <w:sz w:val="20"/>
                <w:szCs w:val="20"/>
                <w:color w:val="auto"/>
              </w:rPr>
            </w:pPr>
            <w:r>
              <w:rPr>
                <w:rFonts w:ascii="Arial" w:cs="Arial" w:eastAsia="Arial" w:hAnsi="Arial"/>
                <w:sz w:val="13"/>
                <w:szCs w:val="13"/>
                <w:b w:val="1"/>
                <w:bCs w:val="1"/>
                <w:color w:val="auto"/>
              </w:rPr>
              <w:t>2024 vs 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280" w:type="dxa"/>
            <w:vAlign w:val="bottom"/>
            <w:tcBorders>
              <w:bottom w:val="single" w:sz="8" w:color="auto"/>
            </w:tcBorders>
            <w:gridSpan w:val="3"/>
            <w:vMerge w:val="continue"/>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2"/>
            <w:shd w:val="clear" w:color="auto" w:fill="CCEEFF"/>
          </w:tcPr>
          <w:p>
            <w:pPr>
              <w:jc w:val="right"/>
              <w:ind w:right="373"/>
              <w:spacing w:after="0"/>
              <w:rPr>
                <w:sz w:val="20"/>
                <w:szCs w:val="20"/>
                <w:color w:val="auto"/>
              </w:rPr>
            </w:pPr>
            <w:r>
              <w:rPr>
                <w:rFonts w:ascii="Arial" w:cs="Arial" w:eastAsia="Arial" w:hAnsi="Arial"/>
                <w:sz w:val="13"/>
                <w:szCs w:val="13"/>
                <w:b w:val="1"/>
                <w:bCs w:val="1"/>
                <w:color w:val="auto"/>
              </w:rPr>
              <w:t>(As Restated)</w:t>
            </w: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(As Restated)</w:t>
            </w:r>
          </w:p>
        </w:tc>
        <w:tc>
          <w:tcPr>
            <w:tcW w:w="5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gridSpan w:val="2"/>
            <w:shd w:val="clear" w:color="auto" w:fill="CCEEFF"/>
          </w:tcPr>
          <w:p>
            <w:pPr>
              <w:jc w:val="right"/>
              <w:ind w:right="693"/>
              <w:spacing w:after="0"/>
              <w:rPr>
                <w:sz w:val="20"/>
                <w:szCs w:val="20"/>
                <w:color w:val="auto"/>
              </w:rPr>
            </w:pPr>
            <w:r>
              <w:rPr>
                <w:rFonts w:ascii="Arial" w:cs="Arial" w:eastAsia="Arial" w:hAnsi="Arial"/>
                <w:sz w:val="13"/>
                <w:szCs w:val="13"/>
                <w:b w:val="1"/>
                <w:bCs w:val="1"/>
                <w:color w:val="auto"/>
              </w:rPr>
              <w:t>(As 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80" w:type="dxa"/>
            <w:vAlign w:val="bottom"/>
            <w:gridSpan w:val="3"/>
          </w:tcPr>
          <w:p>
            <w:pPr>
              <w:ind w:left="20"/>
              <w:spacing w:after="0"/>
              <w:rPr>
                <w:sz w:val="20"/>
                <w:szCs w:val="20"/>
                <w:color w:val="auto"/>
              </w:rPr>
            </w:pPr>
            <w:r>
              <w:rPr>
                <w:rFonts w:ascii="Arial" w:cs="Arial" w:eastAsia="Arial" w:hAnsi="Arial"/>
                <w:sz w:val="13"/>
                <w:szCs w:val="13"/>
                <w:color w:val="auto"/>
              </w:rPr>
              <w:t>Revenue</w:t>
            </w:r>
          </w:p>
        </w:tc>
        <w:tc>
          <w:tcPr>
            <w:tcW w:w="52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2,015,320</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2,043,254</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1,965,808</w:t>
            </w:r>
          </w:p>
        </w:tc>
        <w:tc>
          <w:tcPr>
            <w:tcW w:w="480" w:type="dxa"/>
            <w:vAlign w:val="bottom"/>
          </w:tcPr>
          <w:p>
            <w:pPr>
              <w:ind w:left="8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633"/>
              <w:spacing w:after="0"/>
              <w:rPr>
                <w:sz w:val="20"/>
                <w:szCs w:val="20"/>
                <w:color w:val="auto"/>
              </w:rPr>
            </w:pPr>
            <w:r>
              <w:rPr>
                <w:rFonts w:ascii="Arial" w:cs="Arial" w:eastAsia="Arial" w:hAnsi="Arial"/>
                <w:sz w:val="13"/>
                <w:szCs w:val="13"/>
                <w:color w:val="auto"/>
              </w:rPr>
              <w:t>(27,934)</w:t>
            </w:r>
          </w:p>
        </w:tc>
        <w:tc>
          <w:tcPr>
            <w:tcW w:w="540" w:type="dxa"/>
            <w:vAlign w:val="bottom"/>
          </w:tcPr>
          <w:p>
            <w:pPr>
              <w:jc w:val="right"/>
              <w:spacing w:after="0"/>
              <w:rPr>
                <w:sz w:val="20"/>
                <w:szCs w:val="20"/>
                <w:color w:val="auto"/>
              </w:rPr>
            </w:pPr>
            <w:r>
              <w:rPr>
                <w:rFonts w:ascii="Arial" w:cs="Arial" w:eastAsia="Arial" w:hAnsi="Arial"/>
                <w:sz w:val="13"/>
                <w:szCs w:val="13"/>
                <w:color w:val="auto"/>
              </w:rPr>
              <w:t>(1.4)%</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77,446</w:t>
            </w:r>
          </w:p>
        </w:tc>
        <w:tc>
          <w:tcPr>
            <w:tcW w:w="1060" w:type="dxa"/>
            <w:vAlign w:val="bottom"/>
          </w:tcPr>
          <w:p>
            <w:pPr>
              <w:jc w:val="right"/>
              <w:spacing w:after="0"/>
              <w:rPr>
                <w:sz w:val="20"/>
                <w:szCs w:val="20"/>
                <w:color w:val="auto"/>
              </w:rPr>
            </w:pPr>
            <w:r>
              <w:rPr>
                <w:rFonts w:ascii="Arial" w:cs="Arial" w:eastAsia="Arial" w:hAnsi="Arial"/>
                <w:sz w:val="13"/>
                <w:szCs w:val="13"/>
                <w:color w:val="auto"/>
              </w:rPr>
              <w:t>3.9 %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Costs and expenses:</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Direct costs</w:t>
            </w:r>
          </w:p>
        </w:tc>
        <w:tc>
          <w:tcPr>
            <w:tcW w:w="10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1,449,258</w:t>
            </w:r>
          </w:p>
        </w:tc>
        <w:tc>
          <w:tcPr>
            <w:tcW w:w="30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1,467,284</w:t>
            </w: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1,391,922</w:t>
            </w:r>
          </w:p>
        </w:tc>
        <w:tc>
          <w:tcPr>
            <w:tcW w:w="48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jc w:val="right"/>
              <w:ind w:right="633"/>
              <w:spacing w:after="0"/>
              <w:rPr>
                <w:sz w:val="20"/>
                <w:szCs w:val="20"/>
                <w:color w:val="auto"/>
              </w:rPr>
            </w:pPr>
            <w:r>
              <w:rPr>
                <w:rFonts w:ascii="Arial" w:cs="Arial" w:eastAsia="Arial" w:hAnsi="Arial"/>
                <w:sz w:val="13"/>
                <w:szCs w:val="13"/>
                <w:color w:val="auto"/>
              </w:rPr>
              <w:t>(18,026)</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(1.2)%</w:t>
            </w:r>
          </w:p>
        </w:tc>
        <w:tc>
          <w:tcPr>
            <w:tcW w:w="2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jc w:val="right"/>
              <w:ind w:right="173"/>
              <w:spacing w:after="0"/>
              <w:rPr>
                <w:sz w:val="20"/>
                <w:szCs w:val="20"/>
                <w:color w:val="auto"/>
              </w:rPr>
            </w:pPr>
            <w:r>
              <w:rPr>
                <w:rFonts w:ascii="Arial" w:cs="Arial" w:eastAsia="Arial" w:hAnsi="Arial"/>
                <w:sz w:val="13"/>
                <w:szCs w:val="13"/>
                <w:color w:val="auto"/>
              </w:rPr>
              <w:t>75,362</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5.4 %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Selling, general and administrative</w:t>
            </w: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198,384</w:t>
            </w: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177,350</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200,006</w:t>
            </w: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jc w:val="right"/>
              <w:ind w:right="673"/>
              <w:spacing w:after="0" w:line="136" w:lineRule="exact"/>
              <w:rPr>
                <w:sz w:val="20"/>
                <w:szCs w:val="20"/>
                <w:color w:val="auto"/>
              </w:rPr>
            </w:pPr>
            <w:r>
              <w:rPr>
                <w:rFonts w:ascii="Arial" w:cs="Arial" w:eastAsia="Arial" w:hAnsi="Arial"/>
                <w:sz w:val="13"/>
                <w:szCs w:val="13"/>
                <w:color w:val="auto"/>
              </w:rPr>
              <w:t>21,034</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11.9 %</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33"/>
              <w:spacing w:after="0" w:line="136" w:lineRule="exact"/>
              <w:rPr>
                <w:sz w:val="20"/>
                <w:szCs w:val="20"/>
                <w:color w:val="auto"/>
              </w:rPr>
            </w:pPr>
            <w:r>
              <w:rPr>
                <w:rFonts w:ascii="Arial" w:cs="Arial" w:eastAsia="Arial" w:hAnsi="Arial"/>
                <w:sz w:val="13"/>
                <w:szCs w:val="13"/>
                <w:color w:val="auto"/>
              </w:rPr>
              <w:t>(22,656)</w:t>
            </w:r>
          </w:p>
        </w:tc>
        <w:tc>
          <w:tcPr>
            <w:tcW w:w="10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expense</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60" w:type="dxa"/>
            <w:vAlign w:val="bottom"/>
            <w:gridSpan w:val="2"/>
          </w:tcPr>
          <w:p>
            <w:pPr>
              <w:ind w:left="100"/>
              <w:spacing w:after="0"/>
              <w:rPr>
                <w:sz w:val="20"/>
                <w:szCs w:val="20"/>
                <w:color w:val="auto"/>
              </w:rPr>
            </w:pPr>
            <w:r>
              <w:rPr>
                <w:rFonts w:ascii="Arial" w:cs="Arial" w:eastAsia="Arial" w:hAnsi="Arial"/>
                <w:sz w:val="13"/>
                <w:szCs w:val="13"/>
                <w:color w:val="auto"/>
              </w:rPr>
              <w:t>Depreciation</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37,012</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32,683</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30,448</w:t>
            </w:r>
          </w:p>
        </w:tc>
        <w:tc>
          <w:tcPr>
            <w:tcW w:w="480" w:type="dxa"/>
            <w:vAlign w:val="bottom"/>
          </w:tcPr>
          <w:p>
            <w:pPr>
              <w:spacing w:after="0"/>
              <w:rPr>
                <w:sz w:val="15"/>
                <w:szCs w:val="15"/>
                <w:color w:val="auto"/>
              </w:rPr>
            </w:pPr>
          </w:p>
        </w:tc>
        <w:tc>
          <w:tcPr>
            <w:tcW w:w="1380" w:type="dxa"/>
            <w:vAlign w:val="bottom"/>
          </w:tcPr>
          <w:p>
            <w:pPr>
              <w:jc w:val="right"/>
              <w:ind w:right="673"/>
              <w:spacing w:after="0"/>
              <w:rPr>
                <w:sz w:val="20"/>
                <w:szCs w:val="20"/>
                <w:color w:val="auto"/>
              </w:rPr>
            </w:pPr>
            <w:r>
              <w:rPr>
                <w:rFonts w:ascii="Arial" w:cs="Arial" w:eastAsia="Arial" w:hAnsi="Arial"/>
                <w:sz w:val="13"/>
                <w:szCs w:val="13"/>
                <w:color w:val="auto"/>
              </w:rPr>
              <w:t>4,329</w:t>
            </w:r>
          </w:p>
        </w:tc>
        <w:tc>
          <w:tcPr>
            <w:tcW w:w="540" w:type="dxa"/>
            <w:vAlign w:val="bottom"/>
          </w:tcPr>
          <w:p>
            <w:pPr>
              <w:jc w:val="right"/>
              <w:spacing w:after="0"/>
              <w:rPr>
                <w:sz w:val="20"/>
                <w:szCs w:val="20"/>
                <w:color w:val="auto"/>
              </w:rPr>
            </w:pPr>
            <w:r>
              <w:rPr>
                <w:rFonts w:ascii="Arial" w:cs="Arial" w:eastAsia="Arial" w:hAnsi="Arial"/>
                <w:sz w:val="13"/>
                <w:szCs w:val="13"/>
                <w:color w:val="auto"/>
              </w:rPr>
              <w:t>13.2 %</w:t>
            </w:r>
          </w:p>
        </w:tc>
        <w:tc>
          <w:tcPr>
            <w:tcW w:w="260" w:type="dxa"/>
            <w:vAlign w:val="bottom"/>
          </w:tcPr>
          <w:p>
            <w:pPr>
              <w:spacing w:after="0"/>
              <w:rPr>
                <w:sz w:val="15"/>
                <w:szCs w:val="15"/>
                <w:color w:val="auto"/>
              </w:rPr>
            </w:pP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2,235</w:t>
            </w:r>
          </w:p>
        </w:tc>
        <w:tc>
          <w:tcPr>
            <w:tcW w:w="1060" w:type="dxa"/>
            <w:vAlign w:val="bottom"/>
          </w:tcPr>
          <w:p>
            <w:pPr>
              <w:jc w:val="right"/>
              <w:spacing w:after="0"/>
              <w:rPr>
                <w:sz w:val="20"/>
                <w:szCs w:val="20"/>
                <w:color w:val="auto"/>
              </w:rPr>
            </w:pPr>
            <w:r>
              <w:rPr>
                <w:rFonts w:ascii="Arial" w:cs="Arial" w:eastAsia="Arial" w:hAnsi="Arial"/>
                <w:sz w:val="13"/>
                <w:szCs w:val="13"/>
                <w:color w:val="auto"/>
              </w:rPr>
              <w:t>7.3 %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58,946</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116,498</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114,678</w:t>
            </w: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33"/>
              <w:spacing w:after="0"/>
              <w:rPr>
                <w:sz w:val="20"/>
                <w:szCs w:val="20"/>
                <w:color w:val="auto"/>
              </w:rPr>
            </w:pPr>
            <w:r>
              <w:rPr>
                <w:rFonts w:ascii="Arial" w:cs="Arial" w:eastAsia="Arial" w:hAnsi="Arial"/>
                <w:sz w:val="13"/>
                <w:szCs w:val="13"/>
                <w:color w:val="auto"/>
              </w:rPr>
              <w:t>(57,552)</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1,820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60" w:type="dxa"/>
            <w:vAlign w:val="bottom"/>
            <w:gridSpan w:val="2"/>
          </w:tcPr>
          <w:p>
            <w:pPr>
              <w:ind w:left="100"/>
              <w:spacing w:after="0"/>
              <w:rPr>
                <w:sz w:val="20"/>
                <w:szCs w:val="20"/>
                <w:color w:val="auto"/>
              </w:rPr>
            </w:pPr>
            <w:r>
              <w:rPr>
                <w:rFonts w:ascii="Arial" w:cs="Arial" w:eastAsia="Arial" w:hAnsi="Arial"/>
                <w:sz w:val="13"/>
                <w:szCs w:val="13"/>
                <w:color w:val="auto"/>
              </w:rPr>
              <w:t>Transaction and integration related</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5,404</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6,991</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11,382</w:t>
            </w:r>
          </w:p>
        </w:tc>
        <w:tc>
          <w:tcPr>
            <w:tcW w:w="480" w:type="dxa"/>
            <w:vAlign w:val="bottom"/>
          </w:tcPr>
          <w:p>
            <w:pPr>
              <w:spacing w:after="0"/>
              <w:rPr>
                <w:sz w:val="15"/>
                <w:szCs w:val="15"/>
                <w:color w:val="auto"/>
              </w:rPr>
            </w:pPr>
          </w:p>
        </w:tc>
        <w:tc>
          <w:tcPr>
            <w:tcW w:w="1380" w:type="dxa"/>
            <w:vAlign w:val="bottom"/>
          </w:tcPr>
          <w:p>
            <w:pPr>
              <w:jc w:val="right"/>
              <w:ind w:right="633"/>
              <w:spacing w:after="0"/>
              <w:rPr>
                <w:sz w:val="20"/>
                <w:szCs w:val="20"/>
                <w:color w:val="auto"/>
              </w:rPr>
            </w:pPr>
            <w:r>
              <w:rPr>
                <w:rFonts w:ascii="Arial" w:cs="Arial" w:eastAsia="Arial" w:hAnsi="Arial"/>
                <w:sz w:val="13"/>
                <w:szCs w:val="13"/>
                <w:color w:val="auto"/>
              </w:rPr>
              <w:t>(1,587)</w:t>
            </w:r>
          </w:p>
        </w:tc>
        <w:tc>
          <w:tcPr>
            <w:tcW w:w="540" w:type="dxa"/>
            <w:vAlign w:val="bottom"/>
          </w:tcPr>
          <w:p>
            <w:pPr>
              <w:jc w:val="right"/>
              <w:spacing w:after="0"/>
              <w:rPr>
                <w:sz w:val="20"/>
                <w:szCs w:val="20"/>
                <w:color w:val="auto"/>
              </w:rPr>
            </w:pPr>
            <w:r>
              <w:rPr>
                <w:rFonts w:ascii="Arial" w:cs="Arial" w:eastAsia="Arial" w:hAnsi="Arial"/>
                <w:sz w:val="13"/>
                <w:szCs w:val="13"/>
                <w:color w:val="auto"/>
              </w:rPr>
              <w:t>(22.7)%</w:t>
            </w:r>
          </w:p>
        </w:tc>
        <w:tc>
          <w:tcPr>
            <w:tcW w:w="26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(4,391)</w:t>
            </w:r>
          </w:p>
        </w:tc>
        <w:tc>
          <w:tcPr>
            <w:tcW w:w="1060" w:type="dxa"/>
            <w:vAlign w:val="bottom"/>
          </w:tcPr>
          <w:p>
            <w:pPr>
              <w:jc w:val="right"/>
              <w:spacing w:after="0"/>
              <w:rPr>
                <w:sz w:val="20"/>
                <w:szCs w:val="20"/>
                <w:color w:val="auto"/>
              </w:rPr>
            </w:pPr>
            <w:r>
              <w:rPr>
                <w:rFonts w:ascii="Arial" w:cs="Arial" w:eastAsia="Arial" w:hAnsi="Arial"/>
                <w:sz w:val="13"/>
                <w:szCs w:val="13"/>
                <w:color w:val="auto"/>
              </w:rPr>
              <w:t>(38.6)%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22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Restructuring</w:t>
            </w: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39,346</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9,729</w:t>
            </w:r>
          </w:p>
        </w:tc>
        <w:tc>
          <w:tcPr>
            <w:tcW w:w="4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3"/>
                <w:szCs w:val="13"/>
                <w:color w:val="auto"/>
              </w:rPr>
              <w:t>39,346</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(9,729)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Income from operations</w:t>
            </w:r>
          </w:p>
        </w:tc>
        <w:tc>
          <w:tcPr>
            <w:tcW w:w="5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226,970</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242,448</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207,643</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rPr>
              <w:t>(15,478)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34,805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713"/>
              <w:spacing w:after="0"/>
              <w:rPr>
                <w:sz w:val="20"/>
                <w:szCs w:val="20"/>
                <w:color w:val="auto"/>
              </w:rPr>
            </w:pPr>
            <w:r>
              <w:rPr>
                <w:rFonts w:ascii="Arial" w:cs="Arial" w:eastAsia="Arial" w:hAnsi="Arial"/>
                <w:sz w:val="13"/>
                <w:szCs w:val="13"/>
                <w:color w:val="auto"/>
              </w:rPr>
              <w:t>36</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i w:val="1"/>
          <w:iCs w:val="1"/>
          <w:color w:val="auto"/>
        </w:rPr>
        <w:t>Revenue (as restated)</w:t>
      </w:r>
    </w:p>
    <w:p>
      <w:pPr>
        <w:spacing w:after="0" w:line="206" w:lineRule="exact"/>
        <w:rPr>
          <w:sz w:val="20"/>
          <w:szCs w:val="20"/>
          <w:color w:val="auto"/>
        </w:rPr>
      </w:pPr>
    </w:p>
    <w:p>
      <w:pPr>
        <w:jc w:val="both"/>
        <w:ind w:firstLine="533"/>
        <w:spacing w:after="0" w:line="272" w:lineRule="auto"/>
        <w:rPr>
          <w:sz w:val="20"/>
          <w:szCs w:val="20"/>
          <w:color w:val="auto"/>
        </w:rPr>
      </w:pPr>
      <w:r>
        <w:rPr>
          <w:rFonts w:ascii="Arial" w:cs="Arial" w:eastAsia="Arial" w:hAnsi="Arial"/>
          <w:sz w:val="13"/>
          <w:szCs w:val="13"/>
          <w:color w:val="auto"/>
        </w:rPr>
        <w:t>Revenue for the three months ended March 31, 2025 decreased by $27.9 million, or 1.4%, to $2,015.3 million, compared to $2,043.3 million for the three months ended March 31, 2024. Revenue for the three months ended March 31, 2024 increased by $77.4 million, or 3.9%, to $2,043.3 million, compared to $1,965.8 million for the three months ended March 31, 2023. Revenue for the three months ended March 31, 2025 decreased by 0.2% in constant currency terms compared to the three months ended March 31, 2024. Revenue for the three months ended March 31, 2024 increased by 3.7% in constant currency terms compared to the three months ended March 31, 2023. Revenue for the three months ended March 31, 2025 was impacted by the volatility and cautiousness present in the broader clinical development market. The increase in revenue for the three months ended March 31, 2024 is due to continued organic growth across the Company's markets.</w:t>
      </w:r>
    </w:p>
    <w:p>
      <w:pPr>
        <w:spacing w:after="0" w:line="162"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3"/>
          <w:szCs w:val="13"/>
          <w:color w:val="auto"/>
        </w:rPr>
        <w:t>During the three months ended March 31, 2025, we derived 33.4%, 55.1% and 11.5% of our revenue in the United States, Europe and Rest of World respectively. During the three months ended March 31, 2024, we derived 39.6%, 48.8% and 11.6% of our revenue in the United States, Europe and Rest of World respectively and for the three months ended March 31, 2023, we derived 42.9%, 46.5% and 10.6% of our revenue in the United States, Europe and Rest of World respectively. Revenues from our top five customers amounted to $496.1 million, $539.0 million and $567.9 million in the three months ended March 31, 2025, March 31, 2024 and March 31, 2023 respectively or 24.6%, 26.4% and 28.9% of total revenue respectively. New customer accounts are continually added across the full portfolio of large pharma customers, mid-tier pharma customers and biotech customers.</w:t>
      </w:r>
    </w:p>
    <w:p>
      <w:pPr>
        <w:spacing w:after="0" w:line="166"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3"/>
          <w:szCs w:val="13"/>
          <w:color w:val="auto"/>
        </w:rPr>
        <w:t>Revenue in Ireland increased by $127.0 million or 20.9% for the three months ended March 31, 2025, to $734.3 million, compared to $607.3 million for the three months ended March 31, 2024 and increased by $107.1 million or 21.4% for the three months ended March 31, 2024, to $607.3 million, compared to $500.2 million for the three months ended March 31, 2023. Revenue in Ireland during the three months ended March 31, 2025 increased by 20.9% compared to an overall decrease in Group revenue of 1.4%, and during the three months ended March 31, 2024, revenue in Ireland increased by 21.4% compared to an overall increase in Group revenue of 3.9%. Revenue in Ireland is principally a function of our global contracting model.</w:t>
      </w:r>
    </w:p>
    <w:p>
      <w:pPr>
        <w:spacing w:after="0" w:line="174" w:lineRule="exact"/>
        <w:rPr>
          <w:sz w:val="20"/>
          <w:szCs w:val="20"/>
          <w:color w:val="auto"/>
        </w:rPr>
      </w:pPr>
    </w:p>
    <w:p>
      <w:pPr>
        <w:jc w:val="both"/>
        <w:ind w:firstLine="533"/>
        <w:spacing w:after="0" w:line="291" w:lineRule="auto"/>
        <w:rPr>
          <w:sz w:val="20"/>
          <w:szCs w:val="20"/>
          <w:color w:val="auto"/>
        </w:rPr>
      </w:pPr>
      <w:r>
        <w:rPr>
          <w:rFonts w:ascii="Arial" w:cs="Arial" w:eastAsia="Arial" w:hAnsi="Arial"/>
          <w:sz w:val="13"/>
          <w:szCs w:val="13"/>
          <w:color w:val="auto"/>
        </w:rPr>
        <w:t>Revenue in our Rest of Europe region decreased by $13.7 million or 3.5% for the three months ended March 31, 2025, to $375.9 million compared to $389.6 million for the three months ended March 31, 2024 and decreased by $24.3 million or 5.9% for three months ended March 31, 2024 to $389.6 million, compared to $413.9 million for the three months ended March 31, 2023.</w:t>
      </w:r>
    </w:p>
    <w:p>
      <w:pPr>
        <w:spacing w:after="0" w:line="315" w:lineRule="exact"/>
        <w:rPr>
          <w:sz w:val="20"/>
          <w:szCs w:val="20"/>
          <w:color w:val="auto"/>
        </w:rPr>
      </w:pPr>
    </w:p>
    <w:p>
      <w:pPr>
        <w:jc w:val="both"/>
        <w:ind w:firstLine="533"/>
        <w:spacing w:after="0" w:line="291" w:lineRule="auto"/>
        <w:rPr>
          <w:sz w:val="20"/>
          <w:szCs w:val="20"/>
          <w:color w:val="auto"/>
        </w:rPr>
      </w:pPr>
      <w:r>
        <w:rPr>
          <w:rFonts w:ascii="Arial" w:cs="Arial" w:eastAsia="Arial" w:hAnsi="Arial"/>
          <w:sz w:val="13"/>
          <w:szCs w:val="13"/>
          <w:color w:val="auto"/>
        </w:rPr>
        <w:t>Revenue in the U.S. region decreased by $136.0 million or 16.8% for the three months ended March 31, 2025, to $672.4 million, compared to $808.4 million for the three months ended March 31, 2024 and decreased by $35.3 million or 4.2% for three months ended March 31, 2024, to $808.4 million, compared to $843.7 million for the three months ended March 31, 2023.</w:t>
      </w:r>
    </w:p>
    <w:p>
      <w:pPr>
        <w:spacing w:after="0" w:line="315"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3"/>
          <w:szCs w:val="13"/>
          <w:color w:val="auto"/>
        </w:rPr>
        <w:t>Revenue in the Rest of World region decreased by $5.3 million or 2.2% for the three months ended March 31, 2025, to $232.7 million, compared to $238.0 million for the three months ended March 31, 2024. Revenue increased by $30.0 million or 14.4% for three months ended March 31, 2024 to $238.0 million, compared to $208.0 million for the three months ended March 31, 2023.</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 (as restated)</w:t>
      </w:r>
    </w:p>
    <w:p>
      <w:pPr>
        <w:spacing w:after="0" w:line="217" w:lineRule="exact"/>
        <w:rPr>
          <w:sz w:val="20"/>
          <w:szCs w:val="20"/>
          <w:color w:val="auto"/>
        </w:rPr>
      </w:pPr>
    </w:p>
    <w:p>
      <w:pPr>
        <w:jc w:val="both"/>
        <w:ind w:firstLine="533"/>
        <w:spacing w:after="0" w:line="264" w:lineRule="auto"/>
        <w:rPr>
          <w:sz w:val="20"/>
          <w:szCs w:val="20"/>
          <w:color w:val="auto"/>
        </w:rPr>
      </w:pPr>
      <w:r>
        <w:rPr>
          <w:rFonts w:ascii="Arial" w:cs="Arial" w:eastAsia="Arial" w:hAnsi="Arial"/>
          <w:sz w:val="13"/>
          <w:szCs w:val="13"/>
          <w:color w:val="auto"/>
        </w:rPr>
        <w:t>Direct costs for the three months ended March 31, 2025 decreased by $18.0 million, or 1.2%, to $1,449.3 million compared to $1,467.3 million for the three months ended March 31, 2024. Direct costs consist primarily of investigator and other reimbursable costs, compensation, associated fringe benefits and share based compensation expense for project-related employees and other direct project driven costs. The decrease in direct costs arose due to a decrease in personnel related costs and travel, partially offset by increases in third party investigator/other reimbursable costs, laboratories and other direct project driven costs. As a percentage of revenue, direct costs increased to 71.9% of revenue during the three months ended March 31, 2025 compared to 71.8% for the three months ended March 31, 2024.</w:t>
      </w:r>
    </w:p>
    <w:p>
      <w:pPr>
        <w:spacing w:after="0" w:line="178"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3"/>
          <w:szCs w:val="13"/>
          <w:color w:val="auto"/>
        </w:rPr>
        <w:t>Direct costs for the three months ended March 31, 2024 increased by $75.4 million, or 5.4%, to $1,467.3 million compared to $1,391.9 million for the three months ended March 31, 2023. The increase in direct costs arose due to an increase in personnel related costs, laboratory costs, third party investigator/other reimbursable costs, travel and other direct project driven costs. As a percentage of revenue, direct costs increased to 71.8% of revenue during the three months ended March 31, 2024 compared to 70.8%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i w:val="1"/>
          <w:iCs w:val="1"/>
          <w:color w:val="auto"/>
        </w:rPr>
        <w:t>Income from operations (as restated)</w:t>
      </w:r>
    </w:p>
    <w:p>
      <w:pPr>
        <w:spacing w:after="0" w:line="206"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3"/>
          <w:szCs w:val="13"/>
          <w:color w:val="auto"/>
        </w:rPr>
        <w:t>Income from operations for the three months ended March 31, 2025 decreased by $15.5 million or 6.4% to $227.0 million compared to $242.4 million for the three months ended March 31, 2024. As a percentage of revenue, income from operations decreased to 11.3% for the three months ended March 31, 2025 compared to 11.9% of revenue for the three months ended March 31, 2024. Income from operations for the three months ended March 31, 2024 increased by $34.8 million or 16.8% to $242.4 million compared to $207.6 million for the three months ended March 31, 2023. As a percentage of revenue, income from operations for the three months ended March 31, 2024 increased to 11.9% compared to 10.6% of revenue for the three months ended March 31, 2023.</w:t>
      </w:r>
    </w:p>
    <w:p>
      <w:pPr>
        <w:spacing w:after="0" w:line="166" w:lineRule="exact"/>
        <w:rPr>
          <w:sz w:val="20"/>
          <w:szCs w:val="20"/>
          <w:color w:val="auto"/>
        </w:rPr>
      </w:pPr>
    </w:p>
    <w:p>
      <w:pPr>
        <w:jc w:val="both"/>
        <w:ind w:firstLine="533"/>
        <w:spacing w:after="0" w:line="275" w:lineRule="auto"/>
        <w:rPr>
          <w:sz w:val="20"/>
          <w:szCs w:val="20"/>
          <w:color w:val="auto"/>
        </w:rPr>
      </w:pPr>
      <w:r>
        <w:rPr>
          <w:rFonts w:ascii="Arial" w:cs="Arial" w:eastAsia="Arial" w:hAnsi="Arial"/>
          <w:sz w:val="13"/>
          <w:szCs w:val="13"/>
          <w:color w:val="auto"/>
        </w:rPr>
        <w:t>Excluding amortization of intangible assets, income from operations in Ireland for three months ended March 31, 2025 decreased to $163.4 million compared to $210.5 million for the three months ended March 31, 2024; and increased to $210.5 million for three months ended March 31, 2024 compared to $156.4 million for the three months ended March 31, 2023. As a percentage of revenue, excluding amortization of intangible assets, income from operations in Ireland for the three months ended March 31, 2025 decreased to 22.2% compared to 34.7% for three months ended March 31, 2024; and increased to 34.7% for the three months ended March 31, 2024 compared to 31.3% for the three months ended March 31, 2023.</w:t>
      </w:r>
    </w:p>
    <w:p>
      <w:pPr>
        <w:spacing w:after="0" w:line="160" w:lineRule="exact"/>
        <w:rPr>
          <w:sz w:val="20"/>
          <w:szCs w:val="20"/>
          <w:color w:val="auto"/>
        </w:rPr>
      </w:pPr>
    </w:p>
    <w:p>
      <w:pPr>
        <w:jc w:val="both"/>
        <w:ind w:firstLine="533"/>
        <w:spacing w:after="0" w:line="266" w:lineRule="auto"/>
        <w:rPr>
          <w:sz w:val="20"/>
          <w:szCs w:val="20"/>
          <w:color w:val="auto"/>
        </w:rPr>
      </w:pPr>
      <w:r>
        <w:rPr>
          <w:rFonts w:ascii="Arial" w:cs="Arial" w:eastAsia="Arial" w:hAnsi="Arial"/>
          <w:sz w:val="13"/>
          <w:szCs w:val="13"/>
          <w:color w:val="auto"/>
        </w:rPr>
        <w:t>In the Rest of Europe region, excluding amortization of intangible assets, income from operations for three months ended March 31, 2025 decreased to $36.8 million compared to $53.2 million for the three months ended March 31, 2024; and decreased to $53.2 million for three months ended March 31, 2024 compared to $59.7 million for the three months ended March 31, 2023. As a percentage of revenue, excluding amortization of intangible assets, income from operations in the Rest of Europe region for three months ended March 31, 2025 decreased to 9.8% compared to 13.7% for the three months ended March 31, 2024 and decreased to 13.7% for the three months ended March 31, 2024 compared to 14.4% for the three months ended March 31, 2023.</w:t>
      </w:r>
    </w:p>
    <w:p>
      <w:pPr>
        <w:spacing w:after="0" w:line="338"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3"/>
          <w:szCs w:val="13"/>
          <w:color w:val="auto"/>
        </w:rPr>
        <w:t>In the U.S. region, income from operations, excluding amortization of intangible assets for three months ended March 31, 2025 decreased to $68.5 million compared to $76.8 million for the three months ended March 31, 2024; and decreased to $76.8 million for three months ended March 31, 2024 compared to $88.6 million for the three months ended March 31, 2023. As a percentage of revenue, excluding amortization of intangible assets, income from operations in the U.S. region for three months ended March 31, 2025 increased to 10.2% compared to 9.5% for the three months ended March 31, 2024; and decreased to 9.5% for the three months ended March 31, 2024 compared to 10.5% for the three months ended March 31, 2023.</w:t>
      </w:r>
    </w:p>
    <w:p>
      <w:pPr>
        <w:spacing w:after="0" w:line="163" w:lineRule="exact"/>
        <w:rPr>
          <w:sz w:val="20"/>
          <w:szCs w:val="20"/>
          <w:color w:val="auto"/>
        </w:rPr>
      </w:pPr>
    </w:p>
    <w:p>
      <w:pPr>
        <w:jc w:val="both"/>
        <w:ind w:firstLine="533"/>
        <w:spacing w:after="0" w:line="270" w:lineRule="auto"/>
        <w:rPr>
          <w:sz w:val="20"/>
          <w:szCs w:val="20"/>
          <w:color w:val="auto"/>
        </w:rPr>
      </w:pPr>
      <w:r>
        <w:rPr>
          <w:rFonts w:ascii="Arial" w:cs="Arial" w:eastAsia="Arial" w:hAnsi="Arial"/>
          <w:sz w:val="13"/>
          <w:szCs w:val="13"/>
          <w:color w:val="auto"/>
        </w:rPr>
        <w:t>In Rest of World region, income from operations, excluding amortization of intangible assets, for three months ended March 31, 2025 decreased to $17.2 million compared to $18.4 million for the three months ended March 31, 2024; and increased to $18.4 million for three months ended March 31, 2024 compared to $17.6 million for the three months ended March 31, 2023. As a percentage of revenue, excluding amortization of intangible assets, income from operations in Rest of World regions for three months ended March 31, 2025 decreased to 7.4% compared to 7.7% for the three months ended March 31, 2024; and decreased to 7.7% for the three months ended March 31, 2024 compared to 8.5% for the three months ended March 31, 2023.</w:t>
      </w: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 (as restated)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3160" w:type="dxa"/>
            <w:vAlign w:val="bottom"/>
            <w:tcBorders>
              <w:bottom w:val="single" w:sz="8" w:color="auto"/>
            </w:tcBorders>
            <w:gridSpan w:val="4"/>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Three Months Ended March 31,</w:t>
            </w:r>
          </w:p>
        </w:tc>
        <w:tc>
          <w:tcPr>
            <w:tcW w:w="1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3"/>
                <w:szCs w:val="13"/>
                <w:b w:val="1"/>
                <w:bCs w:val="1"/>
                <w:color w:val="auto"/>
              </w:rPr>
              <w:t>Change</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3"/>
                <w:szCs w:val="13"/>
                <w:i w:val="1"/>
                <w:iCs w:val="1"/>
                <w:color w:val="auto"/>
              </w:rPr>
              <w:t>(in thousands)</w:t>
            </w:r>
          </w:p>
        </w:tc>
        <w:tc>
          <w:tcPr>
            <w:tcW w:w="142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46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 vs 2024</w:t>
            </w:r>
          </w:p>
        </w:tc>
        <w:tc>
          <w:tcPr>
            <w:tcW w:w="4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 vs 2023</w:t>
            </w:r>
          </w:p>
        </w:tc>
        <w:tc>
          <w:tcPr>
            <w:tcW w:w="0" w:type="dxa"/>
            <w:vAlign w:val="bottom"/>
          </w:tcPr>
          <w:p>
            <w:pPr>
              <w:spacing w:after="0"/>
              <w:rPr>
                <w:sz w:val="1"/>
                <w:szCs w:val="1"/>
                <w:color w:val="auto"/>
              </w:rPr>
            </w:pPr>
          </w:p>
        </w:tc>
      </w:tr>
      <w:tr>
        <w:trPr>
          <w:trHeight w:val="178"/>
        </w:trPr>
        <w:tc>
          <w:tcPr>
            <w:tcW w:w="2520" w:type="dxa"/>
            <w:vAlign w:val="bottom"/>
            <w:tcBorders>
              <w:bottom w:val="single" w:sz="8" w:color="auto"/>
            </w:tcBorders>
            <w:vMerge w:val="continue"/>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4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8"/>
        </w:trPr>
        <w:tc>
          <w:tcPr>
            <w:tcW w:w="252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42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20,351</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24,376</w:t>
            </w: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12,904</w:t>
            </w:r>
          </w:p>
        </w:tc>
        <w:tc>
          <w:tcPr>
            <w:tcW w:w="46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(4,025)</w:t>
            </w: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113"/>
              <w:spacing w:after="0"/>
              <w:rPr>
                <w:sz w:val="20"/>
                <w:szCs w:val="20"/>
                <w:color w:val="auto"/>
              </w:rPr>
            </w:pPr>
            <w:r>
              <w:rPr>
                <w:rFonts w:ascii="Arial" w:cs="Arial" w:eastAsia="Arial" w:hAnsi="Arial"/>
                <w:sz w:val="13"/>
                <w:szCs w:val="13"/>
                <w:color w:val="auto"/>
              </w:rPr>
              <w:t>11,472</w:t>
            </w:r>
          </w:p>
        </w:tc>
        <w:tc>
          <w:tcPr>
            <w:tcW w:w="0" w:type="dxa"/>
            <w:vAlign w:val="bottom"/>
          </w:tcPr>
          <w:p>
            <w:pPr>
              <w:spacing w:after="0"/>
              <w:rPr>
                <w:sz w:val="1"/>
                <w:szCs w:val="1"/>
                <w:color w:val="auto"/>
              </w:rPr>
            </w:pPr>
          </w:p>
        </w:tc>
      </w:tr>
      <w:tr>
        <w:trPr>
          <w:trHeight w:val="179"/>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rate</w:t>
            </w:r>
          </w:p>
        </w:tc>
        <w:tc>
          <w:tcPr>
            <w:tcW w:w="1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11.2 %</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14.1 %</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10.6 %</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3"/>
          <w:szCs w:val="13"/>
          <w:color w:val="auto"/>
        </w:rPr>
        <w:t>Income tax expense decreased to $20.4 million charge for the three months ended March 31, 2025 compared to a $24.4 million charge for the three months ended March 31, 2024. The Company’s effective tax rate for the three months ended March 31, 2025 was 11.2% compared with 14.1% for the three months ended March 31, 2024 primarily due to changes in various tax laws and the level of deferred tax benefit associated with the amortization of intangible assets.</w:t>
      </w:r>
    </w:p>
    <w:p>
      <w:pPr>
        <w:spacing w:after="0" w:line="170"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3"/>
          <w:szCs w:val="13"/>
          <w:color w:val="auto"/>
        </w:rPr>
        <w:t>Income tax expense increased to a $24.4 million charge for the three months ended March 31, 2024 compared to a $12.9 million charge for the three months ended March 31, 2023. The Company’s effective tax rate for the three months ended March 31, 2024 was 14.1% compared with 10.6% for the three months ended March 31, 2023 primarily due to changes in various tax laws</w:t>
      </w:r>
    </w:p>
    <w:p>
      <w:pPr>
        <w:spacing w:after="0" w:line="3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With the exception of the foregoing,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i w:val="1"/>
          <w:iCs w:val="1"/>
          <w:color w:val="auto"/>
        </w:rPr>
        <w:t>Three months ended June 30, 2025 compared to three months ended June 30, 2024; and three months ended June 30, 2024 compared to three months ended June 30,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gridSpan w:val="3"/>
            <w:shd w:val="clear" w:color="auto" w:fill="CCEEFF"/>
          </w:tcPr>
          <w:p>
            <w:pPr>
              <w:jc w:val="right"/>
              <w:ind w:right="373"/>
              <w:spacing w:after="0"/>
              <w:rPr>
                <w:sz w:val="20"/>
                <w:szCs w:val="20"/>
                <w:color w:val="auto"/>
              </w:rPr>
            </w:pPr>
            <w:r>
              <w:rPr>
                <w:rFonts w:ascii="Arial" w:cs="Arial" w:eastAsia="Arial" w:hAnsi="Arial"/>
                <w:sz w:val="13"/>
                <w:szCs w:val="13"/>
                <w:b w:val="1"/>
                <w:bCs w:val="1"/>
                <w:color w:val="auto"/>
              </w:rPr>
              <w:t>Three Months Ended June 30,</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Percentage of Revenue</w:t>
            </w:r>
          </w:p>
        </w:tc>
        <w:tc>
          <w:tcPr>
            <w:tcW w:w="1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Percentage Change</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1680" w:type="dxa"/>
            <w:vAlign w:val="bottom"/>
            <w:gridSpan w:val="2"/>
            <w:shd w:val="clear" w:color="auto" w:fill="CCEEFF"/>
          </w:tcPr>
          <w:p>
            <w:pPr>
              <w:jc w:val="right"/>
              <w:ind w:right="133"/>
              <w:spacing w:after="0" w:line="124" w:lineRule="exact"/>
              <w:rPr>
                <w:sz w:val="20"/>
                <w:szCs w:val="20"/>
                <w:color w:val="auto"/>
              </w:rPr>
            </w:pPr>
            <w:r>
              <w:rPr>
                <w:rFonts w:ascii="Arial" w:cs="Arial" w:eastAsia="Arial" w:hAnsi="Arial"/>
                <w:sz w:val="13"/>
                <w:szCs w:val="13"/>
                <w:b w:val="1"/>
                <w:bCs w:val="1"/>
                <w:color w:val="auto"/>
              </w:rPr>
              <w:t>2024</w:t>
            </w:r>
          </w:p>
        </w:tc>
        <w:tc>
          <w:tcPr>
            <w:tcW w:w="1380" w:type="dxa"/>
            <w:vAlign w:val="bottom"/>
            <w:shd w:val="clear" w:color="auto" w:fill="CCEEFF"/>
          </w:tcPr>
          <w:p>
            <w:pPr>
              <w:jc w:val="right"/>
              <w:ind w:right="33"/>
              <w:spacing w:after="0" w:line="124" w:lineRule="exact"/>
              <w:rPr>
                <w:sz w:val="20"/>
                <w:szCs w:val="20"/>
                <w:color w:val="auto"/>
              </w:rPr>
            </w:pPr>
            <w:r>
              <w:rPr>
                <w:rFonts w:ascii="Arial" w:cs="Arial" w:eastAsia="Arial" w:hAnsi="Arial"/>
                <w:sz w:val="13"/>
                <w:szCs w:val="13"/>
                <w:b w:val="1"/>
                <w:bCs w:val="1"/>
                <w:color w:val="auto"/>
              </w:rPr>
              <w:t>2023</w:t>
            </w:r>
          </w:p>
        </w:tc>
        <w:tc>
          <w:tcPr>
            <w:tcW w:w="58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ind w:left="20"/>
              <w:spacing w:after="0" w:line="124" w:lineRule="exact"/>
              <w:rPr>
                <w:sz w:val="20"/>
                <w:szCs w:val="20"/>
                <w:color w:val="auto"/>
              </w:rPr>
            </w:pPr>
            <w:r>
              <w:rPr>
                <w:rFonts w:ascii="Arial" w:cs="Arial" w:eastAsia="Arial" w:hAnsi="Arial"/>
                <w:sz w:val="13"/>
                <w:szCs w:val="13"/>
                <w:b w:val="1"/>
                <w:bCs w:val="1"/>
                <w:color w:val="auto"/>
              </w:rPr>
              <w:t>2025 vs 2024</w:t>
            </w:r>
          </w:p>
        </w:tc>
        <w:tc>
          <w:tcPr>
            <w:tcW w:w="8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 vs 2023</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680" w:type="dxa"/>
            <w:vAlign w:val="bottom"/>
            <w:tcBorders>
              <w:bottom w:val="single" w:sz="8" w:color="auto"/>
            </w:tcBorders>
            <w:gridSpan w:val="2"/>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(As Restated)</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(As Restated)</w:t>
            </w:r>
          </w:p>
        </w:tc>
        <w:tc>
          <w:tcPr>
            <w:tcW w:w="2060" w:type="dxa"/>
            <w:vAlign w:val="bottom"/>
            <w:tcBorders>
              <w:bottom w:val="single" w:sz="8" w:color="auto"/>
            </w:tcBorders>
            <w:gridSpan w:val="3"/>
            <w:shd w:val="clear" w:color="auto" w:fill="CCEEFF"/>
          </w:tcPr>
          <w:p>
            <w:pPr>
              <w:jc w:val="right"/>
              <w:ind w:right="573"/>
              <w:spacing w:after="0"/>
              <w:rPr>
                <w:sz w:val="20"/>
                <w:szCs w:val="20"/>
                <w:color w:val="auto"/>
              </w:rPr>
            </w:pPr>
            <w:r>
              <w:rPr>
                <w:rFonts w:ascii="Arial" w:cs="Arial" w:eastAsia="Arial" w:hAnsi="Arial"/>
                <w:sz w:val="13"/>
                <w:szCs w:val="13"/>
                <w:b w:val="1"/>
                <w:bCs w:val="1"/>
                <w:color w:val="auto"/>
              </w:rPr>
              <w:t>(As Restated)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8"/>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Revenue</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1680" w:type="dxa"/>
            <w:vAlign w:val="bottom"/>
            <w:gridSpan w:val="2"/>
          </w:tcPr>
          <w:p>
            <w:pPr>
              <w:jc w:val="right"/>
              <w:ind w:right="133"/>
              <w:spacing w:after="0"/>
              <w:rPr>
                <w:sz w:val="20"/>
                <w:szCs w:val="20"/>
                <w:color w:val="auto"/>
              </w:rPr>
            </w:pPr>
            <w:r>
              <w:rPr>
                <w:rFonts w:ascii="Arial" w:cs="Arial" w:eastAsia="Arial" w:hAnsi="Arial"/>
                <w:sz w:val="13"/>
                <w:szCs w:val="13"/>
                <w:color w:val="auto"/>
              </w:rPr>
              <w:t>100.0 %</w:t>
            </w:r>
          </w:p>
        </w:tc>
        <w:tc>
          <w:tcPr>
            <w:tcW w:w="1380" w:type="dxa"/>
            <w:vAlign w:val="bottom"/>
          </w:tcPr>
          <w:p>
            <w:pPr>
              <w:jc w:val="right"/>
              <w:ind w:right="33"/>
              <w:spacing w:after="0"/>
              <w:rPr>
                <w:sz w:val="20"/>
                <w:szCs w:val="20"/>
                <w:color w:val="auto"/>
              </w:rPr>
            </w:pPr>
            <w:r>
              <w:rPr>
                <w:rFonts w:ascii="Arial" w:cs="Arial" w:eastAsia="Arial" w:hAnsi="Arial"/>
                <w:sz w:val="13"/>
                <w:szCs w:val="13"/>
                <w:color w:val="auto"/>
              </w:rPr>
              <w:t>100.0 %</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573"/>
              <w:spacing w:after="0"/>
              <w:rPr>
                <w:sz w:val="20"/>
                <w:szCs w:val="20"/>
                <w:color w:val="auto"/>
              </w:rPr>
            </w:pPr>
            <w:r>
              <w:rPr>
                <w:rFonts w:ascii="Arial" w:cs="Arial" w:eastAsia="Arial" w:hAnsi="Arial"/>
                <w:sz w:val="13"/>
                <w:szCs w:val="13"/>
                <w:color w:val="auto"/>
              </w:rPr>
              <w:t>(0.1)%</w:t>
            </w:r>
          </w:p>
        </w:tc>
        <w:tc>
          <w:tcPr>
            <w:tcW w:w="880" w:type="dxa"/>
            <w:vAlign w:val="bottom"/>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Costs and expenses:</w:t>
            </w: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Direct costs</w:t>
            </w:r>
          </w:p>
        </w:tc>
        <w:tc>
          <w:tcPr>
            <w:tcW w:w="10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color w:val="auto"/>
              </w:rPr>
              <w:t>71.4 %</w:t>
            </w:r>
          </w:p>
        </w:tc>
        <w:tc>
          <w:tcPr>
            <w:tcW w:w="1680" w:type="dxa"/>
            <w:vAlign w:val="bottom"/>
            <w:tcBorders>
              <w:top w:val="single" w:sz="8" w:color="CCEEFF"/>
            </w:tcBorders>
            <w:gridSpan w:val="2"/>
          </w:tcPr>
          <w:p>
            <w:pPr>
              <w:jc w:val="right"/>
              <w:ind w:right="133"/>
              <w:spacing w:after="0"/>
              <w:rPr>
                <w:sz w:val="20"/>
                <w:szCs w:val="20"/>
                <w:color w:val="auto"/>
              </w:rPr>
            </w:pPr>
            <w:r>
              <w:rPr>
                <w:rFonts w:ascii="Arial" w:cs="Arial" w:eastAsia="Arial" w:hAnsi="Arial"/>
                <w:sz w:val="13"/>
                <w:szCs w:val="13"/>
                <w:color w:val="auto"/>
              </w:rPr>
              <w:t>72.9 %</w:t>
            </w:r>
          </w:p>
        </w:tc>
        <w:tc>
          <w:tcPr>
            <w:tcW w:w="1380" w:type="dxa"/>
            <w:vAlign w:val="bottom"/>
            <w:tcBorders>
              <w:top w:val="single" w:sz="8" w:color="CCEEFF"/>
            </w:tcBorders>
          </w:tcPr>
          <w:p>
            <w:pPr>
              <w:jc w:val="right"/>
              <w:ind w:right="33"/>
              <w:spacing w:after="0"/>
              <w:rPr>
                <w:sz w:val="20"/>
                <w:szCs w:val="20"/>
                <w:color w:val="auto"/>
              </w:rPr>
            </w:pPr>
            <w:r>
              <w:rPr>
                <w:rFonts w:ascii="Arial" w:cs="Arial" w:eastAsia="Arial" w:hAnsi="Arial"/>
                <w:sz w:val="13"/>
                <w:szCs w:val="13"/>
                <w:color w:val="auto"/>
              </w:rPr>
              <w:t>71.0 %</w:t>
            </w:r>
          </w:p>
        </w:tc>
        <w:tc>
          <w:tcPr>
            <w:tcW w:w="5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jc w:val="right"/>
              <w:ind w:right="573"/>
              <w:spacing w:after="0"/>
              <w:rPr>
                <w:sz w:val="20"/>
                <w:szCs w:val="20"/>
                <w:color w:val="auto"/>
              </w:rPr>
            </w:pPr>
            <w:r>
              <w:rPr>
                <w:rFonts w:ascii="Arial" w:cs="Arial" w:eastAsia="Arial" w:hAnsi="Arial"/>
                <w:sz w:val="13"/>
                <w:szCs w:val="13"/>
                <w:color w:val="auto"/>
              </w:rPr>
              <w:t>(2.2)%</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4.3 %</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8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Selling, general and administrative expense</w:t>
            </w: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10.1 %</w:t>
            </w:r>
          </w:p>
        </w:tc>
        <w:tc>
          <w:tcPr>
            <w:tcW w:w="168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9.6 %</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9.4 %</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5.4 %</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00" w:type="dxa"/>
            <w:vAlign w:val="bottom"/>
            <w:gridSpan w:val="2"/>
          </w:tcPr>
          <w:p>
            <w:pPr>
              <w:ind w:left="100"/>
              <w:spacing w:after="0"/>
              <w:rPr>
                <w:sz w:val="20"/>
                <w:szCs w:val="20"/>
                <w:color w:val="auto"/>
              </w:rPr>
            </w:pPr>
            <w:r>
              <w:rPr>
                <w:rFonts w:ascii="Arial" w:cs="Arial" w:eastAsia="Arial" w:hAnsi="Arial"/>
                <w:sz w:val="13"/>
                <w:szCs w:val="13"/>
                <w:color w:val="auto"/>
              </w:rPr>
              <w:t>Depreciation</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1.9 %</w:t>
            </w:r>
          </w:p>
        </w:tc>
        <w:tc>
          <w:tcPr>
            <w:tcW w:w="1680" w:type="dxa"/>
            <w:vAlign w:val="bottom"/>
            <w:gridSpan w:val="2"/>
          </w:tcPr>
          <w:p>
            <w:pPr>
              <w:jc w:val="right"/>
              <w:ind w:right="133"/>
              <w:spacing w:after="0"/>
              <w:rPr>
                <w:sz w:val="20"/>
                <w:szCs w:val="20"/>
                <w:color w:val="auto"/>
              </w:rPr>
            </w:pPr>
            <w:r>
              <w:rPr>
                <w:rFonts w:ascii="Arial" w:cs="Arial" w:eastAsia="Arial" w:hAnsi="Arial"/>
                <w:sz w:val="13"/>
                <w:szCs w:val="13"/>
                <w:color w:val="auto"/>
              </w:rPr>
              <w:t>1.6 %</w:t>
            </w:r>
          </w:p>
        </w:tc>
        <w:tc>
          <w:tcPr>
            <w:tcW w:w="1380" w:type="dxa"/>
            <w:vAlign w:val="bottom"/>
          </w:tcPr>
          <w:p>
            <w:pPr>
              <w:jc w:val="right"/>
              <w:ind w:right="33"/>
              <w:spacing w:after="0"/>
              <w:rPr>
                <w:sz w:val="20"/>
                <w:szCs w:val="20"/>
                <w:color w:val="auto"/>
              </w:rPr>
            </w:pPr>
            <w:r>
              <w:rPr>
                <w:rFonts w:ascii="Arial" w:cs="Arial" w:eastAsia="Arial" w:hAnsi="Arial"/>
                <w:sz w:val="13"/>
                <w:szCs w:val="13"/>
                <w:color w:val="auto"/>
              </w:rPr>
              <w:t>1.5 %</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573"/>
              <w:spacing w:after="0"/>
              <w:rPr>
                <w:sz w:val="20"/>
                <w:szCs w:val="20"/>
                <w:color w:val="auto"/>
              </w:rPr>
            </w:pPr>
            <w:r>
              <w:rPr>
                <w:rFonts w:ascii="Arial" w:cs="Arial" w:eastAsia="Arial" w:hAnsi="Arial"/>
                <w:sz w:val="13"/>
                <w:szCs w:val="13"/>
                <w:color w:val="auto"/>
              </w:rPr>
              <w:t>16.6 %</w:t>
            </w:r>
          </w:p>
        </w:tc>
        <w:tc>
          <w:tcPr>
            <w:tcW w:w="88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168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5.7 %</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5.7 %</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(49.3)%</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00" w:type="dxa"/>
            <w:vAlign w:val="bottom"/>
            <w:gridSpan w:val="2"/>
          </w:tcPr>
          <w:p>
            <w:pPr>
              <w:ind w:left="100"/>
              <w:spacing w:after="0"/>
              <w:rPr>
                <w:sz w:val="20"/>
                <w:szCs w:val="20"/>
                <w:color w:val="auto"/>
              </w:rPr>
            </w:pPr>
            <w:r>
              <w:rPr>
                <w:rFonts w:ascii="Arial" w:cs="Arial" w:eastAsia="Arial" w:hAnsi="Arial"/>
                <w:sz w:val="13"/>
                <w:szCs w:val="13"/>
                <w:color w:val="auto"/>
              </w:rPr>
              <w:t>Transaction and integration related</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0.3 %</w:t>
            </w:r>
          </w:p>
        </w:tc>
        <w:tc>
          <w:tcPr>
            <w:tcW w:w="1680" w:type="dxa"/>
            <w:vAlign w:val="bottom"/>
            <w:gridSpan w:val="2"/>
          </w:tcPr>
          <w:p>
            <w:pPr>
              <w:jc w:val="right"/>
              <w:ind w:right="133"/>
              <w:spacing w:after="0"/>
              <w:rPr>
                <w:sz w:val="20"/>
                <w:szCs w:val="20"/>
                <w:color w:val="auto"/>
              </w:rPr>
            </w:pPr>
            <w:r>
              <w:rPr>
                <w:rFonts w:ascii="Arial" w:cs="Arial" w:eastAsia="Arial" w:hAnsi="Arial"/>
                <w:sz w:val="13"/>
                <w:szCs w:val="13"/>
                <w:color w:val="auto"/>
              </w:rPr>
              <w:t>0.3 %</w:t>
            </w:r>
          </w:p>
        </w:tc>
        <w:tc>
          <w:tcPr>
            <w:tcW w:w="1380" w:type="dxa"/>
            <w:vAlign w:val="bottom"/>
          </w:tcPr>
          <w:p>
            <w:pPr>
              <w:jc w:val="right"/>
              <w:ind w:right="33"/>
              <w:spacing w:after="0"/>
              <w:rPr>
                <w:sz w:val="20"/>
                <w:szCs w:val="20"/>
                <w:color w:val="auto"/>
              </w:rPr>
            </w:pPr>
            <w:r>
              <w:rPr>
                <w:rFonts w:ascii="Arial" w:cs="Arial" w:eastAsia="Arial" w:hAnsi="Arial"/>
                <w:sz w:val="13"/>
                <w:szCs w:val="13"/>
                <w:color w:val="auto"/>
              </w:rPr>
              <w:t>0.6 %</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573"/>
              <w:spacing w:after="0"/>
              <w:rPr>
                <w:sz w:val="20"/>
                <w:szCs w:val="20"/>
                <w:color w:val="auto"/>
              </w:rPr>
            </w:pPr>
            <w:r>
              <w:rPr>
                <w:rFonts w:ascii="Arial" w:cs="Arial" w:eastAsia="Arial" w:hAnsi="Arial"/>
                <w:sz w:val="13"/>
                <w:szCs w:val="13"/>
                <w:color w:val="auto"/>
              </w:rPr>
              <w:t>(1.5)%</w:t>
            </w:r>
          </w:p>
        </w:tc>
        <w:tc>
          <w:tcPr>
            <w:tcW w:w="880" w:type="dxa"/>
            <w:vAlign w:val="bottom"/>
          </w:tcPr>
          <w:p>
            <w:pPr>
              <w:jc w:val="right"/>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2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Restructuring</w:t>
            </w: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680" w:type="dxa"/>
            <w:vAlign w:val="bottom"/>
            <w:tcBorders>
              <w:bottom w:val="single" w:sz="8" w:color="auto"/>
            </w:tcBorders>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2.2 %</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1.8 %</w:t>
            </w:r>
          </w:p>
        </w:tc>
        <w:tc>
          <w:tcPr>
            <w:tcW w:w="5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3"/>
                <w:szCs w:val="13"/>
                <w:color w:val="auto"/>
              </w:rPr>
              <w:t>(6.2)%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28.4 %</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Income from operations</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11.3 %</w:t>
            </w:r>
          </w:p>
        </w:tc>
        <w:tc>
          <w:tcPr>
            <w:tcW w:w="168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color w:val="auto"/>
              </w:rPr>
              <w:t>7.7 %</w:t>
            </w: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10.0 %</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color w:val="auto"/>
              </w:rPr>
              <w:t>47.1 %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60" w:type="dxa"/>
            <w:vAlign w:val="bottom"/>
            <w:tcBorders>
              <w:bottom w:val="single" w:sz="8" w:color="auto"/>
            </w:tcBorders>
            <w:gridSpan w:val="3"/>
            <w:shd w:val="clear" w:color="auto" w:fill="CCEEFF"/>
          </w:tcPr>
          <w:p>
            <w:pPr>
              <w:jc w:val="right"/>
              <w:ind w:right="473"/>
              <w:spacing w:after="0"/>
              <w:rPr>
                <w:sz w:val="20"/>
                <w:szCs w:val="20"/>
                <w:color w:val="auto"/>
              </w:rPr>
            </w:pPr>
            <w:r>
              <w:rPr>
                <w:rFonts w:ascii="Arial" w:cs="Arial" w:eastAsia="Arial" w:hAnsi="Arial"/>
                <w:sz w:val="13"/>
                <w:szCs w:val="13"/>
                <w:b w:val="1"/>
                <w:bCs w:val="1"/>
                <w:color w:val="auto"/>
              </w:rPr>
              <w:t>Three Months Ended June 30,</w:t>
            </w:r>
          </w:p>
        </w:tc>
        <w:tc>
          <w:tcPr>
            <w:tcW w:w="5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173"/>
              <w:spacing w:after="0"/>
              <w:rPr>
                <w:sz w:val="20"/>
                <w:szCs w:val="20"/>
                <w:color w:val="auto"/>
              </w:rPr>
            </w:pPr>
            <w:r>
              <w:rPr>
                <w:rFonts w:ascii="Arial" w:cs="Arial" w:eastAsia="Arial" w:hAnsi="Arial"/>
                <w:sz w:val="13"/>
                <w:szCs w:val="13"/>
                <w:b w:val="1"/>
                <w:bCs w:val="1"/>
                <w:color w:val="auto"/>
              </w:rPr>
              <w:t>Change</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2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i w:val="1"/>
                <w:iCs w:val="1"/>
                <w:color w:val="auto"/>
              </w:rPr>
              <w:t>(in thousands)</w:t>
            </w: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400" w:type="dxa"/>
            <w:vAlign w:val="bottom"/>
            <w:shd w:val="clear" w:color="auto" w:fill="CCEEFF"/>
          </w:tcPr>
          <w:p>
            <w:pPr>
              <w:spacing w:after="0"/>
              <w:rPr>
                <w:sz w:val="10"/>
                <w:szCs w:val="10"/>
                <w:color w:val="auto"/>
              </w:rPr>
            </w:pPr>
          </w:p>
        </w:tc>
        <w:tc>
          <w:tcPr>
            <w:tcW w:w="1380" w:type="dxa"/>
            <w:vAlign w:val="bottom"/>
            <w:shd w:val="clear" w:color="auto" w:fill="CCEEFF"/>
          </w:tcPr>
          <w:p>
            <w:pPr>
              <w:jc w:val="right"/>
              <w:ind w:right="113"/>
              <w:spacing w:after="0" w:line="124" w:lineRule="exact"/>
              <w:rPr>
                <w:sz w:val="20"/>
                <w:szCs w:val="20"/>
                <w:color w:val="auto"/>
              </w:rPr>
            </w:pPr>
            <w:r>
              <w:rPr>
                <w:rFonts w:ascii="Arial" w:cs="Arial" w:eastAsia="Arial" w:hAnsi="Arial"/>
                <w:sz w:val="13"/>
                <w:szCs w:val="13"/>
                <w:b w:val="1"/>
                <w:bCs w:val="1"/>
                <w:color w:val="auto"/>
              </w:rPr>
              <w:t>2025 vs 2024</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right"/>
              <w:ind w:right="713"/>
              <w:spacing w:after="0" w:line="124" w:lineRule="exact"/>
              <w:rPr>
                <w:sz w:val="20"/>
                <w:szCs w:val="20"/>
                <w:color w:val="auto"/>
              </w:rPr>
            </w:pPr>
            <w:r>
              <w:rPr>
                <w:rFonts w:ascii="Arial" w:cs="Arial" w:eastAsia="Arial" w:hAnsi="Arial"/>
                <w:sz w:val="13"/>
                <w:szCs w:val="13"/>
                <w:b w:val="1"/>
                <w:bCs w:val="1"/>
                <w:color w:val="auto"/>
              </w:rPr>
              <w:t>2024 vs 2023</w:t>
            </w: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tcBorders>
            <w:gridSpan w:val="3"/>
            <w:vMerge w:val="continue"/>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(As Restated)</w:t>
            </w:r>
          </w:p>
        </w:tc>
        <w:tc>
          <w:tcPr>
            <w:tcW w:w="5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gridSpan w:val="2"/>
            <w:shd w:val="clear" w:color="auto" w:fill="CCEEFF"/>
          </w:tcPr>
          <w:p>
            <w:pPr>
              <w:jc w:val="right"/>
              <w:ind w:right="673"/>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8"/>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Revenue</w:t>
            </w:r>
          </w:p>
        </w:tc>
        <w:tc>
          <w:tcPr>
            <w:tcW w:w="5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2,039,088</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2,041,926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2,008,201</w:t>
            </w: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613"/>
              <w:spacing w:after="0"/>
              <w:rPr>
                <w:sz w:val="20"/>
                <w:szCs w:val="20"/>
                <w:color w:val="auto"/>
              </w:rPr>
            </w:pPr>
            <w:r>
              <w:rPr>
                <w:rFonts w:ascii="Arial" w:cs="Arial" w:eastAsia="Arial" w:hAnsi="Arial"/>
                <w:sz w:val="13"/>
                <w:szCs w:val="13"/>
                <w:color w:val="auto"/>
              </w:rPr>
              <w:t>(2,838)</w:t>
            </w:r>
          </w:p>
        </w:tc>
        <w:tc>
          <w:tcPr>
            <w:tcW w:w="580" w:type="dxa"/>
            <w:vAlign w:val="bottom"/>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53"/>
              <w:spacing w:after="0"/>
              <w:rPr>
                <w:sz w:val="20"/>
                <w:szCs w:val="20"/>
                <w:color w:val="auto"/>
              </w:rPr>
            </w:pPr>
            <w:r>
              <w:rPr>
                <w:rFonts w:ascii="Arial" w:cs="Arial" w:eastAsia="Arial" w:hAnsi="Arial"/>
                <w:sz w:val="13"/>
                <w:szCs w:val="13"/>
                <w:color w:val="auto"/>
              </w:rPr>
              <w:t>33,725</w:t>
            </w:r>
          </w:p>
        </w:tc>
        <w:tc>
          <w:tcPr>
            <w:tcW w:w="880" w:type="dxa"/>
            <w:vAlign w:val="bottom"/>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Costs and expenses:</w:t>
            </w: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Direct costs</w:t>
            </w:r>
          </w:p>
        </w:tc>
        <w:tc>
          <w:tcPr>
            <w:tcW w:w="10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1,455,758</w:t>
            </w:r>
          </w:p>
        </w:tc>
        <w:tc>
          <w:tcPr>
            <w:tcW w:w="28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1,488,256</w:t>
            </w:r>
          </w:p>
        </w:tc>
        <w:tc>
          <w:tcPr>
            <w:tcW w:w="10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1,426,406</w:t>
            </w:r>
          </w:p>
        </w:tc>
        <w:tc>
          <w:tcPr>
            <w:tcW w:w="40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jc w:val="right"/>
              <w:ind w:right="613"/>
              <w:spacing w:after="0"/>
              <w:rPr>
                <w:sz w:val="20"/>
                <w:szCs w:val="20"/>
                <w:color w:val="auto"/>
              </w:rPr>
            </w:pPr>
            <w:r>
              <w:rPr>
                <w:rFonts w:ascii="Arial" w:cs="Arial" w:eastAsia="Arial" w:hAnsi="Arial"/>
                <w:sz w:val="13"/>
                <w:szCs w:val="13"/>
                <w:color w:val="auto"/>
              </w:rPr>
              <w:t>(32,498)</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(2.2)%</w:t>
            </w:r>
          </w:p>
        </w:tc>
        <w:tc>
          <w:tcPr>
            <w:tcW w:w="1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jc w:val="right"/>
              <w:ind w:right="353"/>
              <w:spacing w:after="0"/>
              <w:rPr>
                <w:sz w:val="20"/>
                <w:szCs w:val="20"/>
                <w:color w:val="auto"/>
              </w:rPr>
            </w:pPr>
            <w:r>
              <w:rPr>
                <w:rFonts w:ascii="Arial" w:cs="Arial" w:eastAsia="Arial" w:hAnsi="Arial"/>
                <w:sz w:val="13"/>
                <w:szCs w:val="13"/>
                <w:color w:val="auto"/>
              </w:rPr>
              <w:t>61,850</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4.3 %</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Selling, general and administrative</w:t>
            </w: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205,006</w:t>
            </w: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194,458</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187,806</w:t>
            </w:r>
          </w:p>
        </w:tc>
        <w:tc>
          <w:tcPr>
            <w:tcW w:w="400" w:type="dxa"/>
            <w:vAlign w:val="bottom"/>
            <w:shd w:val="clear" w:color="auto" w:fill="CCEEFF"/>
          </w:tcPr>
          <w:p>
            <w:pPr>
              <w:spacing w:after="0"/>
              <w:rPr>
                <w:sz w:val="11"/>
                <w:szCs w:val="11"/>
                <w:color w:val="auto"/>
              </w:rPr>
            </w:pPr>
          </w:p>
        </w:tc>
        <w:tc>
          <w:tcPr>
            <w:tcW w:w="1380" w:type="dxa"/>
            <w:vAlign w:val="bottom"/>
            <w:shd w:val="clear" w:color="auto" w:fill="CCEEFF"/>
          </w:tcPr>
          <w:p>
            <w:pPr>
              <w:jc w:val="right"/>
              <w:ind w:right="653"/>
              <w:spacing w:after="0" w:line="136" w:lineRule="exact"/>
              <w:rPr>
                <w:sz w:val="20"/>
                <w:szCs w:val="20"/>
                <w:color w:val="auto"/>
              </w:rPr>
            </w:pPr>
            <w:r>
              <w:rPr>
                <w:rFonts w:ascii="Arial" w:cs="Arial" w:eastAsia="Arial" w:hAnsi="Arial"/>
                <w:sz w:val="13"/>
                <w:szCs w:val="13"/>
                <w:color w:val="auto"/>
              </w:rPr>
              <w:t>10,548</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5.4 %</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353"/>
              <w:spacing w:after="0" w:line="136" w:lineRule="exact"/>
              <w:rPr>
                <w:sz w:val="20"/>
                <w:szCs w:val="20"/>
                <w:color w:val="auto"/>
              </w:rPr>
            </w:pPr>
            <w:r>
              <w:rPr>
                <w:rFonts w:ascii="Arial" w:cs="Arial" w:eastAsia="Arial" w:hAnsi="Arial"/>
                <w:sz w:val="13"/>
                <w:szCs w:val="13"/>
                <w:color w:val="auto"/>
              </w:rPr>
              <w:t>6,652</w:t>
            </w: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expense</w:t>
            </w: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00" w:type="dxa"/>
            <w:vAlign w:val="bottom"/>
            <w:gridSpan w:val="2"/>
          </w:tcPr>
          <w:p>
            <w:pPr>
              <w:ind w:left="100"/>
              <w:spacing w:after="0"/>
              <w:rPr>
                <w:sz w:val="20"/>
                <w:szCs w:val="20"/>
                <w:color w:val="auto"/>
              </w:rPr>
            </w:pPr>
            <w:r>
              <w:rPr>
                <w:rFonts w:ascii="Arial" w:cs="Arial" w:eastAsia="Arial" w:hAnsi="Arial"/>
                <w:sz w:val="13"/>
                <w:szCs w:val="13"/>
                <w:color w:val="auto"/>
              </w:rPr>
              <w:t>Depreciation</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38,661</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33,146</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30,442</w:t>
            </w:r>
          </w:p>
        </w:tc>
        <w:tc>
          <w:tcPr>
            <w:tcW w:w="400" w:type="dxa"/>
            <w:vAlign w:val="bottom"/>
          </w:tcPr>
          <w:p>
            <w:pPr>
              <w:spacing w:after="0"/>
              <w:rPr>
                <w:sz w:val="15"/>
                <w:szCs w:val="15"/>
                <w:color w:val="auto"/>
              </w:rPr>
            </w:pPr>
          </w:p>
        </w:tc>
        <w:tc>
          <w:tcPr>
            <w:tcW w:w="1380" w:type="dxa"/>
            <w:vAlign w:val="bottom"/>
          </w:tcPr>
          <w:p>
            <w:pPr>
              <w:jc w:val="right"/>
              <w:ind w:right="653"/>
              <w:spacing w:after="0"/>
              <w:rPr>
                <w:sz w:val="20"/>
                <w:szCs w:val="20"/>
                <w:color w:val="auto"/>
              </w:rPr>
            </w:pPr>
            <w:r>
              <w:rPr>
                <w:rFonts w:ascii="Arial" w:cs="Arial" w:eastAsia="Arial" w:hAnsi="Arial"/>
                <w:sz w:val="13"/>
                <w:szCs w:val="13"/>
                <w:color w:val="auto"/>
              </w:rPr>
              <w:t>5,515</w:t>
            </w:r>
          </w:p>
        </w:tc>
        <w:tc>
          <w:tcPr>
            <w:tcW w:w="580" w:type="dxa"/>
            <w:vAlign w:val="bottom"/>
          </w:tcPr>
          <w:p>
            <w:pPr>
              <w:jc w:val="right"/>
              <w:spacing w:after="0"/>
              <w:rPr>
                <w:sz w:val="20"/>
                <w:szCs w:val="20"/>
                <w:color w:val="auto"/>
              </w:rPr>
            </w:pPr>
            <w:r>
              <w:rPr>
                <w:rFonts w:ascii="Arial" w:cs="Arial" w:eastAsia="Arial" w:hAnsi="Arial"/>
                <w:sz w:val="13"/>
                <w:szCs w:val="13"/>
                <w:color w:val="auto"/>
              </w:rPr>
              <w:t>16.6 %</w:t>
            </w:r>
          </w:p>
        </w:tc>
        <w:tc>
          <w:tcPr>
            <w:tcW w:w="160" w:type="dxa"/>
            <w:vAlign w:val="bottom"/>
          </w:tcPr>
          <w:p>
            <w:pPr>
              <w:spacing w:after="0"/>
              <w:rPr>
                <w:sz w:val="15"/>
                <w:szCs w:val="15"/>
                <w:color w:val="auto"/>
              </w:rPr>
            </w:pPr>
          </w:p>
        </w:tc>
        <w:tc>
          <w:tcPr>
            <w:tcW w:w="1320" w:type="dxa"/>
            <w:vAlign w:val="bottom"/>
          </w:tcPr>
          <w:p>
            <w:pPr>
              <w:jc w:val="right"/>
              <w:ind w:right="353"/>
              <w:spacing w:after="0"/>
              <w:rPr>
                <w:sz w:val="20"/>
                <w:szCs w:val="20"/>
                <w:color w:val="auto"/>
              </w:rPr>
            </w:pPr>
            <w:r>
              <w:rPr>
                <w:rFonts w:ascii="Arial" w:cs="Arial" w:eastAsia="Arial" w:hAnsi="Arial"/>
                <w:sz w:val="13"/>
                <w:szCs w:val="13"/>
                <w:color w:val="auto"/>
              </w:rPr>
              <w:t>2,704</w:t>
            </w:r>
          </w:p>
        </w:tc>
        <w:tc>
          <w:tcPr>
            <w:tcW w:w="88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59,057</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116,489</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114,617</w:t>
            </w: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13"/>
              <w:spacing w:after="0"/>
              <w:rPr>
                <w:sz w:val="20"/>
                <w:szCs w:val="20"/>
                <w:color w:val="auto"/>
              </w:rPr>
            </w:pPr>
            <w:r>
              <w:rPr>
                <w:rFonts w:ascii="Arial" w:cs="Arial" w:eastAsia="Arial" w:hAnsi="Arial"/>
                <w:sz w:val="13"/>
                <w:szCs w:val="13"/>
                <w:color w:val="auto"/>
              </w:rPr>
              <w:t>(57,432)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1,872</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00" w:type="dxa"/>
            <w:vAlign w:val="bottom"/>
            <w:gridSpan w:val="2"/>
          </w:tcPr>
          <w:p>
            <w:pPr>
              <w:ind w:left="100"/>
              <w:spacing w:after="0"/>
              <w:rPr>
                <w:sz w:val="20"/>
                <w:szCs w:val="20"/>
                <w:color w:val="auto"/>
              </w:rPr>
            </w:pPr>
            <w:r>
              <w:rPr>
                <w:rFonts w:ascii="Arial" w:cs="Arial" w:eastAsia="Arial" w:hAnsi="Arial"/>
                <w:sz w:val="13"/>
                <w:szCs w:val="13"/>
                <w:color w:val="auto"/>
              </w:rPr>
              <w:t>Transaction and integration related</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6,717</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6,820</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12,701</w:t>
            </w:r>
          </w:p>
        </w:tc>
        <w:tc>
          <w:tcPr>
            <w:tcW w:w="400" w:type="dxa"/>
            <w:vAlign w:val="bottom"/>
          </w:tcPr>
          <w:p>
            <w:pPr>
              <w:spacing w:after="0"/>
              <w:rPr>
                <w:sz w:val="15"/>
                <w:szCs w:val="15"/>
                <w:color w:val="auto"/>
              </w:rPr>
            </w:pPr>
          </w:p>
        </w:tc>
        <w:tc>
          <w:tcPr>
            <w:tcW w:w="1380" w:type="dxa"/>
            <w:vAlign w:val="bottom"/>
          </w:tcPr>
          <w:p>
            <w:pPr>
              <w:jc w:val="right"/>
              <w:ind w:right="613"/>
              <w:spacing w:after="0"/>
              <w:rPr>
                <w:sz w:val="20"/>
                <w:szCs w:val="20"/>
                <w:color w:val="auto"/>
              </w:rPr>
            </w:pPr>
            <w:r>
              <w:rPr>
                <w:rFonts w:ascii="Arial" w:cs="Arial" w:eastAsia="Arial" w:hAnsi="Arial"/>
                <w:sz w:val="13"/>
                <w:szCs w:val="13"/>
                <w:color w:val="auto"/>
              </w:rPr>
              <w:t>(103)</w:t>
            </w:r>
          </w:p>
        </w:tc>
        <w:tc>
          <w:tcPr>
            <w:tcW w:w="58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5"/>
                <w:szCs w:val="15"/>
                <w:color w:val="auto"/>
              </w:rPr>
            </w:pPr>
          </w:p>
        </w:tc>
        <w:tc>
          <w:tcPr>
            <w:tcW w:w="1320" w:type="dxa"/>
            <w:vAlign w:val="bottom"/>
          </w:tcPr>
          <w:p>
            <w:pPr>
              <w:jc w:val="right"/>
              <w:ind w:right="313"/>
              <w:spacing w:after="0"/>
              <w:rPr>
                <w:sz w:val="20"/>
                <w:szCs w:val="20"/>
                <w:color w:val="auto"/>
              </w:rPr>
            </w:pPr>
            <w:r>
              <w:rPr>
                <w:rFonts w:ascii="Arial" w:cs="Arial" w:eastAsia="Arial" w:hAnsi="Arial"/>
                <w:sz w:val="13"/>
                <w:szCs w:val="13"/>
                <w:color w:val="auto"/>
              </w:rPr>
              <w:t>(5,881)</w:t>
            </w:r>
          </w:p>
        </w:tc>
        <w:tc>
          <w:tcPr>
            <w:tcW w:w="880" w:type="dxa"/>
            <w:vAlign w:val="bottom"/>
          </w:tcPr>
          <w:p>
            <w:pPr>
              <w:jc w:val="right"/>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2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Restructuring</w:t>
            </w: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42,950</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45,789</w:t>
            </w: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35,661</w:t>
            </w: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3"/>
                <w:szCs w:val="13"/>
                <w:color w:val="auto"/>
              </w:rPr>
              <w:t>(2,839)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10,128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28.4 %</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Income from operations</w:t>
            </w:r>
          </w:p>
        </w:tc>
        <w:tc>
          <w:tcPr>
            <w:tcW w:w="5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230,939</w:t>
            </w:r>
          </w:p>
        </w:tc>
        <w:tc>
          <w:tcPr>
            <w:tcW w:w="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156,968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200,568</w:t>
            </w: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color w:val="auto"/>
              </w:rPr>
              <w:t>73,971</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47.1 % $</w:t>
            </w:r>
          </w:p>
        </w:tc>
        <w:tc>
          <w:tcPr>
            <w:tcW w:w="13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(43,600)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(as restated)</w:t>
      </w:r>
    </w:p>
    <w:p>
      <w:pPr>
        <w:spacing w:after="0" w:line="206"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3"/>
          <w:szCs w:val="13"/>
          <w:color w:val="auto"/>
        </w:rPr>
        <w:t>Revenue for the three months ended June 30, 2025 decreased by $2.8 million, or 0.1%, to $2,039.1 million, compared to $2,041.9 million for the three months ended June 30, 2024; and for the three months ended June 30, 2024 increased by $33.7 million, or 1.7%, to $2,041.9 million compared to $2,008.2 million for the three months ended June 30, 2023. Revenue decreased by 0.9% and increased by 2.0% in constant currency terms for the three months ended June 30, 2025 and June 30, 2024 respectively. Revenue for the three months ended June 30, 2025 was impacted by the volatility and cautiousness present in the broader clinical development market. The increase in revenue for the three months ended June 30, 2024 was due to continued organic growth across the Company's markets.</w:t>
      </w:r>
    </w:p>
    <w:p>
      <w:pPr>
        <w:spacing w:after="0" w:line="166"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3"/>
          <w:szCs w:val="13"/>
          <w:color w:val="auto"/>
        </w:rPr>
        <w:t>During the three months ended June 30, 2025, we derived 28.1%, 61.9% and 10.0% of our revenue in the United States, Europe and Rest of World respectively. During the three months ended June 30, 2024, we derived 38.7%, 49.5% and 11.8% of our revenue in the United States, Europe and Rest of World respectively. Revenues from our top five customers amounted to $502.4 million, $509.6 million and $528.2 million in the three months ended June 30, 2025, June 30, 2024 and June 30, 2023 respectively or 24.6%, 25.0% and 26.3% of total revenue respectively. New customer accounts are continually added across the full portfolio of large pharma customers, mid-tier pharma customers and biotech customers.</w:t>
      </w:r>
    </w:p>
    <w:p>
      <w:pPr>
        <w:spacing w:after="0" w:line="174"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3"/>
          <w:szCs w:val="13"/>
          <w:color w:val="auto"/>
        </w:rPr>
        <w:t>Revenue in Ireland increased by $274.5 million for the three months ended June 30, 2025, to $902.0 million, compared to $627.5 million for the three months ended June 30, 2024; and increased by $45.1 million for the three months ended June 30, 2024 to $627.5 million, compared to $582.4 million for the three months ended June 30, 2023. Revenue in Ireland during the three months ended June 30, 2025 increased by 43.7% compared to an overall decrease in ICON Group revenue of 0.1% and increased by 7.7% for the three months ended June 30, 2024 compared to an overall increase in Group revenue of 1.7%. Revenue in Ireland is principally a function of our global contracting model.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1" w:name="page42"/>
    <w:bookmarkEnd w:id="41"/>
    <w:p>
      <w:pPr>
        <w:jc w:val="both"/>
        <w:ind w:firstLine="533"/>
        <w:spacing w:after="0" w:line="261" w:lineRule="auto"/>
        <w:rPr>
          <w:sz w:val="20"/>
          <w:szCs w:val="20"/>
          <w:color w:val="auto"/>
        </w:rPr>
      </w:pPr>
      <w:r>
        <w:rPr>
          <w:rFonts w:ascii="Arial" w:cs="Arial" w:eastAsia="Arial" w:hAnsi="Arial"/>
          <w:sz w:val="13"/>
          <w:szCs w:val="13"/>
          <w:color w:val="auto"/>
        </w:rPr>
        <w:t>Revenue in our Rest of Europe region during the three months ended June 30, 2025 decreased by $23.1 million or 6.0%, to $360.1 million, compared to $383.2 million for the three months ended June 30, 2024; and increased by $9.7 million or 2.6% for the three months ended June 30, 2024 to $383.2 million, compared to $373.5 million for the three months ended June 30, 2023.</w:t>
      </w:r>
    </w:p>
    <w:p>
      <w:pPr>
        <w:spacing w:after="0" w:line="157"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3"/>
          <w:szCs w:val="13"/>
          <w:color w:val="auto"/>
        </w:rPr>
        <w:t>Revenue in the U.S. region during the three months ended June 30, 2025 decreased by $217.1 million or 27.5%, to $573.4 million, compared to $790.5 million for the three months ended June 30, 2024; and decreased by $56.8 million or 6.7%, to $790.5 million for the three months ended June 30, 2024 compared to $847.3 million for the three months ended June 30, 2023.</w:t>
      </w:r>
    </w:p>
    <w:p>
      <w:pPr>
        <w:spacing w:after="0" w:line="322" w:lineRule="exact"/>
        <w:rPr>
          <w:sz w:val="20"/>
          <w:szCs w:val="20"/>
          <w:color w:val="auto"/>
        </w:rPr>
      </w:pPr>
    </w:p>
    <w:p>
      <w:pPr>
        <w:jc w:val="both"/>
        <w:ind w:firstLine="533"/>
        <w:spacing w:after="0" w:line="261" w:lineRule="auto"/>
        <w:rPr>
          <w:sz w:val="20"/>
          <w:szCs w:val="20"/>
          <w:color w:val="auto"/>
        </w:rPr>
      </w:pPr>
      <w:r>
        <w:rPr>
          <w:rFonts w:ascii="Arial" w:cs="Arial" w:eastAsia="Arial" w:hAnsi="Arial"/>
          <w:sz w:val="13"/>
          <w:szCs w:val="13"/>
          <w:color w:val="auto"/>
        </w:rPr>
        <w:t>Revenue in the Rest of World region during the three months ended June 30, 2025 decreased by $37.1 million or 15.4%, to $203.6 million, compared to $240.7 million for the three months ended June 30, 2024; and increased by $35.7 million or 17.4% to $240.7 million for the three months ended June 30, 2024 compared to $205.0 million for the three months ended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 (as restated)</w:t>
      </w:r>
    </w:p>
    <w:p>
      <w:pPr>
        <w:spacing w:after="0" w:line="195"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3"/>
          <w:szCs w:val="13"/>
          <w:color w:val="auto"/>
        </w:rPr>
        <w:t>Direct costs for the three months ended June 30, 2025 decreased by $32.5 million, or 2.2%, to $1,455.8 million compared to $1,488.3 million for the three months ended June 30, 2024. The decrease in direct costs arose due to a decrease in personnel related costs, travel and other direct project driven costs, partially offset by increases in third party investigator/other reimbursable costs and laboratory costs. As a percentage of revenue, direct costs have decreased to 71.4% of revenue during the three months ended June 30, 2025 compared to 72.9% for the three months ended June 30, 2024.</w:t>
      </w:r>
    </w:p>
    <w:p>
      <w:pPr>
        <w:spacing w:after="0" w:line="160" w:lineRule="exact"/>
        <w:rPr>
          <w:sz w:val="20"/>
          <w:szCs w:val="20"/>
          <w:color w:val="auto"/>
        </w:rPr>
      </w:pPr>
    </w:p>
    <w:p>
      <w:pPr>
        <w:jc w:val="both"/>
        <w:ind w:firstLine="533"/>
        <w:spacing w:after="0" w:line="261" w:lineRule="auto"/>
        <w:rPr>
          <w:sz w:val="20"/>
          <w:szCs w:val="20"/>
          <w:color w:val="auto"/>
        </w:rPr>
      </w:pPr>
      <w:r>
        <w:rPr>
          <w:rFonts w:ascii="Arial" w:cs="Arial" w:eastAsia="Arial" w:hAnsi="Arial"/>
          <w:sz w:val="13"/>
          <w:szCs w:val="13"/>
          <w:color w:val="auto"/>
        </w:rPr>
        <w:t>Direct costs for the three months ended June 30, 2024 increased by $61.9 million, or 4.3%, to $1,488.3 million compared to $1,426.4 million for the three months ended June 30, 2023. The increase in direct costs arose due to an increase in personnel related costs, third party investigator/other reimbursable costs and other direct project driven costs. As a percentage of revenue, direct costs have increased to 72.9% of revenue during the three months ended June 30, 2024 compared to 71.0% for the three months ended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from operations (as restated)</w:t>
      </w:r>
    </w:p>
    <w:p>
      <w:pPr>
        <w:spacing w:after="0" w:line="206"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3"/>
          <w:szCs w:val="13"/>
          <w:color w:val="auto"/>
        </w:rPr>
        <w:t>Income from operations for the three months ended June 30, 2025 increased by $74.0 million or 47.1% to $230.9 million compared to $157.0 million for the three months ended June 30, 2024. As a percentage of revenue, income from operations increased to 11.3% for the three months ended June 30, 2025 compared to 7.7% of revenue for the three months ended June 30, 2024. Income from operations for the three months ended June 30, 2024 decreased by $43.6 million or 21.7% to $157.0 million compared to $200.6 million for the three months ended June 30, 2023. As a percentage of revenue, income from operations for the three months ended June 30, 2024 decreased to 7.7% compared to 10.0% of revenue for the three months ended June 30, 2023.</w:t>
      </w:r>
    </w:p>
    <w:p>
      <w:pPr>
        <w:spacing w:after="0" w:line="319"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3"/>
          <w:szCs w:val="13"/>
          <w:color w:val="auto"/>
        </w:rPr>
        <w:t>Excluding amortization of intangible assets, income from operations in Ireland for the three months ended June 30, 2025 increased to $199.6 million compared to $153.5 million for three months ended June 30, 2024; and decreased to $153.5 million for three months ended June 30, 2024 compared to $231.1 million for the three months ended June 30, 2023. As a percentage of revenue, excluding amortization of intangible assets, income from operations in Ireland for the three months ended June 30, 2025 decreased to 22.1% compared to 24.5% for three months ended June 30, 2024; and decreased to 24.5% for three months ended June 30, 2024 compared to 39.7% for the three months ended June 30, 2023.</w:t>
      </w:r>
    </w:p>
    <w:p>
      <w:pPr>
        <w:spacing w:after="0" w:line="175"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3"/>
          <w:szCs w:val="13"/>
          <w:color w:val="auto"/>
        </w:rPr>
        <w:t>In the Rest of Europe region, excluding amortization of intangible assets, income from operations for the three months ended June 30, 2025 decreased to $8.0 million compared to $38.9 million for the three months ended June 30, 2024; and increased to $38.9 million for the three months ended June 30, 2024 compared to $22.4 million for the three months ended June 30, 2023. As a percentage of revenue, excluding amortization of intangible assets, income from operations in the Rest of Europe region for the three months ended June 30, 2025 decreased to 2.2% compared to 10.2% for the three months ended June 30, 2024; and increased to 10.2% for the three months ended June 30, 2024 compared to 6.0% for the three months ended June 30, 2023.</w:t>
      </w:r>
    </w:p>
    <w:p>
      <w:pPr>
        <w:spacing w:after="0" w:line="319"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3"/>
          <w:szCs w:val="13"/>
          <w:color w:val="auto"/>
        </w:rPr>
        <w:t>In the U.S. region, income from operations, excluding amortization of intangible assets for the three months ended June 30, 2025 increased to $72.2 million compared to $61.9 million for the three months ended June 30, 2024; and increased to $61.9 million for the three months ended June 30, 2024 compared to $56.3 million for the three months ended June 30, 2023. As a percentage of revenue, excluding amortization of intangible assets, income from operations in the U.S. region for the three months ended June 30, 2025 increased to 12.6% compared to 7.8% for the three months ended June 30, 2024 and increased to 7.8% for the three months ended June 30, 2024 compared to 6.6% for the three months ended June 30, 2023.</w:t>
      </w:r>
    </w:p>
    <w:p>
      <w:pPr>
        <w:spacing w:after="0" w:line="175"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3"/>
          <w:szCs w:val="13"/>
          <w:color w:val="auto"/>
        </w:rPr>
        <w:t>In Rest of World, income from operations, excluding amortization of intangible assets for the three months ended June 30, 2025 decreased to $10.2 million compared to $19.2 million for the three months ended June 30, 2024; and increased to $19.2 million for the three months ended June 30, 2024 compared to $5.4 million for the three months ended June 30, 2023. As percentage of revenue, excluding amortization of intangible assets, income from operations in the other regions for the three months ended June 30, 2025 decreased to 5.0% compared to 8.0% for the three months ended June 30, 2024; and increased to 8.0% for the three months ended June 30, 2024 compared to 2.6% for the three months ended June 30, 2023.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i w:val="1"/>
          <w:iCs w:val="1"/>
          <w:color w:val="auto"/>
        </w:rPr>
        <w:t>Income tax expense (as restated)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3140" w:type="dxa"/>
            <w:vAlign w:val="bottom"/>
            <w:tcBorders>
              <w:bottom w:val="single" w:sz="8" w:color="auto"/>
            </w:tcBorders>
            <w:gridSpan w:val="4"/>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Three Months Ended June 30,</w:t>
            </w:r>
          </w:p>
        </w:tc>
        <w:tc>
          <w:tcPr>
            <w:tcW w:w="1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Change</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3"/>
                <w:szCs w:val="13"/>
                <w:i w:val="1"/>
                <w:iCs w:val="1"/>
                <w:color w:val="auto"/>
              </w:rPr>
              <w:t>(in thousands)</w:t>
            </w:r>
          </w:p>
        </w:tc>
        <w:tc>
          <w:tcPr>
            <w:tcW w:w="1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4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 vs 2024</w:t>
            </w:r>
          </w:p>
        </w:tc>
        <w:tc>
          <w:tcPr>
            <w:tcW w:w="46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 vs 2023</w:t>
            </w:r>
          </w:p>
        </w:tc>
        <w:tc>
          <w:tcPr>
            <w:tcW w:w="0" w:type="dxa"/>
            <w:vAlign w:val="bottom"/>
          </w:tcPr>
          <w:p>
            <w:pPr>
              <w:spacing w:after="0"/>
              <w:rPr>
                <w:sz w:val="1"/>
                <w:szCs w:val="1"/>
                <w:color w:val="auto"/>
              </w:rPr>
            </w:pPr>
          </w:p>
        </w:tc>
      </w:tr>
      <w:tr>
        <w:trPr>
          <w:trHeight w:val="178"/>
        </w:trPr>
        <w:tc>
          <w:tcPr>
            <w:tcW w:w="268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4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8"/>
        </w:trPr>
        <w:tc>
          <w:tcPr>
            <w:tcW w:w="2680" w:type="dxa"/>
            <w:vAlign w:val="bottom"/>
          </w:tcPr>
          <w:p>
            <w:pPr>
              <w:ind w:left="20"/>
              <w:spacing w:after="0"/>
              <w:rPr>
                <w:sz w:val="20"/>
                <w:szCs w:val="20"/>
                <w:color w:val="auto"/>
              </w:rPr>
            </w:pPr>
            <w:r>
              <w:rPr>
                <w:rFonts w:ascii="Arial" w:cs="Arial" w:eastAsia="Arial" w:hAnsi="Arial"/>
                <w:sz w:val="13"/>
                <w:szCs w:val="13"/>
                <w:color w:val="auto"/>
              </w:rPr>
              <w:t>Income tax (benefit) / expense</w:t>
            </w:r>
          </w:p>
        </w:tc>
        <w:tc>
          <w:tcPr>
            <w:tcW w:w="12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(20,674)</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14,589</w:t>
            </w: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3"/>
              <w:spacing w:after="0"/>
              <w:rPr>
                <w:sz w:val="20"/>
                <w:szCs w:val="20"/>
                <w:color w:val="auto"/>
              </w:rPr>
            </w:pPr>
            <w:r>
              <w:rPr>
                <w:rFonts w:ascii="Arial" w:cs="Arial" w:eastAsia="Arial" w:hAnsi="Arial"/>
                <w:sz w:val="13"/>
                <w:szCs w:val="13"/>
                <w:color w:val="auto"/>
              </w:rPr>
              <w:t>8,266</w:t>
            </w:r>
          </w:p>
        </w:tc>
        <w:tc>
          <w:tcPr>
            <w:tcW w:w="420" w:type="dxa"/>
            <w:vAlign w:val="bottom"/>
          </w:tcPr>
          <w:p>
            <w:pPr>
              <w:jc w:val="right"/>
              <w:ind w:right="2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(35,263)</w:t>
            </w:r>
          </w:p>
        </w:tc>
        <w:tc>
          <w:tcPr>
            <w:tcW w:w="46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6,323</w:t>
            </w:r>
          </w:p>
        </w:tc>
        <w:tc>
          <w:tcPr>
            <w:tcW w:w="0" w:type="dxa"/>
            <w:vAlign w:val="bottom"/>
          </w:tcPr>
          <w:p>
            <w:pPr>
              <w:spacing w:after="0"/>
              <w:rPr>
                <w:sz w:val="1"/>
                <w:szCs w:val="1"/>
                <w:color w:val="auto"/>
              </w:rPr>
            </w:pPr>
          </w:p>
        </w:tc>
      </w:tr>
      <w:tr>
        <w:trPr>
          <w:trHeight w:val="179"/>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rate</w:t>
            </w:r>
          </w:p>
        </w:tc>
        <w:tc>
          <w:tcPr>
            <w:tcW w:w="1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3"/>
          <w:szCs w:val="13"/>
          <w:color w:val="auto"/>
        </w:rPr>
        <w:t>Income tax expense for the three months ended June 30, 2025 changed to a $20.7 million income tax benefit compared to a $14.6 million expense for the three months ended June 30, 2024. The Company’s effective tax rate for the three months ended June 30, 2025 was (11.3)% compared with 15.0% for the three months ended June 30, 2024 primarily due to the net release of provisions for uncertain tax positions in the period ($29.3 million), the release of a deferred tax liability related to investments in foreign subsidiaries associated with unremitted earnings ($30.6 million), partially offset by a reduced level of deferred tax benefit associated with the amortization of intangible assets ($14.6 million).</w:t>
      </w:r>
    </w:p>
    <w:p>
      <w:pPr>
        <w:spacing w:after="0" w:line="182" w:lineRule="exact"/>
        <w:rPr>
          <w:sz w:val="20"/>
          <w:szCs w:val="20"/>
          <w:color w:val="auto"/>
        </w:rPr>
      </w:pPr>
    </w:p>
    <w:p>
      <w:pPr>
        <w:jc w:val="both"/>
        <w:ind w:firstLine="533"/>
        <w:spacing w:after="0" w:line="291" w:lineRule="auto"/>
        <w:rPr>
          <w:sz w:val="20"/>
          <w:szCs w:val="20"/>
          <w:color w:val="auto"/>
        </w:rPr>
      </w:pPr>
      <w:r>
        <w:rPr>
          <w:rFonts w:ascii="Arial" w:cs="Arial" w:eastAsia="Arial" w:hAnsi="Arial"/>
          <w:sz w:val="13"/>
          <w:szCs w:val="13"/>
          <w:color w:val="auto"/>
        </w:rPr>
        <w:t>Income tax expense for the three months ended June 30, 2024 increased to a $14.6 million charge compared to a $8.3 million charge for the three months ended June 30, 2023. The Company’s effective tax rate for the three months ended June 30, 2024 was 15.0% compared with 7.1% for the three months ended June 30, 2023 primarily due to changes in various tax laws.</w:t>
      </w:r>
    </w:p>
    <w:p>
      <w:pPr>
        <w:spacing w:after="0" w:line="31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With the exception of the foregoing, the Company’s effective tax rate remains principally a function of the distribution of pre-tax profits amongst the territories in which it operates.</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3"/>
          <w:szCs w:val="13"/>
          <w:b w:val="1"/>
          <w:bCs w:val="1"/>
          <w:i w:val="1"/>
          <w:iCs w:val="1"/>
          <w:color w:val="auto"/>
        </w:rPr>
        <w:t>Three months ended September 30, 2025 compared to three months ended September 30, 2024; and three months ended September 30, 2024 compared to three months ended September 30,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232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spacing w:after="0"/>
              <w:rPr>
                <w:sz w:val="15"/>
                <w:szCs w:val="15"/>
                <w:color w:val="auto"/>
              </w:rPr>
            </w:pPr>
          </w:p>
        </w:tc>
        <w:tc>
          <w:tcPr>
            <w:tcW w:w="3160" w:type="dxa"/>
            <w:vAlign w:val="bottom"/>
            <w:tcBorders>
              <w:bottom w:val="single" w:sz="8" w:color="auto"/>
            </w:tcBorders>
            <w:gridSpan w:val="2"/>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Three Months Ended September 30,</w:t>
            </w:r>
          </w:p>
        </w:tc>
        <w:tc>
          <w:tcPr>
            <w:tcW w:w="1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3"/>
                <w:szCs w:val="13"/>
                <w:b w:val="1"/>
                <w:bCs w:val="1"/>
                <w:color w:val="auto"/>
              </w:rPr>
              <w:t>Percentage of Revenue</w:t>
            </w:r>
          </w:p>
        </w:tc>
        <w:tc>
          <w:tcPr>
            <w:tcW w:w="16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2"/>
          </w:tcPr>
          <w:p>
            <w:pPr>
              <w:jc w:val="right"/>
              <w:ind w:right="793"/>
              <w:spacing w:after="0"/>
              <w:rPr>
                <w:sz w:val="20"/>
                <w:szCs w:val="20"/>
                <w:color w:val="auto"/>
              </w:rPr>
            </w:pPr>
            <w:r>
              <w:rPr>
                <w:rFonts w:ascii="Arial" w:cs="Arial" w:eastAsia="Arial" w:hAnsi="Arial"/>
                <w:sz w:val="13"/>
                <w:szCs w:val="13"/>
                <w:b w:val="1"/>
                <w:bCs w:val="1"/>
                <w:color w:val="auto"/>
              </w:rPr>
              <w:t>Percentage Change</w:t>
            </w:r>
          </w:p>
        </w:tc>
      </w:tr>
      <w:tr>
        <w:trPr>
          <w:trHeight w:val="124"/>
        </w:trPr>
        <w:tc>
          <w:tcPr>
            <w:tcW w:w="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2060" w:type="dxa"/>
            <w:vAlign w:val="bottom"/>
            <w:shd w:val="clear" w:color="auto" w:fill="CCEEFF"/>
          </w:tcPr>
          <w:p>
            <w:pPr>
              <w:jc w:val="right"/>
              <w:ind w:right="253"/>
              <w:spacing w:after="0" w:line="124" w:lineRule="exact"/>
              <w:rPr>
                <w:sz w:val="20"/>
                <w:szCs w:val="20"/>
                <w:color w:val="auto"/>
              </w:rPr>
            </w:pPr>
            <w:r>
              <w:rPr>
                <w:rFonts w:ascii="Arial" w:cs="Arial" w:eastAsia="Arial" w:hAnsi="Arial"/>
                <w:sz w:val="13"/>
                <w:szCs w:val="13"/>
                <w:b w:val="1"/>
                <w:bCs w:val="1"/>
                <w:color w:val="auto"/>
              </w:rPr>
              <w:t>2025</w:t>
            </w:r>
          </w:p>
        </w:tc>
        <w:tc>
          <w:tcPr>
            <w:tcW w:w="1480" w:type="dxa"/>
            <w:vAlign w:val="bottom"/>
            <w:shd w:val="clear" w:color="auto" w:fill="CCEEFF"/>
          </w:tcPr>
          <w:p>
            <w:pPr>
              <w:jc w:val="right"/>
              <w:ind w:right="253"/>
              <w:spacing w:after="0" w:line="124" w:lineRule="exact"/>
              <w:rPr>
                <w:sz w:val="20"/>
                <w:szCs w:val="20"/>
                <w:color w:val="auto"/>
              </w:rPr>
            </w:pPr>
            <w:r>
              <w:rPr>
                <w:rFonts w:ascii="Arial" w:cs="Arial" w:eastAsia="Arial" w:hAnsi="Arial"/>
                <w:sz w:val="13"/>
                <w:szCs w:val="13"/>
                <w:b w:val="1"/>
                <w:bCs w:val="1"/>
                <w:color w:val="auto"/>
              </w:rPr>
              <w:t>2024</w:t>
            </w:r>
          </w:p>
        </w:tc>
        <w:tc>
          <w:tcPr>
            <w:tcW w:w="1680" w:type="dxa"/>
            <w:vAlign w:val="bottom"/>
            <w:shd w:val="clear" w:color="auto" w:fill="CCEEFF"/>
          </w:tcPr>
          <w:p>
            <w:pPr>
              <w:jc w:val="right"/>
              <w:ind w:right="453"/>
              <w:spacing w:after="0" w:line="124" w:lineRule="exact"/>
              <w:rPr>
                <w:sz w:val="20"/>
                <w:szCs w:val="20"/>
                <w:color w:val="auto"/>
              </w:rPr>
            </w:pPr>
            <w:r>
              <w:rPr>
                <w:rFonts w:ascii="Arial" w:cs="Arial" w:eastAsia="Arial" w:hAnsi="Arial"/>
                <w:sz w:val="13"/>
                <w:szCs w:val="13"/>
                <w:b w:val="1"/>
                <w:bCs w:val="1"/>
                <w:color w:val="auto"/>
              </w:rPr>
              <w:t>2023</w:t>
            </w:r>
          </w:p>
        </w:tc>
        <w:tc>
          <w:tcPr>
            <w:tcW w:w="1280" w:type="dxa"/>
            <w:vAlign w:val="bottom"/>
            <w:shd w:val="clear" w:color="auto" w:fill="CCEEFF"/>
          </w:tcPr>
          <w:p>
            <w:pPr>
              <w:jc w:val="right"/>
              <w:ind w:right="233"/>
              <w:spacing w:after="0" w:line="124" w:lineRule="exact"/>
              <w:rPr>
                <w:sz w:val="20"/>
                <w:szCs w:val="20"/>
                <w:color w:val="auto"/>
              </w:rPr>
            </w:pPr>
            <w:r>
              <w:rPr>
                <w:rFonts w:ascii="Arial" w:cs="Arial" w:eastAsia="Arial" w:hAnsi="Arial"/>
                <w:sz w:val="13"/>
                <w:szCs w:val="13"/>
                <w:b w:val="1"/>
                <w:bCs w:val="1"/>
                <w:color w:val="auto"/>
              </w:rPr>
              <w:t>2025 vs 2024</w:t>
            </w:r>
          </w:p>
        </w:tc>
        <w:tc>
          <w:tcPr>
            <w:tcW w:w="12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 vs 2023</w:t>
            </w:r>
          </w:p>
        </w:tc>
      </w:t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232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b w:val="1"/>
                <w:bCs w:val="1"/>
                <w:color w:val="auto"/>
              </w:rPr>
              <w:t>(As Restated)</w:t>
            </w:r>
          </w:p>
        </w:tc>
        <w:tc>
          <w:tcPr>
            <w:tcW w:w="14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b w:val="1"/>
                <w:bCs w:val="1"/>
                <w:color w:val="auto"/>
              </w:rPr>
              <w:t>(As Restated)</w:t>
            </w:r>
          </w:p>
        </w:tc>
        <w:tc>
          <w:tcPr>
            <w:tcW w:w="16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3"/>
                <w:szCs w:val="13"/>
                <w:b w:val="1"/>
                <w:bCs w:val="1"/>
                <w:color w:val="auto"/>
              </w:rPr>
              <w:t>(As Restated)</w:t>
            </w:r>
          </w:p>
        </w:tc>
        <w:tc>
          <w:tcPr>
            <w:tcW w:w="12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(As Restated)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r>
      <w:tr>
        <w:trPr>
          <w:trHeight w:val="168"/>
        </w:trPr>
        <w:tc>
          <w:tcPr>
            <w:tcW w:w="3580" w:type="dxa"/>
            <w:vAlign w:val="bottom"/>
            <w:gridSpan w:val="3"/>
          </w:tcPr>
          <w:p>
            <w:pPr>
              <w:ind w:left="20"/>
              <w:spacing w:after="0"/>
              <w:rPr>
                <w:sz w:val="20"/>
                <w:szCs w:val="20"/>
                <w:color w:val="auto"/>
              </w:rPr>
            </w:pPr>
            <w:r>
              <w:rPr>
                <w:rFonts w:ascii="Arial" w:cs="Arial" w:eastAsia="Arial" w:hAnsi="Arial"/>
                <w:sz w:val="13"/>
                <w:szCs w:val="13"/>
                <w:color w:val="auto"/>
              </w:rPr>
              <w:t>Revenue</w:t>
            </w:r>
          </w:p>
        </w:tc>
        <w:tc>
          <w:tcPr>
            <w:tcW w:w="2060" w:type="dxa"/>
            <w:vAlign w:val="bottom"/>
          </w:tcPr>
          <w:p>
            <w:pPr>
              <w:jc w:val="right"/>
              <w:ind w:right="253"/>
              <w:spacing w:after="0"/>
              <w:rPr>
                <w:sz w:val="20"/>
                <w:szCs w:val="20"/>
                <w:color w:val="auto"/>
              </w:rPr>
            </w:pPr>
            <w:r>
              <w:rPr>
                <w:rFonts w:ascii="Arial" w:cs="Arial" w:eastAsia="Arial" w:hAnsi="Arial"/>
                <w:sz w:val="13"/>
                <w:szCs w:val="13"/>
                <w:color w:val="auto"/>
              </w:rPr>
              <w:t>100.0 %</w:t>
            </w:r>
          </w:p>
        </w:tc>
        <w:tc>
          <w:tcPr>
            <w:tcW w:w="1480" w:type="dxa"/>
            <w:vAlign w:val="bottom"/>
          </w:tcPr>
          <w:p>
            <w:pPr>
              <w:jc w:val="right"/>
              <w:ind w:right="253"/>
              <w:spacing w:after="0"/>
              <w:rPr>
                <w:sz w:val="20"/>
                <w:szCs w:val="20"/>
                <w:color w:val="auto"/>
              </w:rPr>
            </w:pPr>
            <w:r>
              <w:rPr>
                <w:rFonts w:ascii="Arial" w:cs="Arial" w:eastAsia="Arial" w:hAnsi="Arial"/>
                <w:sz w:val="13"/>
                <w:szCs w:val="13"/>
                <w:color w:val="auto"/>
              </w:rPr>
              <w:t>100.0 %</w:t>
            </w:r>
          </w:p>
        </w:tc>
        <w:tc>
          <w:tcPr>
            <w:tcW w:w="1680" w:type="dxa"/>
            <w:vAlign w:val="bottom"/>
          </w:tcPr>
          <w:p>
            <w:pPr>
              <w:jc w:val="right"/>
              <w:ind w:right="453"/>
              <w:spacing w:after="0"/>
              <w:rPr>
                <w:sz w:val="20"/>
                <w:szCs w:val="20"/>
                <w:color w:val="auto"/>
              </w:rPr>
            </w:pPr>
            <w:r>
              <w:rPr>
                <w:rFonts w:ascii="Arial" w:cs="Arial" w:eastAsia="Arial" w:hAnsi="Arial"/>
                <w:sz w:val="13"/>
                <w:szCs w:val="13"/>
                <w:color w:val="auto"/>
              </w:rPr>
              <w:t>100.0 %</w:t>
            </w: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2.1 %</w:t>
            </w:r>
          </w:p>
        </w:tc>
        <w:tc>
          <w:tcPr>
            <w:tcW w:w="1200" w:type="dxa"/>
            <w:vAlign w:val="bottom"/>
          </w:tcPr>
          <w:p>
            <w:pPr>
              <w:jc w:val="right"/>
              <w:spacing w:after="0"/>
              <w:rPr>
                <w:sz w:val="20"/>
                <w:szCs w:val="20"/>
                <w:color w:val="auto"/>
              </w:rPr>
            </w:pPr>
            <w:r>
              <w:rPr>
                <w:rFonts w:ascii="Arial" w:cs="Arial" w:eastAsia="Arial" w:hAnsi="Arial"/>
                <w:sz w:val="13"/>
                <w:szCs w:val="13"/>
                <w:color w:val="auto"/>
              </w:rPr>
              <w:t>0.1 %</w:t>
            </w:r>
          </w:p>
        </w:tc>
      </w:tr>
      <w:tr>
        <w:trPr>
          <w:trHeight w:val="159"/>
        </w:trPr>
        <w:tc>
          <w:tcPr>
            <w:tcW w:w="20" w:type="dxa"/>
            <w:vAlign w:val="bottom"/>
            <w:shd w:val="clear" w:color="auto" w:fill="CCEEFF"/>
          </w:tcPr>
          <w:p>
            <w:pPr>
              <w:spacing w:after="0"/>
              <w:rPr>
                <w:sz w:val="13"/>
                <w:szCs w:val="13"/>
                <w:color w:val="auto"/>
              </w:rPr>
            </w:pPr>
          </w:p>
        </w:tc>
        <w:tc>
          <w:tcPr>
            <w:tcW w:w="35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Costs and expenses:</w:t>
            </w:r>
          </w:p>
        </w:tc>
        <w:tc>
          <w:tcPr>
            <w:tcW w:w="20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7"/>
        </w:trPr>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Direct costs</w:t>
            </w:r>
          </w:p>
        </w:tc>
        <w:tc>
          <w:tcPr>
            <w:tcW w:w="2320" w:type="dxa"/>
            <w:vAlign w:val="bottom"/>
            <w:tcBorders>
              <w:top w:val="single" w:sz="8" w:color="CCEEFF"/>
            </w:tcBorders>
          </w:tcPr>
          <w:p>
            <w:pPr>
              <w:spacing w:after="0"/>
              <w:rPr>
                <w:sz w:val="15"/>
                <w:szCs w:val="15"/>
                <w:color w:val="auto"/>
              </w:rPr>
            </w:pPr>
          </w:p>
        </w:tc>
        <w:tc>
          <w:tcPr>
            <w:tcW w:w="2060" w:type="dxa"/>
            <w:vAlign w:val="bottom"/>
            <w:tcBorders>
              <w:top w:val="single" w:sz="8" w:color="CCEEFF"/>
            </w:tcBorders>
          </w:tcPr>
          <w:p>
            <w:pPr>
              <w:jc w:val="right"/>
              <w:ind w:right="253"/>
              <w:spacing w:after="0"/>
              <w:rPr>
                <w:sz w:val="20"/>
                <w:szCs w:val="20"/>
                <w:color w:val="auto"/>
              </w:rPr>
            </w:pPr>
            <w:r>
              <w:rPr>
                <w:rFonts w:ascii="Arial" w:cs="Arial" w:eastAsia="Arial" w:hAnsi="Arial"/>
                <w:sz w:val="13"/>
                <w:szCs w:val="13"/>
                <w:color w:val="auto"/>
              </w:rPr>
              <w:t>73.8 %</w:t>
            </w:r>
          </w:p>
        </w:tc>
        <w:tc>
          <w:tcPr>
            <w:tcW w:w="1480" w:type="dxa"/>
            <w:vAlign w:val="bottom"/>
            <w:tcBorders>
              <w:top w:val="single" w:sz="8" w:color="CCEEFF"/>
            </w:tcBorders>
          </w:tcPr>
          <w:p>
            <w:pPr>
              <w:jc w:val="right"/>
              <w:ind w:right="253"/>
              <w:spacing w:after="0"/>
              <w:rPr>
                <w:sz w:val="20"/>
                <w:szCs w:val="20"/>
                <w:color w:val="auto"/>
              </w:rPr>
            </w:pPr>
            <w:r>
              <w:rPr>
                <w:rFonts w:ascii="Arial" w:cs="Arial" w:eastAsia="Arial" w:hAnsi="Arial"/>
                <w:sz w:val="13"/>
                <w:szCs w:val="13"/>
                <w:color w:val="auto"/>
              </w:rPr>
              <w:t>70.2 %</w:t>
            </w:r>
          </w:p>
        </w:tc>
        <w:tc>
          <w:tcPr>
            <w:tcW w:w="1680" w:type="dxa"/>
            <w:vAlign w:val="bottom"/>
            <w:tcBorders>
              <w:top w:val="single" w:sz="8" w:color="CCEEFF"/>
            </w:tcBorders>
          </w:tcPr>
          <w:p>
            <w:pPr>
              <w:jc w:val="right"/>
              <w:ind w:right="453"/>
              <w:spacing w:after="0"/>
              <w:rPr>
                <w:sz w:val="20"/>
                <w:szCs w:val="20"/>
                <w:color w:val="auto"/>
              </w:rPr>
            </w:pPr>
            <w:r>
              <w:rPr>
                <w:rFonts w:ascii="Arial" w:cs="Arial" w:eastAsia="Arial" w:hAnsi="Arial"/>
                <w:sz w:val="13"/>
                <w:szCs w:val="13"/>
                <w:color w:val="auto"/>
              </w:rPr>
              <w:t>70.9 %</w:t>
            </w:r>
          </w:p>
        </w:tc>
        <w:tc>
          <w:tcPr>
            <w:tcW w:w="1280" w:type="dxa"/>
            <w:vAlign w:val="bottom"/>
            <w:tcBorders>
              <w:top w:val="single" w:sz="8" w:color="CCEEFF"/>
            </w:tcBorders>
          </w:tcPr>
          <w:p>
            <w:pPr>
              <w:jc w:val="right"/>
              <w:ind w:right="233"/>
              <w:spacing w:after="0"/>
              <w:rPr>
                <w:sz w:val="20"/>
                <w:szCs w:val="20"/>
                <w:color w:val="auto"/>
              </w:rPr>
            </w:pPr>
            <w:r>
              <w:rPr>
                <w:rFonts w:ascii="Arial" w:cs="Arial" w:eastAsia="Arial" w:hAnsi="Arial"/>
                <w:sz w:val="13"/>
                <w:szCs w:val="13"/>
                <w:color w:val="auto"/>
              </w:rPr>
              <w:t>7.4 %</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(0.9)%</w:t>
            </w:r>
          </w:p>
        </w:tc>
      </w:tr>
      <w:tr>
        <w:trPr>
          <w:trHeight w:val="179"/>
        </w:trPr>
        <w:tc>
          <w:tcPr>
            <w:tcW w:w="2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Selling, general and administrative expense</w:t>
            </w:r>
          </w:p>
        </w:tc>
        <w:tc>
          <w:tcPr>
            <w:tcW w:w="20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9.5 %</w:t>
            </w:r>
          </w:p>
        </w:tc>
        <w:tc>
          <w:tcPr>
            <w:tcW w:w="148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10.0 %</w:t>
            </w:r>
          </w:p>
        </w:tc>
        <w:tc>
          <w:tcPr>
            <w:tcW w:w="168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auto"/>
              </w:rPr>
              <w:t>9.1 %</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(3.9)%</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10.8 %</w:t>
            </w:r>
          </w:p>
        </w:tc>
      </w:tr>
      <w:tr>
        <w:trPr>
          <w:trHeight w:val="177"/>
        </w:trPr>
        <w:tc>
          <w:tcPr>
            <w:tcW w:w="20" w:type="dxa"/>
            <w:vAlign w:val="bottom"/>
          </w:tcPr>
          <w:p>
            <w:pPr>
              <w:spacing w:after="0"/>
              <w:rPr>
                <w:sz w:val="15"/>
                <w:szCs w:val="15"/>
                <w:color w:val="auto"/>
              </w:rPr>
            </w:pPr>
          </w:p>
        </w:tc>
        <w:tc>
          <w:tcPr>
            <w:tcW w:w="3560" w:type="dxa"/>
            <w:vAlign w:val="bottom"/>
            <w:gridSpan w:val="2"/>
          </w:tcPr>
          <w:p>
            <w:pPr>
              <w:ind w:left="100"/>
              <w:spacing w:after="0"/>
              <w:rPr>
                <w:sz w:val="20"/>
                <w:szCs w:val="20"/>
                <w:color w:val="auto"/>
              </w:rPr>
            </w:pPr>
            <w:r>
              <w:rPr>
                <w:rFonts w:ascii="Arial" w:cs="Arial" w:eastAsia="Arial" w:hAnsi="Arial"/>
                <w:sz w:val="13"/>
                <w:szCs w:val="13"/>
                <w:color w:val="auto"/>
              </w:rPr>
              <w:t>Depreciation</w:t>
            </w:r>
          </w:p>
        </w:tc>
        <w:tc>
          <w:tcPr>
            <w:tcW w:w="2060" w:type="dxa"/>
            <w:vAlign w:val="bottom"/>
          </w:tcPr>
          <w:p>
            <w:pPr>
              <w:jc w:val="right"/>
              <w:ind w:right="253"/>
              <w:spacing w:after="0"/>
              <w:rPr>
                <w:sz w:val="20"/>
                <w:szCs w:val="20"/>
                <w:color w:val="auto"/>
              </w:rPr>
            </w:pPr>
            <w:r>
              <w:rPr>
                <w:rFonts w:ascii="Arial" w:cs="Arial" w:eastAsia="Arial" w:hAnsi="Arial"/>
                <w:sz w:val="13"/>
                <w:szCs w:val="13"/>
                <w:color w:val="auto"/>
              </w:rPr>
              <w:t>2.0 %</w:t>
            </w:r>
          </w:p>
        </w:tc>
        <w:tc>
          <w:tcPr>
            <w:tcW w:w="1480" w:type="dxa"/>
            <w:vAlign w:val="bottom"/>
          </w:tcPr>
          <w:p>
            <w:pPr>
              <w:jc w:val="right"/>
              <w:ind w:right="253"/>
              <w:spacing w:after="0"/>
              <w:rPr>
                <w:sz w:val="20"/>
                <w:szCs w:val="20"/>
                <w:color w:val="auto"/>
              </w:rPr>
            </w:pPr>
            <w:r>
              <w:rPr>
                <w:rFonts w:ascii="Arial" w:cs="Arial" w:eastAsia="Arial" w:hAnsi="Arial"/>
                <w:sz w:val="13"/>
                <w:szCs w:val="13"/>
                <w:color w:val="auto"/>
              </w:rPr>
              <w:t>1.8 %</w:t>
            </w:r>
          </w:p>
        </w:tc>
        <w:tc>
          <w:tcPr>
            <w:tcW w:w="1680" w:type="dxa"/>
            <w:vAlign w:val="bottom"/>
          </w:tcPr>
          <w:p>
            <w:pPr>
              <w:jc w:val="right"/>
              <w:ind w:right="453"/>
              <w:spacing w:after="0"/>
              <w:rPr>
                <w:sz w:val="20"/>
                <w:szCs w:val="20"/>
                <w:color w:val="auto"/>
              </w:rPr>
            </w:pPr>
            <w:r>
              <w:rPr>
                <w:rFonts w:ascii="Arial" w:cs="Arial" w:eastAsia="Arial" w:hAnsi="Arial"/>
                <w:sz w:val="13"/>
                <w:szCs w:val="13"/>
                <w:color w:val="auto"/>
              </w:rPr>
              <w:t>1.5 %</w:t>
            </w: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15.3 %</w:t>
            </w:r>
          </w:p>
        </w:tc>
        <w:tc>
          <w:tcPr>
            <w:tcW w:w="1200" w:type="dxa"/>
            <w:vAlign w:val="bottom"/>
          </w:tcPr>
          <w:p>
            <w:pPr>
              <w:jc w:val="right"/>
              <w:spacing w:after="0"/>
              <w:rPr>
                <w:sz w:val="20"/>
                <w:szCs w:val="20"/>
                <w:color w:val="auto"/>
              </w:rPr>
            </w:pPr>
            <w:r>
              <w:rPr>
                <w:rFonts w:ascii="Arial" w:cs="Arial" w:eastAsia="Arial" w:hAnsi="Arial"/>
                <w:sz w:val="13"/>
                <w:szCs w:val="13"/>
                <w:color w:val="auto"/>
              </w:rPr>
              <w:t>11.3 %</w:t>
            </w:r>
          </w:p>
        </w:tc>
      </w:tr>
      <w:tr>
        <w:trPr>
          <w:trHeight w:val="179"/>
        </w:trPr>
        <w:tc>
          <w:tcPr>
            <w:tcW w:w="2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20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2.8 %</w:t>
            </w:r>
          </w:p>
        </w:tc>
        <w:tc>
          <w:tcPr>
            <w:tcW w:w="148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2.8 %</w:t>
            </w:r>
          </w:p>
        </w:tc>
        <w:tc>
          <w:tcPr>
            <w:tcW w:w="168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auto"/>
              </w:rPr>
              <w:t>5.6 %</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1.1 %</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r>
      <w:tr>
        <w:trPr>
          <w:trHeight w:val="177"/>
        </w:trPr>
        <w:tc>
          <w:tcPr>
            <w:tcW w:w="20" w:type="dxa"/>
            <w:vAlign w:val="bottom"/>
          </w:tcPr>
          <w:p>
            <w:pPr>
              <w:spacing w:after="0"/>
              <w:rPr>
                <w:sz w:val="15"/>
                <w:szCs w:val="15"/>
                <w:color w:val="auto"/>
              </w:rPr>
            </w:pPr>
          </w:p>
        </w:tc>
        <w:tc>
          <w:tcPr>
            <w:tcW w:w="3560" w:type="dxa"/>
            <w:vAlign w:val="bottom"/>
            <w:gridSpan w:val="2"/>
          </w:tcPr>
          <w:p>
            <w:pPr>
              <w:ind w:left="100"/>
              <w:spacing w:after="0"/>
              <w:rPr>
                <w:sz w:val="20"/>
                <w:szCs w:val="20"/>
                <w:color w:val="auto"/>
              </w:rPr>
            </w:pPr>
            <w:r>
              <w:rPr>
                <w:rFonts w:ascii="Arial" w:cs="Arial" w:eastAsia="Arial" w:hAnsi="Arial"/>
                <w:sz w:val="13"/>
                <w:szCs w:val="13"/>
                <w:color w:val="auto"/>
              </w:rPr>
              <w:t>Transaction and integration related</w:t>
            </w:r>
          </w:p>
        </w:tc>
        <w:tc>
          <w:tcPr>
            <w:tcW w:w="2060" w:type="dxa"/>
            <w:vAlign w:val="bottom"/>
          </w:tcPr>
          <w:p>
            <w:pPr>
              <w:jc w:val="right"/>
              <w:ind w:right="253"/>
              <w:spacing w:after="0"/>
              <w:rPr>
                <w:sz w:val="20"/>
                <w:szCs w:val="20"/>
                <w:color w:val="auto"/>
              </w:rPr>
            </w:pPr>
            <w:r>
              <w:rPr>
                <w:rFonts w:ascii="Arial" w:cs="Arial" w:eastAsia="Arial" w:hAnsi="Arial"/>
                <w:sz w:val="13"/>
                <w:szCs w:val="13"/>
                <w:color w:val="auto"/>
              </w:rPr>
              <w:t>0.3 %</w:t>
            </w:r>
          </w:p>
        </w:tc>
        <w:tc>
          <w:tcPr>
            <w:tcW w:w="1480" w:type="dxa"/>
            <w:vAlign w:val="bottom"/>
          </w:tcPr>
          <w:p>
            <w:pPr>
              <w:jc w:val="right"/>
              <w:ind w:right="253"/>
              <w:spacing w:after="0"/>
              <w:rPr>
                <w:sz w:val="20"/>
                <w:szCs w:val="20"/>
                <w:color w:val="auto"/>
              </w:rPr>
            </w:pPr>
            <w:r>
              <w:rPr>
                <w:rFonts w:ascii="Arial" w:cs="Arial" w:eastAsia="Arial" w:hAnsi="Arial"/>
                <w:sz w:val="13"/>
                <w:szCs w:val="13"/>
                <w:color w:val="auto"/>
              </w:rPr>
              <w:t>0.4 %</w:t>
            </w:r>
          </w:p>
        </w:tc>
        <w:tc>
          <w:tcPr>
            <w:tcW w:w="1680" w:type="dxa"/>
            <w:vAlign w:val="bottom"/>
          </w:tcPr>
          <w:p>
            <w:pPr>
              <w:jc w:val="right"/>
              <w:ind w:right="453"/>
              <w:spacing w:after="0"/>
              <w:rPr>
                <w:sz w:val="20"/>
                <w:szCs w:val="20"/>
                <w:color w:val="auto"/>
              </w:rPr>
            </w:pPr>
            <w:r>
              <w:rPr>
                <w:rFonts w:ascii="Arial" w:cs="Arial" w:eastAsia="Arial" w:hAnsi="Arial"/>
                <w:sz w:val="13"/>
                <w:szCs w:val="13"/>
                <w:color w:val="auto"/>
              </w:rPr>
              <w:t>0.5 %</w:t>
            </w:r>
          </w:p>
        </w:tc>
        <w:tc>
          <w:tcPr>
            <w:tcW w:w="1280" w:type="dxa"/>
            <w:vAlign w:val="bottom"/>
          </w:tcPr>
          <w:p>
            <w:pPr>
              <w:jc w:val="right"/>
              <w:ind w:right="233"/>
              <w:spacing w:after="0"/>
              <w:rPr>
                <w:sz w:val="20"/>
                <w:szCs w:val="20"/>
                <w:color w:val="auto"/>
              </w:rPr>
            </w:pPr>
            <w:r>
              <w:rPr>
                <w:rFonts w:ascii="Arial" w:cs="Arial" w:eastAsia="Arial" w:hAnsi="Arial"/>
                <w:sz w:val="13"/>
                <w:szCs w:val="13"/>
                <w:color w:val="auto"/>
              </w:rPr>
              <w:t>(10.6)%</w:t>
            </w:r>
          </w:p>
        </w:tc>
        <w:tc>
          <w:tcPr>
            <w:tcW w:w="1200" w:type="dxa"/>
            <w:vAlign w:val="bottom"/>
          </w:tcPr>
          <w:p>
            <w:pPr>
              <w:jc w:val="right"/>
              <w:spacing w:after="0"/>
              <w:rPr>
                <w:sz w:val="20"/>
                <w:szCs w:val="20"/>
                <w:color w:val="auto"/>
              </w:rPr>
            </w:pPr>
            <w:r>
              <w:rPr>
                <w:rFonts w:ascii="Arial" w:cs="Arial" w:eastAsia="Arial" w:hAnsi="Arial"/>
                <w:sz w:val="13"/>
                <w:szCs w:val="13"/>
                <w:color w:val="auto"/>
              </w:rPr>
              <w:t>(24.7)%</w:t>
            </w:r>
          </w:p>
        </w:tc>
      </w:tr>
      <w:tr>
        <w:trPr>
          <w:trHeight w:val="179"/>
        </w:trPr>
        <w:tc>
          <w:tcPr>
            <w:tcW w:w="2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Goodwill impairment</w:t>
            </w:r>
          </w:p>
        </w:tc>
        <w:tc>
          <w:tcPr>
            <w:tcW w:w="20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17.5 %</w:t>
            </w:r>
          </w:p>
        </w:tc>
        <w:tc>
          <w:tcPr>
            <w:tcW w:w="148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 %</w:t>
            </w:r>
          </w:p>
        </w:tc>
        <w:tc>
          <w:tcPr>
            <w:tcW w:w="168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auto"/>
              </w:rPr>
              <w:t>— %</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NM</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77"/>
        </w:trPr>
        <w:tc>
          <w:tcPr>
            <w:tcW w:w="2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Impairment of non-financial assets</w:t>
            </w:r>
          </w:p>
        </w:tc>
        <w:tc>
          <w:tcPr>
            <w:tcW w:w="20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4.8 %</w:t>
            </w:r>
          </w:p>
        </w:tc>
        <w:tc>
          <w:tcPr>
            <w:tcW w:w="14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 %</w:t>
            </w:r>
          </w:p>
        </w:tc>
        <w:tc>
          <w:tcPr>
            <w:tcW w:w="16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color w:val="auto"/>
              </w:rPr>
              <w:t>— %</w:t>
            </w: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NM</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NM</w:t>
            </w:r>
          </w:p>
        </w:tc>
      </w:tr>
      <w:tr>
        <w:trPr>
          <w:trHeight w:val="194"/>
        </w:trPr>
        <w:tc>
          <w:tcPr>
            <w:tcW w:w="35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20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(10.7)%</w:t>
            </w:r>
          </w:p>
        </w:tc>
        <w:tc>
          <w:tcPr>
            <w:tcW w:w="14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14.8 %</w:t>
            </w:r>
          </w:p>
        </w:tc>
        <w:tc>
          <w:tcPr>
            <w:tcW w:w="16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3"/>
                <w:szCs w:val="13"/>
                <w:color w:val="auto"/>
              </w:rPr>
              <w:t>12.4 %</w:t>
            </w:r>
          </w:p>
        </w:tc>
        <w:tc>
          <w:tcPr>
            <w:tcW w:w="12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(173.7)%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8"/>
        </w:trPr>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2780" w:type="dxa"/>
            <w:vAlign w:val="bottom"/>
            <w:tcBorders>
              <w:bottom w:val="single" w:sz="8" w:color="auto"/>
            </w:tcBorders>
            <w:gridSpan w:val="3"/>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Three Months Ended September 30,</w:t>
            </w:r>
          </w:p>
        </w:tc>
        <w:tc>
          <w:tcPr>
            <w:tcW w:w="6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3"/>
                <w:szCs w:val="13"/>
                <w:b w:val="1"/>
                <w:bCs w:val="1"/>
                <w:color w:val="auto"/>
              </w:rPr>
              <w:t>Change</w:t>
            </w:r>
          </w:p>
        </w:tc>
        <w:tc>
          <w:tcPr>
            <w:tcW w:w="1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28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i w:val="1"/>
                <w:iCs w:val="1"/>
                <w:color w:val="auto"/>
              </w:rPr>
              <w:t>(in thousands)</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320" w:type="dxa"/>
            <w:vAlign w:val="bottom"/>
            <w:shd w:val="clear" w:color="auto" w:fill="CCEEFF"/>
          </w:tcPr>
          <w:p>
            <w:pPr>
              <w:spacing w:after="0"/>
              <w:rPr>
                <w:sz w:val="10"/>
                <w:szCs w:val="10"/>
                <w:color w:val="auto"/>
              </w:rPr>
            </w:pPr>
          </w:p>
        </w:tc>
        <w:tc>
          <w:tcPr>
            <w:tcW w:w="1380" w:type="dxa"/>
            <w:vAlign w:val="bottom"/>
            <w:shd w:val="clear" w:color="auto" w:fill="CCEEFF"/>
          </w:tcPr>
          <w:p>
            <w:pPr>
              <w:jc w:val="right"/>
              <w:ind w:right="33"/>
              <w:spacing w:after="0" w:line="124" w:lineRule="exact"/>
              <w:rPr>
                <w:sz w:val="20"/>
                <w:szCs w:val="20"/>
                <w:color w:val="auto"/>
              </w:rPr>
            </w:pPr>
            <w:r>
              <w:rPr>
                <w:rFonts w:ascii="Arial" w:cs="Arial" w:eastAsia="Arial" w:hAnsi="Arial"/>
                <w:sz w:val="13"/>
                <w:szCs w:val="13"/>
                <w:b w:val="1"/>
                <w:bCs w:val="1"/>
                <w:color w:val="auto"/>
              </w:rPr>
              <w:t>2025 vs 2024</w:t>
            </w: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jc w:val="right"/>
              <w:ind w:right="93"/>
              <w:spacing w:after="0" w:line="124" w:lineRule="exact"/>
              <w:rPr>
                <w:sz w:val="20"/>
                <w:szCs w:val="20"/>
                <w:color w:val="auto"/>
              </w:rPr>
            </w:pPr>
            <w:r>
              <w:rPr>
                <w:rFonts w:ascii="Arial" w:cs="Arial" w:eastAsia="Arial" w:hAnsi="Arial"/>
                <w:sz w:val="13"/>
                <w:szCs w:val="13"/>
                <w:b w:val="1"/>
                <w:bCs w:val="1"/>
                <w:color w:val="auto"/>
              </w:rPr>
              <w:t>2024 vs 2023</w:t>
            </w: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280" w:type="dxa"/>
            <w:vAlign w:val="bottom"/>
            <w:tcBorders>
              <w:bottom w:val="single" w:sz="8" w:color="auto"/>
            </w:tcBorders>
            <w:gridSpan w:val="3"/>
            <w:vMerge w:val="continue"/>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(As Restated)</w:t>
            </w:r>
          </w:p>
        </w:tc>
        <w:tc>
          <w:tcPr>
            <w:tcW w:w="6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(As Restated)</w:t>
            </w:r>
          </w:p>
        </w:tc>
        <w:tc>
          <w:tcPr>
            <w:tcW w:w="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80" w:type="dxa"/>
            <w:vAlign w:val="bottom"/>
            <w:gridSpan w:val="3"/>
          </w:tcPr>
          <w:p>
            <w:pPr>
              <w:ind w:left="20"/>
              <w:spacing w:after="0"/>
              <w:rPr>
                <w:sz w:val="20"/>
                <w:szCs w:val="20"/>
                <w:color w:val="auto"/>
              </w:rPr>
            </w:pPr>
            <w:r>
              <w:rPr>
                <w:rFonts w:ascii="Arial" w:cs="Arial" w:eastAsia="Arial" w:hAnsi="Arial"/>
                <w:sz w:val="13"/>
                <w:szCs w:val="13"/>
                <w:color w:val="auto"/>
              </w:rPr>
              <w:t>Revenue</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2,084,415</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2,041,943</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2,040,314</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73"/>
              <w:spacing w:after="0"/>
              <w:rPr>
                <w:sz w:val="20"/>
                <w:szCs w:val="20"/>
                <w:color w:val="auto"/>
              </w:rPr>
            </w:pPr>
            <w:r>
              <w:rPr>
                <w:rFonts w:ascii="Arial" w:cs="Arial" w:eastAsia="Arial" w:hAnsi="Arial"/>
                <w:sz w:val="13"/>
                <w:szCs w:val="13"/>
                <w:color w:val="auto"/>
              </w:rPr>
              <w:t>42,472</w:t>
            </w:r>
          </w:p>
        </w:tc>
        <w:tc>
          <w:tcPr>
            <w:tcW w:w="1080" w:type="dxa"/>
            <w:vAlign w:val="bottom"/>
            <w:gridSpan w:val="2"/>
          </w:tcPr>
          <w:p>
            <w:pPr>
              <w:jc w:val="right"/>
              <w:ind w:right="273"/>
              <w:spacing w:after="0"/>
              <w:rPr>
                <w:sz w:val="20"/>
                <w:szCs w:val="20"/>
                <w:color w:val="auto"/>
              </w:rPr>
            </w:pPr>
            <w:r>
              <w:rPr>
                <w:rFonts w:ascii="Arial" w:cs="Arial" w:eastAsia="Arial" w:hAnsi="Arial"/>
                <w:sz w:val="13"/>
                <w:szCs w:val="13"/>
                <w:color w:val="auto"/>
              </w:rPr>
              <w:t>2.1 % $</w:t>
            </w:r>
          </w:p>
        </w:tc>
        <w:tc>
          <w:tcPr>
            <w:tcW w:w="1320" w:type="dxa"/>
            <w:vAlign w:val="bottom"/>
          </w:tcPr>
          <w:p>
            <w:pPr>
              <w:jc w:val="right"/>
              <w:ind w:right="613"/>
              <w:spacing w:after="0"/>
              <w:rPr>
                <w:sz w:val="20"/>
                <w:szCs w:val="20"/>
                <w:color w:val="auto"/>
              </w:rPr>
            </w:pPr>
            <w:r>
              <w:rPr>
                <w:rFonts w:ascii="Arial" w:cs="Arial" w:eastAsia="Arial" w:hAnsi="Arial"/>
                <w:sz w:val="13"/>
                <w:szCs w:val="13"/>
                <w:color w:val="auto"/>
              </w:rPr>
              <w:t>1,629</w:t>
            </w:r>
          </w:p>
        </w:tc>
        <w:tc>
          <w:tcPr>
            <w:tcW w:w="620" w:type="dxa"/>
            <w:vAlign w:val="bottom"/>
          </w:tcPr>
          <w:p>
            <w:pPr>
              <w:jc w:val="right"/>
              <w:spacing w:after="0"/>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Costs and expenses:</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tcPr>
          <w:p>
            <w:pPr>
              <w:spacing w:after="0"/>
              <w:rPr>
                <w:sz w:val="15"/>
                <w:szCs w:val="15"/>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Direct costs</w:t>
            </w:r>
          </w:p>
        </w:tc>
        <w:tc>
          <w:tcPr>
            <w:tcW w:w="10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1,538,951</w:t>
            </w:r>
          </w:p>
        </w:tc>
        <w:tc>
          <w:tcPr>
            <w:tcW w:w="30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1,433,394</w:t>
            </w:r>
          </w:p>
        </w:tc>
        <w:tc>
          <w:tcPr>
            <w:tcW w:w="3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1,445,742</w:t>
            </w:r>
          </w:p>
        </w:tc>
        <w:tc>
          <w:tcPr>
            <w:tcW w:w="32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jc w:val="right"/>
              <w:ind w:right="573"/>
              <w:spacing w:after="0"/>
              <w:rPr>
                <w:sz w:val="20"/>
                <w:szCs w:val="20"/>
                <w:color w:val="auto"/>
              </w:rPr>
            </w:pPr>
            <w:r>
              <w:rPr>
                <w:rFonts w:ascii="Arial" w:cs="Arial" w:eastAsia="Arial" w:hAnsi="Arial"/>
                <w:sz w:val="13"/>
                <w:szCs w:val="13"/>
                <w:color w:val="auto"/>
              </w:rPr>
              <w:t>105,557</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7.4 %</w:t>
            </w:r>
          </w:p>
        </w:tc>
        <w:tc>
          <w:tcPr>
            <w:tcW w:w="42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jc w:val="right"/>
              <w:ind w:right="573"/>
              <w:spacing w:after="0"/>
              <w:rPr>
                <w:sz w:val="20"/>
                <w:szCs w:val="20"/>
                <w:color w:val="auto"/>
              </w:rPr>
            </w:pPr>
            <w:r>
              <w:rPr>
                <w:rFonts w:ascii="Arial" w:cs="Arial" w:eastAsia="Arial" w:hAnsi="Arial"/>
                <w:sz w:val="13"/>
                <w:szCs w:val="13"/>
                <w:color w:val="auto"/>
              </w:rPr>
              <w:t>(12,348)</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3"/>
                <w:szCs w:val="13"/>
                <w:color w:val="auto"/>
              </w:rPr>
              <w:t>Selling, general and administrative</w:t>
            </w: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197,049</w:t>
            </w: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205,095</w:t>
            </w: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185,187</w:t>
            </w: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jc w:val="right"/>
              <w:ind w:right="533"/>
              <w:spacing w:after="0" w:line="136" w:lineRule="exact"/>
              <w:rPr>
                <w:sz w:val="20"/>
                <w:szCs w:val="20"/>
                <w:color w:val="auto"/>
              </w:rPr>
            </w:pPr>
            <w:r>
              <w:rPr>
                <w:rFonts w:ascii="Arial" w:cs="Arial" w:eastAsia="Arial" w:hAnsi="Arial"/>
                <w:sz w:val="13"/>
                <w:szCs w:val="13"/>
                <w:color w:val="auto"/>
              </w:rPr>
              <w:t>(8,046)</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(3.9)%</w:t>
            </w: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613"/>
              <w:spacing w:after="0" w:line="136" w:lineRule="exact"/>
              <w:rPr>
                <w:sz w:val="20"/>
                <w:szCs w:val="20"/>
                <w:color w:val="auto"/>
              </w:rPr>
            </w:pPr>
            <w:r>
              <w:rPr>
                <w:rFonts w:ascii="Arial" w:cs="Arial" w:eastAsia="Arial" w:hAnsi="Arial"/>
                <w:sz w:val="13"/>
                <w:szCs w:val="13"/>
                <w:color w:val="auto"/>
              </w:rPr>
              <w:t>19,908</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10.8 %</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expense</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60" w:type="dxa"/>
            <w:vAlign w:val="bottom"/>
            <w:gridSpan w:val="2"/>
          </w:tcPr>
          <w:p>
            <w:pPr>
              <w:ind w:left="100"/>
              <w:spacing w:after="0"/>
              <w:rPr>
                <w:sz w:val="20"/>
                <w:szCs w:val="20"/>
                <w:color w:val="auto"/>
              </w:rPr>
            </w:pPr>
            <w:r>
              <w:rPr>
                <w:rFonts w:ascii="Arial" w:cs="Arial" w:eastAsia="Arial" w:hAnsi="Arial"/>
                <w:sz w:val="13"/>
                <w:szCs w:val="13"/>
                <w:color w:val="auto"/>
              </w:rPr>
              <w:t>Depreciation</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40,342</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35,003</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31,459</w:t>
            </w:r>
          </w:p>
        </w:tc>
        <w:tc>
          <w:tcPr>
            <w:tcW w:w="320" w:type="dxa"/>
            <w:vAlign w:val="bottom"/>
          </w:tcPr>
          <w:p>
            <w:pPr>
              <w:spacing w:after="0"/>
              <w:rPr>
                <w:sz w:val="15"/>
                <w:szCs w:val="15"/>
                <w:color w:val="auto"/>
              </w:rPr>
            </w:pPr>
          </w:p>
        </w:tc>
        <w:tc>
          <w:tcPr>
            <w:tcW w:w="1380" w:type="dxa"/>
            <w:vAlign w:val="bottom"/>
          </w:tcPr>
          <w:p>
            <w:pPr>
              <w:jc w:val="right"/>
              <w:ind w:right="573"/>
              <w:spacing w:after="0"/>
              <w:rPr>
                <w:sz w:val="20"/>
                <w:szCs w:val="20"/>
                <w:color w:val="auto"/>
              </w:rPr>
            </w:pPr>
            <w:r>
              <w:rPr>
                <w:rFonts w:ascii="Arial" w:cs="Arial" w:eastAsia="Arial" w:hAnsi="Arial"/>
                <w:sz w:val="13"/>
                <w:szCs w:val="13"/>
                <w:color w:val="auto"/>
              </w:rPr>
              <w:t>5,339</w:t>
            </w:r>
          </w:p>
        </w:tc>
        <w:tc>
          <w:tcPr>
            <w:tcW w:w="660" w:type="dxa"/>
            <w:vAlign w:val="bottom"/>
          </w:tcPr>
          <w:p>
            <w:pPr>
              <w:jc w:val="right"/>
              <w:spacing w:after="0"/>
              <w:rPr>
                <w:sz w:val="20"/>
                <w:szCs w:val="20"/>
                <w:color w:val="auto"/>
              </w:rPr>
            </w:pPr>
            <w:r>
              <w:rPr>
                <w:rFonts w:ascii="Arial" w:cs="Arial" w:eastAsia="Arial" w:hAnsi="Arial"/>
                <w:sz w:val="13"/>
                <w:szCs w:val="13"/>
                <w:color w:val="auto"/>
              </w:rPr>
              <w:t>15.3 %</w:t>
            </w:r>
          </w:p>
        </w:tc>
        <w:tc>
          <w:tcPr>
            <w:tcW w:w="420" w:type="dxa"/>
            <w:vAlign w:val="bottom"/>
          </w:tcPr>
          <w:p>
            <w:pPr>
              <w:spacing w:after="0"/>
              <w:rPr>
                <w:sz w:val="15"/>
                <w:szCs w:val="15"/>
                <w:color w:val="auto"/>
              </w:rPr>
            </w:pPr>
          </w:p>
        </w:tc>
        <w:tc>
          <w:tcPr>
            <w:tcW w:w="1320" w:type="dxa"/>
            <w:vAlign w:val="bottom"/>
          </w:tcPr>
          <w:p>
            <w:pPr>
              <w:jc w:val="right"/>
              <w:ind w:right="613"/>
              <w:spacing w:after="0"/>
              <w:rPr>
                <w:sz w:val="20"/>
                <w:szCs w:val="20"/>
                <w:color w:val="auto"/>
              </w:rPr>
            </w:pPr>
            <w:r>
              <w:rPr>
                <w:rFonts w:ascii="Arial" w:cs="Arial" w:eastAsia="Arial" w:hAnsi="Arial"/>
                <w:sz w:val="13"/>
                <w:szCs w:val="13"/>
                <w:color w:val="auto"/>
              </w:rPr>
              <w:t>3,544</w:t>
            </w:r>
          </w:p>
        </w:tc>
        <w:tc>
          <w:tcPr>
            <w:tcW w:w="620" w:type="dxa"/>
            <w:vAlign w:val="bottom"/>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58,688</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58,026</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114,573</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662</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(56,547)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60" w:type="dxa"/>
            <w:vAlign w:val="bottom"/>
            <w:gridSpan w:val="2"/>
          </w:tcPr>
          <w:p>
            <w:pPr>
              <w:ind w:left="100"/>
              <w:spacing w:after="0"/>
              <w:rPr>
                <w:sz w:val="20"/>
                <w:szCs w:val="20"/>
                <w:color w:val="auto"/>
              </w:rPr>
            </w:pPr>
            <w:r>
              <w:rPr>
                <w:rFonts w:ascii="Arial" w:cs="Arial" w:eastAsia="Arial" w:hAnsi="Arial"/>
                <w:sz w:val="13"/>
                <w:szCs w:val="13"/>
                <w:color w:val="auto"/>
              </w:rPr>
              <w:t>Transaction and integration related</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7,020</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7,856</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10,433</w:t>
            </w:r>
          </w:p>
        </w:tc>
        <w:tc>
          <w:tcPr>
            <w:tcW w:w="320" w:type="dxa"/>
            <w:vAlign w:val="bottom"/>
          </w:tcPr>
          <w:p>
            <w:pPr>
              <w:spacing w:after="0"/>
              <w:rPr>
                <w:sz w:val="15"/>
                <w:szCs w:val="15"/>
                <w:color w:val="auto"/>
              </w:rPr>
            </w:pPr>
          </w:p>
        </w:tc>
        <w:tc>
          <w:tcPr>
            <w:tcW w:w="1380" w:type="dxa"/>
            <w:vAlign w:val="bottom"/>
          </w:tcPr>
          <w:p>
            <w:pPr>
              <w:jc w:val="right"/>
              <w:ind w:right="533"/>
              <w:spacing w:after="0"/>
              <w:rPr>
                <w:sz w:val="20"/>
                <w:szCs w:val="20"/>
                <w:color w:val="auto"/>
              </w:rPr>
            </w:pPr>
            <w:r>
              <w:rPr>
                <w:rFonts w:ascii="Arial" w:cs="Arial" w:eastAsia="Arial" w:hAnsi="Arial"/>
                <w:sz w:val="13"/>
                <w:szCs w:val="13"/>
                <w:color w:val="auto"/>
              </w:rPr>
              <w:t>(836)</w:t>
            </w:r>
          </w:p>
        </w:tc>
        <w:tc>
          <w:tcPr>
            <w:tcW w:w="660" w:type="dxa"/>
            <w:vAlign w:val="bottom"/>
          </w:tcPr>
          <w:p>
            <w:pPr>
              <w:jc w:val="right"/>
              <w:spacing w:after="0"/>
              <w:rPr>
                <w:sz w:val="20"/>
                <w:szCs w:val="20"/>
                <w:color w:val="auto"/>
              </w:rPr>
            </w:pPr>
            <w:r>
              <w:rPr>
                <w:rFonts w:ascii="Arial" w:cs="Arial" w:eastAsia="Arial" w:hAnsi="Arial"/>
                <w:sz w:val="13"/>
                <w:szCs w:val="13"/>
                <w:color w:val="auto"/>
              </w:rPr>
              <w:t>(10.6)%</w:t>
            </w:r>
          </w:p>
        </w:tc>
        <w:tc>
          <w:tcPr>
            <w:tcW w:w="420" w:type="dxa"/>
            <w:vAlign w:val="bottom"/>
          </w:tcPr>
          <w:p>
            <w:pPr>
              <w:spacing w:after="0"/>
              <w:rPr>
                <w:sz w:val="15"/>
                <w:szCs w:val="15"/>
                <w:color w:val="auto"/>
              </w:rPr>
            </w:pPr>
          </w:p>
        </w:tc>
        <w:tc>
          <w:tcPr>
            <w:tcW w:w="1320" w:type="dxa"/>
            <w:vAlign w:val="bottom"/>
          </w:tcPr>
          <w:p>
            <w:pPr>
              <w:jc w:val="right"/>
              <w:ind w:right="573"/>
              <w:spacing w:after="0"/>
              <w:rPr>
                <w:sz w:val="20"/>
                <w:szCs w:val="20"/>
                <w:color w:val="auto"/>
              </w:rPr>
            </w:pPr>
            <w:r>
              <w:rPr>
                <w:rFonts w:ascii="Arial" w:cs="Arial" w:eastAsia="Arial" w:hAnsi="Arial"/>
                <w:sz w:val="13"/>
                <w:szCs w:val="13"/>
                <w:color w:val="auto"/>
              </w:rPr>
              <w:t>(2,577)</w:t>
            </w:r>
          </w:p>
        </w:tc>
        <w:tc>
          <w:tcPr>
            <w:tcW w:w="620" w:type="dxa"/>
            <w:vAlign w:val="bottom"/>
          </w:tcPr>
          <w:p>
            <w:pPr>
              <w:jc w:val="right"/>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Goodwill impairment</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364,248</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364,248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1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Impairment of non-financial assets</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101,027</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color w:val="auto"/>
              </w:rPr>
              <w:t>101,027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NM</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94"/>
        </w:trPr>
        <w:tc>
          <w:tcPr>
            <w:tcW w:w="22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(222,910)</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302,569</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252,920</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3"/>
                <w:szCs w:val="13"/>
                <w:color w:val="auto"/>
              </w:rPr>
              <w:t>(525,479)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(173.7)%</w:t>
            </w:r>
          </w:p>
        </w:tc>
        <w:tc>
          <w:tcPr>
            <w:tcW w:w="4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3"/>
                <w:szCs w:val="13"/>
                <w:color w:val="auto"/>
              </w:rPr>
              <w:t>49,649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(as restated)</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Revenue for the three months ended September 30, 2025 increased by $42.5 million, or 2.1%, to $2,084.4 million, compared to $2,041.9 million for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2024; and for the three months ended September 30, 2024 increased by $1.6 million, or 0.1%, to $2,041.9 million, compared to $2,040.3 million for the three months ended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2023. Revenue increased by 0.5% and increased by 0.3% in constant currency terms for the three months ended September 30, 2025 and September 30, 2024 respectively.</w:t>
      </w:r>
    </w:p>
    <w:p>
      <w:pPr>
        <w:spacing w:after="0" w:line="205" w:lineRule="exact"/>
        <w:rPr>
          <w:sz w:val="20"/>
          <w:szCs w:val="20"/>
          <w:color w:val="auto"/>
        </w:rPr>
      </w:pPr>
    </w:p>
    <w:p>
      <w:pPr>
        <w:jc w:val="both"/>
        <w:ind w:firstLine="533"/>
        <w:spacing w:after="0" w:line="272" w:lineRule="auto"/>
        <w:rPr>
          <w:sz w:val="20"/>
          <w:szCs w:val="20"/>
          <w:color w:val="auto"/>
        </w:rPr>
      </w:pPr>
      <w:r>
        <w:rPr>
          <w:rFonts w:ascii="Arial" w:cs="Arial" w:eastAsia="Arial" w:hAnsi="Arial"/>
          <w:sz w:val="13"/>
          <w:szCs w:val="13"/>
          <w:color w:val="auto"/>
        </w:rPr>
        <w:t>During the three months ended September 30, 2025, we derived 31.1%, 57.6% and 11.3% of our revenue in the United States, Europe and Rest of World respectively. During the three months ended September 30, 2024, we derived 37.0%, 51.3% and 11.7% of our revenue in the United States, Europe and Rest of World respectively and for the three months ended September 30, 2023, we derived 40.7%</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47.4% and 11.9% in the United States, Europe and Rest of World respectively. Revenues from our top five customers amounted to $501.3 million, $508.4 million and $515.2 million for the three months ended September 30, 2025, September 30, 2024 and September 30, 2023 respectively, or 24.1%, 24.9% and 25.3% of total revenue respectively. New customer accounts are continually added across the full portfolio of large pharma customers, mid-tier pharma customers and biotech customers.</w:t>
      </w:r>
    </w:p>
    <w:p>
      <w:pPr>
        <w:spacing w:after="0" w:line="173"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3"/>
          <w:szCs w:val="13"/>
          <w:color w:val="auto"/>
        </w:rPr>
        <w:t>Revenue in Ireland for the three months ended September 30, 2025 increased by $174.4 million to $801.8 million, compared to $627.4 million for the three months ended September 30, 2024; and increased by $44.6 million for the three months ended September 30, 2024, to $627.4 million, compared to $582.8 million for the three months ended September 30, 2023. Revenue in Ireland for the three months ended September 30, 2025 increased by 27.8% compared to an overall increase in Group revenue of 2.1%; and increased by 7.7% for the three months ended September 30, 2024 compared to an overall increase in Group revenue of 0.1%. Revenue in Ireland is principally a function of our global contracting model.</w:t>
      </w:r>
    </w:p>
    <w:p>
      <w:pPr>
        <w:spacing w:after="0" w:line="163"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3"/>
          <w:szCs w:val="13"/>
          <w:color w:val="auto"/>
        </w:rPr>
        <w:t>Revenue in our Rest of Europe region for the three months ended September 30, 2025 decreased by $21.8 million or 5.2%, to $399.0 million, compared to $420.8 million for the three months ended September 30, 2024; and increased by $36.5 million or 9.5% for the three months ended September 30, 2024, to $420.8 million, compared to $384.3 million for the three months ended September 30, 2023.</w:t>
      </w:r>
    </w:p>
    <w:p>
      <w:pPr>
        <w:spacing w:after="0" w:line="170" w:lineRule="exact"/>
        <w:rPr>
          <w:sz w:val="20"/>
          <w:szCs w:val="20"/>
          <w:color w:val="auto"/>
        </w:rPr>
      </w:pPr>
    </w:p>
    <w:p>
      <w:pPr>
        <w:jc w:val="both"/>
        <w:ind w:firstLine="533"/>
        <w:spacing w:after="0" w:line="270" w:lineRule="auto"/>
        <w:rPr>
          <w:sz w:val="20"/>
          <w:szCs w:val="20"/>
          <w:color w:val="auto"/>
        </w:rPr>
      </w:pPr>
      <w:r>
        <w:rPr>
          <w:rFonts w:ascii="Arial" w:cs="Arial" w:eastAsia="Arial" w:hAnsi="Arial"/>
          <w:sz w:val="13"/>
          <w:szCs w:val="13"/>
          <w:color w:val="auto"/>
        </w:rPr>
        <w:t>Revenue in the U.S. region for the three months ended September 30, 2025 decreased by $106.4 million or 14.1%, to $649.0 million, compared to $755.4 million for the three months ended September 30, 2024; and decreased by $75.5 million or 9.1% for the three months ended September 30, 2024, to $755.4 million, compared to $830.9 million for the three months ended September 30, 2023.</w:t>
      </w:r>
    </w:p>
    <w:p>
      <w:pPr>
        <w:spacing w:after="0" w:line="173" w:lineRule="exact"/>
        <w:rPr>
          <w:sz w:val="20"/>
          <w:szCs w:val="20"/>
          <w:color w:val="auto"/>
        </w:rPr>
      </w:pPr>
    </w:p>
    <w:p>
      <w:pPr>
        <w:jc w:val="both"/>
        <w:ind w:firstLine="533"/>
        <w:spacing w:after="0" w:line="270" w:lineRule="auto"/>
        <w:rPr>
          <w:sz w:val="20"/>
          <w:szCs w:val="20"/>
          <w:color w:val="auto"/>
        </w:rPr>
      </w:pPr>
      <w:r>
        <w:rPr>
          <w:rFonts w:ascii="Arial" w:cs="Arial" w:eastAsia="Arial" w:hAnsi="Arial"/>
          <w:sz w:val="13"/>
          <w:szCs w:val="13"/>
          <w:color w:val="auto"/>
        </w:rPr>
        <w:t>Revenue in the Rest of World region for the three months ended September 30, 2025 decreased by $3.7 million or 1.6%, to $234.6 million, compared to $238.3 million for the three months ended September 30, 2024 and decreased by $4.0 million or 1.7% for the three months ended September 30, 2024, to $238.3 million, compared to $242.3 million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18185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i w:val="1"/>
          <w:iCs w:val="1"/>
          <w:color w:val="auto"/>
        </w:rPr>
        <w:t>Direct costs (as restated)</w:t>
      </w:r>
    </w:p>
    <w:p>
      <w:pPr>
        <w:spacing w:after="0" w:line="206" w:lineRule="exact"/>
        <w:rPr>
          <w:sz w:val="20"/>
          <w:szCs w:val="20"/>
          <w:color w:val="auto"/>
        </w:rPr>
      </w:pPr>
    </w:p>
    <w:p>
      <w:pPr>
        <w:jc w:val="both"/>
        <w:ind w:firstLine="533"/>
        <w:spacing w:after="0" w:line="275" w:lineRule="auto"/>
        <w:rPr>
          <w:sz w:val="20"/>
          <w:szCs w:val="20"/>
          <w:color w:val="auto"/>
        </w:rPr>
      </w:pPr>
      <w:r>
        <w:rPr>
          <w:rFonts w:ascii="Arial" w:cs="Arial" w:eastAsia="Arial" w:hAnsi="Arial"/>
          <w:sz w:val="13"/>
          <w:szCs w:val="13"/>
          <w:color w:val="auto"/>
        </w:rPr>
        <w:t>Direct costs for the three months ended September 30, 2025 increased by $105.6 million or 7.4% to $1,539.0 million compared to $1,433.4 million for the three months ended September 30, 2024. The increase in direct costs arose due to an increase in personnel related costs ($13.7 million of this increase relates to share based compensation expense), third party investigator/other reimbursable costs and laboratory costs partially offset by a decrease in travel and other direct project driven costs. As a percentage of revenue, direct costs have increased to 73.8% of revenue during the three months ended September 30, 2025 compared to 70.2% for the three months ended September 30, 2024.</w:t>
      </w:r>
    </w:p>
    <w:p>
      <w:pPr>
        <w:spacing w:after="0" w:line="160"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3"/>
          <w:szCs w:val="13"/>
          <w:color w:val="auto"/>
        </w:rPr>
        <w:t>Direct costs for the three months ended September 30, 2024 decreased by $12.3 million, or 0.9%, to $1,433.4 million compared to $1,445.7 million for the three months ended September 30, 2023. The decrease in direct costs arose due to a decrease in personnel related costs and other direct project driven costs partially offset by increases in third party investigator/other reimbursable costs, laboratories and travel. As a percentage of revenue, direct costs have decreased to 70.2% of revenue during the three months ended September 30, 2024 compared to 70.9% for the three months ended September 30, 2023.</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Impairments (as restated)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8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spacing w:after="0"/>
              <w:rPr>
                <w:sz w:val="15"/>
                <w:szCs w:val="15"/>
                <w:color w:val="auto"/>
              </w:rPr>
            </w:pPr>
          </w:p>
        </w:tc>
        <w:tc>
          <w:tcPr>
            <w:tcW w:w="4220" w:type="dxa"/>
            <w:vAlign w:val="bottom"/>
            <w:tcBorders>
              <w:bottom w:val="single" w:sz="8" w:color="auto"/>
            </w:tcBorders>
            <w:gridSpan w:val="3"/>
            <w:shd w:val="clear" w:color="auto" w:fill="CCEEFF"/>
          </w:tcPr>
          <w:p>
            <w:pPr>
              <w:jc w:val="right"/>
              <w:ind w:right="413"/>
              <w:spacing w:after="0"/>
              <w:rPr>
                <w:sz w:val="20"/>
                <w:szCs w:val="20"/>
                <w:color w:val="auto"/>
              </w:rPr>
            </w:pPr>
            <w:r>
              <w:rPr>
                <w:rFonts w:ascii="Arial" w:cs="Arial" w:eastAsia="Arial" w:hAnsi="Arial"/>
                <w:sz w:val="13"/>
                <w:szCs w:val="13"/>
                <w:b w:val="1"/>
                <w:bCs w:val="1"/>
                <w:color w:val="auto"/>
              </w:rPr>
              <w:t>Three Months Ended September 30,</w:t>
            </w:r>
          </w:p>
        </w:tc>
        <w:tc>
          <w:tcPr>
            <w:tcW w:w="17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9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4"/>
        </w:trPr>
        <w:tc>
          <w:tcPr>
            <w:tcW w:w="3280" w:type="dxa"/>
            <w:vAlign w:val="bottom"/>
            <w:vMerge w:val="restart"/>
            <w:shd w:val="clear" w:color="auto" w:fill="CCEEFF"/>
          </w:tcPr>
          <w:p>
            <w:pPr>
              <w:ind w:left="20"/>
              <w:spacing w:after="0"/>
              <w:rPr>
                <w:sz w:val="20"/>
                <w:szCs w:val="20"/>
                <w:color w:val="auto"/>
              </w:rPr>
            </w:pPr>
            <w:r>
              <w:rPr>
                <w:rFonts w:ascii="Arial" w:cs="Arial" w:eastAsia="Arial" w:hAnsi="Arial"/>
                <w:sz w:val="13"/>
                <w:szCs w:val="13"/>
                <w:i w:val="1"/>
                <w:iCs w:val="1"/>
                <w:color w:val="auto"/>
              </w:rPr>
              <w:t>(in thousands)</w:t>
            </w:r>
          </w:p>
        </w:tc>
        <w:tc>
          <w:tcPr>
            <w:tcW w:w="2000" w:type="dxa"/>
            <w:vAlign w:val="bottom"/>
            <w:shd w:val="clear" w:color="auto" w:fill="CCEEFF"/>
          </w:tcPr>
          <w:p>
            <w:pPr>
              <w:spacing w:after="0"/>
              <w:rPr>
                <w:sz w:val="10"/>
                <w:szCs w:val="10"/>
                <w:color w:val="auto"/>
              </w:rPr>
            </w:pPr>
          </w:p>
        </w:tc>
        <w:tc>
          <w:tcPr>
            <w:tcW w:w="15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1000" w:type="dxa"/>
            <w:vAlign w:val="bottom"/>
            <w:shd w:val="clear" w:color="auto" w:fill="CCEEFF"/>
          </w:tcPr>
          <w:p>
            <w:pPr>
              <w:spacing w:after="0"/>
              <w:rPr>
                <w:sz w:val="10"/>
                <w:szCs w:val="10"/>
                <w:color w:val="auto"/>
              </w:rPr>
            </w:pPr>
          </w:p>
        </w:tc>
        <w:tc>
          <w:tcPr>
            <w:tcW w:w="1680" w:type="dxa"/>
            <w:vAlign w:val="bottom"/>
            <w:shd w:val="clear" w:color="auto" w:fill="CCEEFF"/>
          </w:tcPr>
          <w:p>
            <w:pPr>
              <w:jc w:val="right"/>
              <w:ind w:right="433"/>
              <w:spacing w:after="0" w:line="124" w:lineRule="exact"/>
              <w:rPr>
                <w:sz w:val="20"/>
                <w:szCs w:val="20"/>
                <w:color w:val="auto"/>
              </w:rPr>
            </w:pPr>
            <w:r>
              <w:rPr>
                <w:rFonts w:ascii="Arial" w:cs="Arial" w:eastAsia="Arial" w:hAnsi="Arial"/>
                <w:sz w:val="13"/>
                <w:szCs w:val="13"/>
                <w:b w:val="1"/>
                <w:bCs w:val="1"/>
                <w:color w:val="auto"/>
              </w:rPr>
              <w:t>2024</w:t>
            </w:r>
          </w:p>
        </w:tc>
        <w:tc>
          <w:tcPr>
            <w:tcW w:w="17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 vs 2024</w:t>
            </w:r>
          </w:p>
        </w:tc>
        <w:tc>
          <w:tcPr>
            <w:tcW w:w="0" w:type="dxa"/>
            <w:vAlign w:val="bottom"/>
          </w:tcPr>
          <w:p>
            <w:pPr>
              <w:spacing w:after="0"/>
              <w:rPr>
                <w:sz w:val="1"/>
                <w:szCs w:val="1"/>
                <w:color w:val="auto"/>
              </w:rPr>
            </w:pPr>
          </w:p>
        </w:tc>
      </w:tr>
      <w:tr>
        <w:trPr>
          <w:trHeight w:val="178"/>
        </w:trPr>
        <w:tc>
          <w:tcPr>
            <w:tcW w:w="3280" w:type="dxa"/>
            <w:vAlign w:val="bottom"/>
            <w:tcBorders>
              <w:bottom w:val="single" w:sz="8" w:color="auto"/>
            </w:tcBorders>
            <w:vMerge w:val="continue"/>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10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8"/>
        </w:trPr>
        <w:tc>
          <w:tcPr>
            <w:tcW w:w="3280" w:type="dxa"/>
            <w:vAlign w:val="bottom"/>
          </w:tcPr>
          <w:p>
            <w:pPr>
              <w:ind w:left="20"/>
              <w:spacing w:after="0"/>
              <w:rPr>
                <w:sz w:val="20"/>
                <w:szCs w:val="20"/>
                <w:color w:val="auto"/>
              </w:rPr>
            </w:pPr>
            <w:r>
              <w:rPr>
                <w:rFonts w:ascii="Arial" w:cs="Arial" w:eastAsia="Arial" w:hAnsi="Arial"/>
                <w:sz w:val="13"/>
                <w:szCs w:val="13"/>
                <w:color w:val="auto"/>
              </w:rPr>
              <w:t>Goodwill impairment</w:t>
            </w:r>
          </w:p>
        </w:tc>
        <w:tc>
          <w:tcPr>
            <w:tcW w:w="2000" w:type="dxa"/>
            <w:vAlign w:val="bottom"/>
          </w:tcPr>
          <w:p>
            <w:pPr>
              <w:jc w:val="right"/>
              <w:ind w:right="613"/>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93"/>
              <w:spacing w:after="0"/>
              <w:rPr>
                <w:sz w:val="20"/>
                <w:szCs w:val="20"/>
                <w:color w:val="auto"/>
              </w:rPr>
            </w:pPr>
            <w:r>
              <w:rPr>
                <w:rFonts w:ascii="Arial" w:cs="Arial" w:eastAsia="Arial" w:hAnsi="Arial"/>
                <w:sz w:val="13"/>
                <w:szCs w:val="13"/>
                <w:color w:val="auto"/>
              </w:rPr>
              <w:t>364,248</w:t>
            </w:r>
          </w:p>
        </w:tc>
        <w:tc>
          <w:tcPr>
            <w:tcW w:w="1000" w:type="dxa"/>
            <w:vAlign w:val="bottom"/>
          </w:tcPr>
          <w:p>
            <w:pPr>
              <w:jc w:val="right"/>
              <w:ind w:right="833"/>
              <w:spacing w:after="0"/>
              <w:rPr>
                <w:sz w:val="20"/>
                <w:szCs w:val="20"/>
                <w:color w:val="auto"/>
              </w:rPr>
            </w:pPr>
            <w:r>
              <w:rPr>
                <w:rFonts w:ascii="Arial" w:cs="Arial" w:eastAsia="Arial" w:hAnsi="Arial"/>
                <w:sz w:val="13"/>
                <w:szCs w:val="13"/>
                <w:color w:val="auto"/>
              </w:rPr>
              <w:t>$</w:t>
            </w:r>
          </w:p>
        </w:tc>
        <w:tc>
          <w:tcPr>
            <w:tcW w:w="1680" w:type="dxa"/>
            <w:vAlign w:val="bottom"/>
          </w:tcPr>
          <w:p>
            <w:pPr>
              <w:ind w:left="1020"/>
              <w:spacing w:after="0"/>
              <w:rPr>
                <w:sz w:val="20"/>
                <w:szCs w:val="20"/>
                <w:color w:val="auto"/>
              </w:rPr>
            </w:pPr>
            <w:r>
              <w:rPr>
                <w:rFonts w:ascii="Arial" w:cs="Arial" w:eastAsia="Arial" w:hAnsi="Arial"/>
                <w:sz w:val="13"/>
                <w:szCs w:val="13"/>
                <w:color w:val="auto"/>
              </w:rPr>
              <w:t>— $</w:t>
            </w:r>
          </w:p>
        </w:tc>
        <w:tc>
          <w:tcPr>
            <w:tcW w:w="1740" w:type="dxa"/>
            <w:vAlign w:val="bottom"/>
          </w:tcPr>
          <w:p>
            <w:pPr>
              <w:jc w:val="right"/>
              <w:spacing w:after="0"/>
              <w:rPr>
                <w:sz w:val="20"/>
                <w:szCs w:val="20"/>
                <w:color w:val="auto"/>
              </w:rPr>
            </w:pPr>
            <w:r>
              <w:rPr>
                <w:rFonts w:ascii="Arial" w:cs="Arial" w:eastAsia="Arial" w:hAnsi="Arial"/>
                <w:sz w:val="13"/>
                <w:szCs w:val="13"/>
                <w:color w:val="auto"/>
              </w:rPr>
              <w:t>364,248</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20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17.5 %</w:t>
            </w:r>
          </w:p>
        </w:tc>
        <w:tc>
          <w:tcPr>
            <w:tcW w:w="1000" w:type="dxa"/>
            <w:vAlign w:val="bottom"/>
            <w:shd w:val="clear" w:color="auto" w:fill="CCEEFF"/>
          </w:tcPr>
          <w:p>
            <w:pPr>
              <w:spacing w:after="0"/>
              <w:rPr>
                <w:sz w:val="15"/>
                <w:szCs w:val="15"/>
                <w:color w:val="auto"/>
              </w:rPr>
            </w:pPr>
          </w:p>
        </w:tc>
        <w:tc>
          <w:tcPr>
            <w:tcW w:w="168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7"/>
        </w:trPr>
        <w:tc>
          <w:tcPr>
            <w:tcW w:w="3280" w:type="dxa"/>
            <w:vAlign w:val="bottom"/>
          </w:tcPr>
          <w:p>
            <w:pPr>
              <w:ind w:left="20"/>
              <w:spacing w:after="0"/>
              <w:rPr>
                <w:sz w:val="20"/>
                <w:szCs w:val="20"/>
                <w:color w:val="auto"/>
              </w:rPr>
            </w:pPr>
            <w:r>
              <w:rPr>
                <w:rFonts w:ascii="Arial" w:cs="Arial" w:eastAsia="Arial" w:hAnsi="Arial"/>
                <w:sz w:val="13"/>
                <w:szCs w:val="13"/>
                <w:color w:val="auto"/>
              </w:rPr>
              <w:t>Impairment of non-financial assets</w:t>
            </w:r>
          </w:p>
        </w:tc>
        <w:tc>
          <w:tcPr>
            <w:tcW w:w="2000" w:type="dxa"/>
            <w:vAlign w:val="bottom"/>
          </w:tcPr>
          <w:p>
            <w:pPr>
              <w:jc w:val="right"/>
              <w:ind w:right="613"/>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93"/>
              <w:spacing w:after="0"/>
              <w:rPr>
                <w:sz w:val="20"/>
                <w:szCs w:val="20"/>
                <w:color w:val="auto"/>
              </w:rPr>
            </w:pPr>
            <w:r>
              <w:rPr>
                <w:rFonts w:ascii="Arial" w:cs="Arial" w:eastAsia="Arial" w:hAnsi="Arial"/>
                <w:sz w:val="13"/>
                <w:szCs w:val="13"/>
                <w:color w:val="auto"/>
              </w:rPr>
              <w:t>101,027</w:t>
            </w:r>
          </w:p>
        </w:tc>
        <w:tc>
          <w:tcPr>
            <w:tcW w:w="1000" w:type="dxa"/>
            <w:vAlign w:val="bottom"/>
          </w:tcPr>
          <w:p>
            <w:pPr>
              <w:jc w:val="right"/>
              <w:ind w:right="833"/>
              <w:spacing w:after="0"/>
              <w:rPr>
                <w:sz w:val="20"/>
                <w:szCs w:val="20"/>
                <w:color w:val="auto"/>
              </w:rPr>
            </w:pPr>
            <w:r>
              <w:rPr>
                <w:rFonts w:ascii="Arial" w:cs="Arial" w:eastAsia="Arial" w:hAnsi="Arial"/>
                <w:sz w:val="13"/>
                <w:szCs w:val="13"/>
                <w:color w:val="auto"/>
              </w:rPr>
              <w:t>$</w:t>
            </w:r>
          </w:p>
        </w:tc>
        <w:tc>
          <w:tcPr>
            <w:tcW w:w="1680" w:type="dxa"/>
            <w:vAlign w:val="bottom"/>
          </w:tcPr>
          <w:p>
            <w:pPr>
              <w:ind w:left="1020"/>
              <w:spacing w:after="0"/>
              <w:rPr>
                <w:sz w:val="20"/>
                <w:szCs w:val="20"/>
                <w:color w:val="auto"/>
              </w:rPr>
            </w:pPr>
            <w:r>
              <w:rPr>
                <w:rFonts w:ascii="Arial" w:cs="Arial" w:eastAsia="Arial" w:hAnsi="Arial"/>
                <w:sz w:val="13"/>
                <w:szCs w:val="13"/>
                <w:color w:val="auto"/>
              </w:rPr>
              <w:t>— $</w:t>
            </w:r>
          </w:p>
        </w:tc>
        <w:tc>
          <w:tcPr>
            <w:tcW w:w="1740" w:type="dxa"/>
            <w:vAlign w:val="bottom"/>
          </w:tcPr>
          <w:p>
            <w:pPr>
              <w:jc w:val="right"/>
              <w:spacing w:after="0"/>
              <w:rPr>
                <w:sz w:val="20"/>
                <w:szCs w:val="20"/>
                <w:color w:val="auto"/>
              </w:rPr>
            </w:pPr>
            <w:r>
              <w:rPr>
                <w:rFonts w:ascii="Arial" w:cs="Arial" w:eastAsia="Arial" w:hAnsi="Arial"/>
                <w:sz w:val="13"/>
                <w:szCs w:val="13"/>
                <w:color w:val="auto"/>
              </w:rPr>
              <w:t>101,027</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of revenue</w:t>
            </w:r>
          </w:p>
        </w:tc>
        <w:tc>
          <w:tcPr>
            <w:tcW w:w="20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1000" w:type="dxa"/>
            <w:vAlign w:val="bottom"/>
            <w:shd w:val="clear" w:color="auto" w:fill="CCEEFF"/>
          </w:tcPr>
          <w:p>
            <w:pPr>
              <w:spacing w:after="0"/>
              <w:rPr>
                <w:sz w:val="15"/>
                <w:szCs w:val="15"/>
                <w:color w:val="auto"/>
              </w:rPr>
            </w:pPr>
          </w:p>
        </w:tc>
        <w:tc>
          <w:tcPr>
            <w:tcW w:w="168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3"/>
          <w:szCs w:val="13"/>
          <w:color w:val="auto"/>
        </w:rPr>
        <w:t>The Company recorded a goodwill impairment charge of $364.2 million for the three months ended September 30, 2025 (September 30, 2024: $nil) in the Condensed Consolidated Statements of Operations related to the Data Solutions reporting unit. This represented the entire balance of goodwill attributed to the Data Solutions reporting unit. This charge represents 17.5% of revenue for the three months ended September 30, 2025. Impairment of non-financial assets of $101.0 million (September 30, 2024: $nil) was recorded related to property, plant and equipment and intangible assets in the Data Solutions reporting unit. This charge represents 4.8% of revenue for the three months ended September 30, 2025.</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from operations (as restated)</w:t>
      </w:r>
    </w:p>
    <w:p>
      <w:pPr>
        <w:spacing w:after="0" w:line="217" w:lineRule="exact"/>
        <w:rPr>
          <w:sz w:val="20"/>
          <w:szCs w:val="20"/>
          <w:color w:val="auto"/>
        </w:rPr>
      </w:pPr>
    </w:p>
    <w:p>
      <w:pPr>
        <w:jc w:val="both"/>
        <w:ind w:firstLine="533"/>
        <w:spacing w:after="0" w:line="264" w:lineRule="auto"/>
        <w:rPr>
          <w:sz w:val="20"/>
          <w:szCs w:val="20"/>
          <w:color w:val="auto"/>
        </w:rPr>
      </w:pPr>
      <w:r>
        <w:rPr>
          <w:rFonts w:ascii="Arial" w:cs="Arial" w:eastAsia="Arial" w:hAnsi="Arial"/>
          <w:sz w:val="13"/>
          <w:szCs w:val="13"/>
          <w:color w:val="auto"/>
        </w:rPr>
        <w:t>Income from operations for the three months ended September 30, 2025 decreased by $525.5 million or 173.7% to $222.9 million loss compared to $302.6 million income for the three months ended September 30, 2024. As a percentage of revenue, income from operations for the three months ended September 30, 2025 decreased to (10.7)% compared to 14.8% of revenue for the three months ended September 30, 2024. Income from operations for the three months ended September 30, 2024 increased by $49.6 million or 19.6% to $302.6 million compared to $252.9 million for the three months ended September 30, 2023. As a percentage of revenue, income from operations for the three months ended September 30, 2024 increased to 14.8% compared to 12.4% of revenue for the three months ended September 30, 2023.</w:t>
      </w:r>
    </w:p>
    <w:p>
      <w:pPr>
        <w:spacing w:after="0" w:line="167"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3"/>
          <w:szCs w:val="13"/>
          <w:color w:val="auto"/>
        </w:rPr>
        <w:t>Excluding amortization of intangible assets and the non-cash goodwill and non-financial assets impairment charge, income from operations in Ireland for the three months ended September 30, 2025 decreased to $165.0 million compared to $228.6 million for three months ended September 30, 2024; and increased to $228.6 million for three months ended September 30, 2024 compared to $224.3 million for three months ended September 30, 2023. As a percentage of revenue, excluding amortization of intangible assets and the non-cash goodwill and non-financial assets impairment charge, income from operations in Ireland for the three months ended September 30, 2025 decreased to 20.6% compared to 36.4% for three months ended September 30, 2024; and decreased to 36.4% for three months ended September 30, 2024 compared to 38.5% for three months ended September 30, 2023.</w:t>
      </w:r>
    </w:p>
    <w:p>
      <w:pPr>
        <w:spacing w:after="0" w:line="166"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3"/>
          <w:szCs w:val="13"/>
          <w:color w:val="auto"/>
        </w:rPr>
        <w:t>In the Rest of Europe region, excluding amortization of intangible assets and the non-cash goodwill and non-financial assets impairment charge, income from operations for the three months ended September 30, 2025 decreased to $51.0 million compared to $55.2 million for the three months ended September 30, 2024; and decreased to $55.2 million compared to $56.6 million for the three months ended September 30, 2023. As a percentage of revenue, excluding amortization of intangible assets and the non-cash goodwill and non-financial assets impairment charge, income from operations in the Rest of Europe region for the three months ended September 30, 2025 decreased to 12.8% compared to 13.1% for the three months ended September 30, 2024; and decreased to 13.1% for the three months ended September 30, 2024 compared to 14.7%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5" w:name="page46"/>
    <w:bookmarkEnd w:id="45"/>
    <w:p>
      <w:pPr>
        <w:jc w:val="both"/>
        <w:ind w:firstLine="533"/>
        <w:spacing w:after="0" w:line="268" w:lineRule="auto"/>
        <w:rPr>
          <w:sz w:val="20"/>
          <w:szCs w:val="20"/>
          <w:color w:val="auto"/>
        </w:rPr>
      </w:pPr>
      <w:r>
        <w:rPr>
          <w:rFonts w:ascii="Arial" w:cs="Arial" w:eastAsia="Arial" w:hAnsi="Arial"/>
          <w:sz w:val="13"/>
          <w:szCs w:val="13"/>
          <w:color w:val="auto"/>
        </w:rPr>
        <w:t>In the U.S. region, income from operations, excluding amortization of intangible assets and the non-cash goodwill and non-financial assets impairment charge for the three months ended September 30, 2025 increased to $68.2 million compared to $59.6 million for the three months ended September 30, 2024; and decreased to $59.6 million compared to $70.3 million for the three months ended September 30, 2023. As a percentage of revenues, excluding amortization of intangible assets and the non-cash goodwill and non-financial assets impairment charge, income from operations in the U.S. region for the three months ended September 30, 2025 increased to 10.5% compared to 7.9% for the three months ended September 30, 2024; and decreased to 7.9% for the three months ended September 30, 2024 compared to 8.5% for the three months ended September 30, 2023.</w:t>
      </w:r>
    </w:p>
    <w:p>
      <w:pPr>
        <w:spacing w:after="0" w:line="166"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3"/>
          <w:szCs w:val="13"/>
          <w:color w:val="auto"/>
        </w:rPr>
        <w:t>In Rest of World, income from operations, excluding amortization of intangible assets and the non-cash goodwill and non-financial assets impairment charge for the three months ended September 30, 2025 decreased to $16.8 million compared to $17.2 million for the three months ended September 30, 2024; and increased to $17.2 million for the three months ended September 30, 2024 compared to $16.3 million for the three months ended September 30, 2023. As percentage of revenue, excluding amortization of intangible assets and the non-cash goodwill and non-financial assets impairment charge, income from operations in the other regions for the three months ended September 30, 2025 and September 30, 2024 remained unchanged at 7.2%; and increased to 7.2% for the three months ended September 30, 2024 compared to 6.7% for the three months ended September 30, 2023.</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 (as restated)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3240" w:type="dxa"/>
            <w:vAlign w:val="bottom"/>
            <w:tcBorders>
              <w:bottom w:val="single" w:sz="8" w:color="auto"/>
            </w:tcBorders>
            <w:gridSpan w:val="4"/>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Three Months Ended September 30,</w:t>
            </w:r>
          </w:p>
        </w:tc>
        <w:tc>
          <w:tcPr>
            <w:tcW w:w="10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Change</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3"/>
                <w:szCs w:val="13"/>
                <w:i w:val="1"/>
                <w:iCs w:val="1"/>
                <w:color w:val="auto"/>
              </w:rPr>
              <w:t>(in thousands)</w:t>
            </w:r>
          </w:p>
        </w:tc>
        <w:tc>
          <w:tcPr>
            <w:tcW w:w="140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w:t>
            </w: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w:t>
            </w: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2023</w:t>
            </w:r>
          </w:p>
        </w:tc>
        <w:tc>
          <w:tcPr>
            <w:tcW w:w="5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2025 vs 2024</w:t>
            </w:r>
          </w:p>
        </w:tc>
        <w:tc>
          <w:tcPr>
            <w:tcW w:w="4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2024 vs 2023</w:t>
            </w:r>
          </w:p>
        </w:tc>
        <w:tc>
          <w:tcPr>
            <w:tcW w:w="0" w:type="dxa"/>
            <w:vAlign w:val="bottom"/>
          </w:tcPr>
          <w:p>
            <w:pPr>
              <w:spacing w:after="0"/>
              <w:rPr>
                <w:sz w:val="1"/>
                <w:szCs w:val="1"/>
                <w:color w:val="auto"/>
              </w:rPr>
            </w:pPr>
          </w:p>
        </w:tc>
      </w:tr>
      <w:tr>
        <w:trPr>
          <w:trHeight w:val="178"/>
        </w:trPr>
        <w:tc>
          <w:tcPr>
            <w:tcW w:w="2520" w:type="dxa"/>
            <w:vAlign w:val="bottom"/>
            <w:tcBorders>
              <w:bottom w:val="single" w:sz="8" w:color="auto"/>
            </w:tcBorders>
            <w:vMerge w:val="continue"/>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5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68"/>
        </w:trPr>
        <w:tc>
          <w:tcPr>
            <w:tcW w:w="252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4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3"/>
              <w:spacing w:after="0"/>
              <w:rPr>
                <w:sz w:val="20"/>
                <w:szCs w:val="20"/>
                <w:color w:val="auto"/>
              </w:rPr>
            </w:pPr>
            <w:r>
              <w:rPr>
                <w:rFonts w:ascii="Arial" w:cs="Arial" w:eastAsia="Arial" w:hAnsi="Arial"/>
                <w:sz w:val="13"/>
                <w:szCs w:val="13"/>
                <w:color w:val="auto"/>
              </w:rPr>
              <w:t>12,791</w:t>
            </w: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3"/>
              <w:spacing w:after="0"/>
              <w:rPr>
                <w:sz w:val="20"/>
                <w:szCs w:val="20"/>
                <w:color w:val="auto"/>
              </w:rPr>
            </w:pPr>
            <w:r>
              <w:rPr>
                <w:rFonts w:ascii="Arial" w:cs="Arial" w:eastAsia="Arial" w:hAnsi="Arial"/>
                <w:sz w:val="13"/>
                <w:szCs w:val="13"/>
                <w:color w:val="auto"/>
              </w:rPr>
              <w:t>38,432</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16,384</w:t>
            </w:r>
          </w:p>
        </w:tc>
        <w:tc>
          <w:tcPr>
            <w:tcW w:w="520" w:type="dxa"/>
            <w:vAlign w:val="bottom"/>
          </w:tcPr>
          <w:p>
            <w:pPr>
              <w:jc w:val="right"/>
              <w:ind w:right="37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(25,641)</w:t>
            </w:r>
          </w:p>
        </w:tc>
        <w:tc>
          <w:tcPr>
            <w:tcW w:w="440" w:type="dxa"/>
            <w:vAlign w:val="bottom"/>
          </w:tcPr>
          <w:p>
            <w:pPr>
              <w:jc w:val="right"/>
              <w:ind w:right="29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22,048</w:t>
            </w:r>
          </w:p>
        </w:tc>
        <w:tc>
          <w:tcPr>
            <w:tcW w:w="0" w:type="dxa"/>
            <w:vAlign w:val="bottom"/>
          </w:tcPr>
          <w:p>
            <w:pPr>
              <w:spacing w:after="0"/>
              <w:rPr>
                <w:sz w:val="1"/>
                <w:szCs w:val="1"/>
                <w:color w:val="auto"/>
              </w:rPr>
            </w:pPr>
          </w:p>
        </w:tc>
      </w:tr>
      <w:tr>
        <w:trPr>
          <w:trHeight w:val="179"/>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rate</w:t>
            </w:r>
          </w:p>
        </w:tc>
        <w:tc>
          <w:tcPr>
            <w:tcW w:w="14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15.3 %</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3"/>
          <w:szCs w:val="13"/>
          <w:color w:val="auto"/>
        </w:rPr>
        <w:t>Income tax expense for the three months ended September 30, 2025 decreased to $12.8 million compared to $38.4 million for the three months ended September 30, 2024. The Company’s effective tax rate for the three months ended September 30, 2025 was (4.7)% compared with 15.3% for the three months ended September 30, 2024. Excluding the non-cash goodwill impairment charge of $364.2 million related to the Company's Data Solutions reporting unit which was recorded in three months ended September 30, 2025, the Company’s effective tax rate for the three months ended September 30, 2025 was 13.8% in comparison with 15.3% for the three months ended September 30, 2024.</w:t>
      </w:r>
    </w:p>
    <w:p>
      <w:pPr>
        <w:spacing w:after="0" w:line="171" w:lineRule="exact"/>
        <w:rPr>
          <w:sz w:val="20"/>
          <w:szCs w:val="20"/>
          <w:color w:val="auto"/>
        </w:rPr>
      </w:pPr>
    </w:p>
    <w:p>
      <w:pPr>
        <w:jc w:val="both"/>
        <w:ind w:firstLine="533"/>
        <w:spacing w:after="0" w:line="270" w:lineRule="auto"/>
        <w:rPr>
          <w:sz w:val="20"/>
          <w:szCs w:val="20"/>
          <w:color w:val="auto"/>
        </w:rPr>
      </w:pPr>
      <w:r>
        <w:rPr>
          <w:rFonts w:ascii="Arial" w:cs="Arial" w:eastAsia="Arial" w:hAnsi="Arial"/>
          <w:sz w:val="13"/>
          <w:szCs w:val="13"/>
          <w:color w:val="auto"/>
        </w:rPr>
        <w:t>Income tax expense for the three months ended September 30, 2024 increased to $38.4 million charge compared to a $16.4 million charge for the three months ended September 30, 2023. The Company’s effective tax rate for the three months ended September 30, 2024 was 15.3% compared with 9.6% for the three months ended September 30, 2023 primarily due to changes in various tax laws.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With the exception of the foregoing,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auto"/>
        </w:rPr>
        <w:t>Exhibits of ICON plc and subsidiaries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Exhibit</w:t>
            </w:r>
          </w:p>
        </w:tc>
        <w:tc>
          <w:tcPr>
            <w:tcW w:w="10020" w:type="dxa"/>
            <w:vAlign w:val="bottom"/>
            <w:vMerge w:val="restart"/>
            <w:shd w:val="clear" w:color="auto" w:fill="CCEEFF"/>
          </w:tcPr>
          <w:p>
            <w:pPr>
              <w:ind w:left="700"/>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Number</w:t>
            </w:r>
          </w:p>
        </w:tc>
        <w:tc>
          <w:tcPr>
            <w:tcW w:w="10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24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0000FF"/>
              </w:rPr>
              <w:t>17.</w:t>
            </w:r>
            <w:r>
              <w:rPr>
                <w:rFonts w:ascii="Arial" w:cs="Arial" w:eastAsia="Arial" w:hAnsi="Arial"/>
                <w:sz w:val="12"/>
                <w:szCs w:val="12"/>
                <w:u w:val="single" w:color="auto"/>
                <w:color w:val="0000FF"/>
              </w:rPr>
              <w:t>1*</w:t>
            </w:r>
          </w:p>
        </w:tc>
        <w:tc>
          <w:tcPr>
            <w:tcW w:w="10020" w:type="dxa"/>
            <w:vAlign w:val="bottom"/>
            <w:shd w:val="clear" w:color="auto" w:fill="CCEEFF"/>
          </w:tcPr>
          <w:p>
            <w:pPr>
              <w:ind w:left="700"/>
              <w:spacing w:after="0" w:line="133" w:lineRule="exact"/>
              <w:rPr>
                <w:sz w:val="20"/>
                <w:szCs w:val="20"/>
                <w:color w:val="auto"/>
              </w:rPr>
            </w:pPr>
            <w:r>
              <w:rPr>
                <w:rFonts w:ascii="Arial" w:cs="Arial" w:eastAsia="Arial" w:hAnsi="Arial"/>
                <w:sz w:val="12"/>
                <w:szCs w:val="12"/>
                <w:color w:val="auto"/>
              </w:rPr>
              <w:t>List of Subsidiary Guarantors and Issuer of Guaranteed Debt Securities and Affiliates Whose Securities Collateralize Securities of ICON Investments Six Designated Activity</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2"/>
                <w:szCs w:val="12"/>
                <w:color w:val="auto"/>
              </w:rPr>
              <w:t>Company as at May 27, 2026.</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101.1*</w:t>
            </w:r>
          </w:p>
        </w:tc>
        <w:tc>
          <w:tcPr>
            <w:tcW w:w="10020" w:type="dxa"/>
            <w:vAlign w:val="bottom"/>
            <w:shd w:val="clear" w:color="auto" w:fill="CCEEFF"/>
          </w:tcPr>
          <w:p>
            <w:pPr>
              <w:ind w:left="700"/>
              <w:spacing w:after="0"/>
              <w:rPr>
                <w:sz w:val="20"/>
                <w:szCs w:val="20"/>
                <w:color w:val="auto"/>
              </w:rPr>
            </w:pPr>
            <w:r>
              <w:rPr>
                <w:rFonts w:ascii="Arial" w:cs="Arial" w:eastAsia="Arial" w:hAnsi="Arial"/>
                <w:sz w:val="12"/>
                <w:szCs w:val="12"/>
                <w:color w:val="auto"/>
              </w:rPr>
              <w:t>Interactive Data Files (Inline XBRL – Related Documents).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104</w:t>
            </w:r>
          </w:p>
        </w:tc>
        <w:tc>
          <w:tcPr>
            <w:tcW w:w="940" w:type="dxa"/>
            <w:vAlign w:val="bottom"/>
            <w:shd w:val="clear" w:color="auto" w:fill="CCEEFF"/>
          </w:tcPr>
          <w:p>
            <w:pPr>
              <w:spacing w:after="0"/>
              <w:rPr>
                <w:sz w:val="14"/>
                <w:szCs w:val="14"/>
                <w:color w:val="auto"/>
              </w:rPr>
            </w:pPr>
          </w:p>
        </w:tc>
        <w:tc>
          <w:tcPr>
            <w:tcW w:w="10020" w:type="dxa"/>
            <w:vAlign w:val="bottom"/>
            <w:shd w:val="clear" w:color="auto" w:fill="CCEEFF"/>
          </w:tcPr>
          <w:p>
            <w:pPr>
              <w:ind w:left="700"/>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85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SIGNATURES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5080" w:type="dxa"/>
            <w:vAlign w:val="bottom"/>
            <w:gridSpan w:val="3"/>
          </w:tcPr>
          <w:p>
            <w:pPr>
              <w:ind w:left="3780"/>
              <w:spacing w:after="0"/>
              <w:rPr>
                <w:sz w:val="20"/>
                <w:szCs w:val="20"/>
                <w:color w:val="auto"/>
              </w:rPr>
            </w:pPr>
            <w:r>
              <w:rPr>
                <w:rFonts w:ascii="Arial" w:cs="Arial" w:eastAsia="Arial" w:hAnsi="Arial"/>
                <w:sz w:val="13"/>
                <w:szCs w:val="13"/>
                <w:b w:val="1"/>
                <w:bCs w:val="1"/>
                <w:color w:val="auto"/>
              </w:rPr>
              <w:t>ICON plc</w:t>
            </w:r>
          </w:p>
        </w:tc>
        <w:tc>
          <w:tcPr>
            <w:tcW w:w="0" w:type="dxa"/>
            <w:vAlign w:val="bottom"/>
          </w:tcPr>
          <w:p>
            <w:pPr>
              <w:spacing w:after="0"/>
              <w:rPr>
                <w:sz w:val="1"/>
                <w:szCs w:val="1"/>
                <w:color w:val="auto"/>
              </w:rPr>
            </w:pPr>
          </w:p>
        </w:tc>
      </w:tr>
      <w:tr>
        <w:trPr>
          <w:trHeight w:val="561"/>
        </w:trPr>
        <w:tc>
          <w:tcPr>
            <w:tcW w:w="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080" w:type="dxa"/>
            <w:vAlign w:val="bottom"/>
            <w:gridSpan w:val="3"/>
          </w:tcPr>
          <w:p>
            <w:pPr>
              <w:ind w:left="3780"/>
              <w:spacing w:after="0"/>
              <w:rPr>
                <w:sz w:val="20"/>
                <w:szCs w:val="20"/>
                <w:color w:val="auto"/>
              </w:rPr>
            </w:pPr>
            <w:r>
              <w:rPr>
                <w:rFonts w:ascii="Arial" w:cs="Arial" w:eastAsia="Arial" w:hAnsi="Arial"/>
                <w:sz w:val="13"/>
                <w:szCs w:val="13"/>
                <w:color w:val="auto"/>
              </w:rPr>
              <w:t>/s/ Nigel Clerkin</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5080" w:type="dxa"/>
            <w:vAlign w:val="bottom"/>
            <w:gridSpan w:val="3"/>
            <w:vMerge w:val="restart"/>
          </w:tcPr>
          <w:p>
            <w:pPr>
              <w:ind w:left="3780"/>
              <w:spacing w:after="0"/>
              <w:rPr>
                <w:sz w:val="20"/>
                <w:szCs w:val="20"/>
                <w:color w:val="auto"/>
              </w:rPr>
            </w:pPr>
            <w:r>
              <w:rPr>
                <w:rFonts w:ascii="Arial" w:cs="Arial" w:eastAsia="Arial" w:hAnsi="Arial"/>
                <w:sz w:val="13"/>
                <w:szCs w:val="13"/>
                <w:color w:val="auto"/>
              </w:rPr>
              <w:t>Nigel Clerkin</w:t>
            </w:r>
          </w:p>
        </w:tc>
        <w:tc>
          <w:tcPr>
            <w:tcW w:w="0" w:type="dxa"/>
            <w:vAlign w:val="bottom"/>
          </w:tcPr>
          <w:p>
            <w:pPr>
              <w:spacing w:after="0" w:line="20" w:lineRule="exact"/>
              <w:rPr>
                <w:sz w:val="1"/>
                <w:szCs w:val="1"/>
                <w:color w:val="auto"/>
              </w:rPr>
            </w:pPr>
          </w:p>
        </w:tc>
      </w:tr>
      <w:tr>
        <w:trPr>
          <w:trHeight w:val="160"/>
        </w:trPr>
        <w:tc>
          <w:tcPr>
            <w:tcW w:w="520" w:type="dxa"/>
            <w:vAlign w:val="bottom"/>
          </w:tcPr>
          <w:p>
            <w:pPr>
              <w:ind w:left="20"/>
              <w:spacing w:after="0"/>
              <w:rPr>
                <w:sz w:val="20"/>
                <w:szCs w:val="20"/>
                <w:color w:val="auto"/>
              </w:rPr>
            </w:pPr>
            <w:r>
              <w:rPr>
                <w:rFonts w:ascii="Arial" w:cs="Arial" w:eastAsia="Arial" w:hAnsi="Arial"/>
                <w:sz w:val="13"/>
                <w:szCs w:val="13"/>
                <w:color w:val="auto"/>
              </w:rPr>
              <w:t>Date:</w:t>
            </w:r>
          </w:p>
        </w:tc>
        <w:tc>
          <w:tcPr>
            <w:tcW w:w="3640" w:type="dxa"/>
            <w:vAlign w:val="bottom"/>
          </w:tcPr>
          <w:p>
            <w:pPr>
              <w:ind w:left="160"/>
              <w:spacing w:after="0"/>
              <w:rPr>
                <w:sz w:val="20"/>
                <w:szCs w:val="20"/>
                <w:color w:val="auto"/>
              </w:rPr>
            </w:pPr>
            <w:r>
              <w:rPr>
                <w:rFonts w:ascii="Arial" w:cs="Arial" w:eastAsia="Arial" w:hAnsi="Arial"/>
                <w:sz w:val="13"/>
                <w:szCs w:val="13"/>
                <w:color w:val="auto"/>
              </w:rPr>
              <w:t>May 27, 2026</w:t>
            </w:r>
          </w:p>
        </w:tc>
        <w:tc>
          <w:tcPr>
            <w:tcW w:w="50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80" w:type="dxa"/>
            <w:vAlign w:val="bottom"/>
            <w:gridSpan w:val="3"/>
          </w:tcPr>
          <w:p>
            <w:pPr>
              <w:ind w:left="3780"/>
              <w:spacing w:after="0"/>
              <w:rPr>
                <w:sz w:val="20"/>
                <w:szCs w:val="20"/>
                <w:color w:val="auto"/>
              </w:rPr>
            </w:pPr>
            <w:r>
              <w:rPr>
                <w:rFonts w:ascii="Arial" w:cs="Arial" w:eastAsia="Arial" w:hAnsi="Arial"/>
                <w:sz w:val="13"/>
                <w:szCs w:val="13"/>
                <w:color w:val="auto"/>
              </w:rPr>
              <w:t>Chief Financial Officer</w:t>
            </w:r>
          </w:p>
        </w:tc>
        <w:tc>
          <w:tcPr>
            <w:tcW w:w="0" w:type="dxa"/>
            <w:vAlign w:val="bottom"/>
          </w:tcPr>
          <w:p>
            <w:pPr>
              <w:spacing w:after="0"/>
              <w:rPr>
                <w:sz w:val="1"/>
                <w:szCs w:val="1"/>
                <w:color w:val="auto"/>
              </w:rPr>
            </w:pPr>
          </w:p>
        </w:tc>
      </w:tr>
      <w:tr>
        <w:trPr>
          <w:trHeight w:val="711"/>
        </w:trPr>
        <w:tc>
          <w:tcPr>
            <w:tcW w:w="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80" w:type="dxa"/>
            <w:vAlign w:val="bottom"/>
          </w:tcPr>
          <w:p>
            <w:pPr>
              <w:ind w:left="1400"/>
              <w:spacing w:after="0"/>
              <w:rPr>
                <w:sz w:val="20"/>
                <w:szCs w:val="20"/>
                <w:color w:val="auto"/>
              </w:rPr>
            </w:pPr>
            <w:r>
              <w:rPr>
                <w:rFonts w:ascii="Arial" w:cs="Arial" w:eastAsia="Arial" w:hAnsi="Arial"/>
                <w:sz w:val="13"/>
                <w:szCs w:val="13"/>
                <w:color w:val="auto"/>
              </w:rPr>
              <w:t>46</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00" w:top="961" w:right="5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5"/>
          <w:szCs w:val="15"/>
          <w:b w:val="1"/>
          <w:bCs w:val="1"/>
          <w:color w:val="auto"/>
        </w:rPr>
        <w:t>Exhibit 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320" w:right="380"/>
        <w:spacing w:after="0" w:line="280" w:lineRule="auto"/>
        <w:rPr>
          <w:sz w:val="20"/>
          <w:szCs w:val="20"/>
          <w:color w:val="auto"/>
        </w:rPr>
      </w:pPr>
      <w:r>
        <w:rPr>
          <w:rFonts w:ascii="Times New Roman" w:cs="Times New Roman" w:eastAsia="Times New Roman" w:hAnsi="Times New Roman"/>
          <w:sz w:val="15"/>
          <w:szCs w:val="15"/>
          <w:b w:val="1"/>
          <w:bCs w:val="1"/>
          <w:color w:val="auto"/>
        </w:rPr>
        <w:t>SUBSIDIARY GUARANTORS AND ISSUER OF GUARANTEED SECURITIES AND AFFILIATES WHOSE SECURITIES COLLATERALIZE SECURITIES OF ICON INVESTMENTS SIX DESIGNATED ACTIVITY COMPANY</w:t>
      </w:r>
    </w:p>
    <w:p>
      <w:pPr>
        <w:spacing w:after="0" w:line="15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auto"/>
        </w:rPr>
        <w:t>The following subsidiaries of ICON plc, (the “Company”) are guarantors of ICON Investments Six Designated Activity Company’s (the “Issuer”) 5.809% Senior Secured Notes due 2027, 5.849% Senior Secured Notes due 2029 and 6.000% Senior Secured Notes due 2034</w:t>
      </w:r>
      <w:r>
        <w:rPr>
          <w:rFonts w:ascii="Times New Roman" w:cs="Times New Roman" w:eastAsia="Times New Roman" w:hAnsi="Times New Roman"/>
          <w:sz w:val="16"/>
          <w:szCs w:val="16"/>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NAME OF SUBSIDIARY</w:t>
            </w:r>
          </w:p>
        </w:tc>
        <w:tc>
          <w:tcPr>
            <w:tcW w:w="30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0" w:type="dxa"/>
            <w:vAlign w:val="bottom"/>
          </w:tcPr>
          <w:p>
            <w:pPr>
              <w:spacing w:after="0"/>
              <w:rPr>
                <w:sz w:val="1"/>
                <w:szCs w:val="1"/>
                <w:color w:val="auto"/>
              </w:rPr>
            </w:pPr>
          </w:p>
        </w:tc>
      </w:tr>
      <w:tr>
        <w:trPr>
          <w:trHeight w:val="200"/>
        </w:trPr>
        <w:tc>
          <w:tcPr>
            <w:tcW w:w="8280" w:type="dxa"/>
            <w:vAlign w:val="bottom"/>
            <w:gridSpan w:val="2"/>
            <w:vMerge w:val="continue"/>
          </w:tcPr>
          <w:p>
            <w:pPr>
              <w:spacing w:after="0"/>
              <w:rPr>
                <w:sz w:val="17"/>
                <w:szCs w:val="17"/>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0" w:type="dxa"/>
            <w:vAlign w:val="bottom"/>
          </w:tcPr>
          <w:p>
            <w:pPr>
              <w:spacing w:after="0"/>
              <w:rPr>
                <w:sz w:val="1"/>
                <w:szCs w:val="1"/>
                <w:color w:val="auto"/>
              </w:rPr>
            </w:pPr>
          </w:p>
        </w:tc>
      </w:tr>
      <w:tr>
        <w:trPr>
          <w:trHeight w:val="177"/>
        </w:trPr>
        <w:tc>
          <w:tcPr>
            <w:tcW w:w="69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ICON Global Treasury Unlimited Company</w:t>
            </w:r>
          </w:p>
        </w:tc>
        <w:tc>
          <w:tcPr>
            <w:tcW w:w="1320" w:type="dxa"/>
            <w:vAlign w:val="bottom"/>
          </w:tcPr>
          <w:p>
            <w:pPr>
              <w:spacing w:after="0"/>
              <w:rPr>
                <w:sz w:val="15"/>
                <w:szCs w:val="15"/>
                <w:color w:val="auto"/>
              </w:rPr>
            </w:pPr>
          </w:p>
        </w:tc>
        <w:tc>
          <w:tcPr>
            <w:tcW w:w="30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Limited</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Holdings Unlimited Company</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Property Development (Ireland) Limited</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Accellacare Limited</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Operational Holdings Unlimited Company</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Operational Financing Unlimited Company</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Global Holdings Unlimited Company</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Holdings (Ireland) Unlimited Company</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Ireland</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Luxembourg S.à r.l.</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Luxembourg</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Early Phase Services,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Texas</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Beacon Bioscience,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Laboratory Services,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MolecularMD Corp.</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US Holdings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PriceSpective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DOCS Global,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New Jersey</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Accellacare US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North Carolina</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Clinical Resource Network,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Illinois</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Investments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PRA Health Sciences,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ReSearch Pharmaceutical Services,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Virginia</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PRA Holdings, Inc.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PRA International,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RPS Global Holdings,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RPS Parent Holding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89"/>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Roy RPS Holdings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192"/>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CRN Holdings, LLC</w:t>
            </w:r>
          </w:p>
        </w:tc>
        <w:tc>
          <w:tcPr>
            <w:tcW w:w="30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80"/>
          </w:cols>
          <w:pgMar w:left="300" w:top="121" w:right="319" w:bottom="1440" w:gutter="0" w:footer="0" w:header="0"/>
        </w:sectPr>
      </w:pPr>
    </w:p>
    <w:bookmarkStart w:id="49" w:name="page50"/>
    <w:bookmarkEnd w:id="49"/>
    <w:p>
      <w:pPr>
        <w:ind w:right="200"/>
        <w:spacing w:after="0" w:line="274" w:lineRule="auto"/>
        <w:rPr>
          <w:sz w:val="20"/>
          <w:szCs w:val="20"/>
          <w:color w:val="auto"/>
        </w:rPr>
      </w:pPr>
      <w:r>
        <w:rPr>
          <w:rFonts w:ascii="Times New Roman" w:cs="Times New Roman" w:eastAsia="Times New Roman" w:hAnsi="Times New Roman"/>
          <w:sz w:val="15"/>
          <w:szCs w:val="15"/>
          <w:color w:val="auto"/>
        </w:rPr>
        <w:t>All issued and outstanding equity securities of the following subsidiaries of the Company, subject to the limitations set forth below, collateralize the Issuer’s 5.809% Senior Secured Notes due 2027, 5.849% Senior Secured Notes due 2029 and 6.000% Senior Secured Notes due 2034: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NAME (STATE OR OTHER JURISDICTION OF</w:t>
            </w:r>
          </w:p>
        </w:tc>
        <w:tc>
          <w:tcPr>
            <w:tcW w:w="480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5"/>
                <w:szCs w:val="15"/>
                <w:b w:val="1"/>
                <w:bCs w:val="1"/>
                <w:color w:val="auto"/>
              </w:rPr>
              <w:t>OWNER</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PERCENT PLEDGED</w:t>
            </w:r>
          </w:p>
        </w:tc>
        <w:tc>
          <w:tcPr>
            <w:tcW w:w="0" w:type="dxa"/>
            <w:vAlign w:val="bottom"/>
          </w:tcPr>
          <w:p>
            <w:pPr>
              <w:spacing w:after="0"/>
              <w:rPr>
                <w:sz w:val="1"/>
                <w:szCs w:val="1"/>
                <w:color w:val="auto"/>
              </w:rPr>
            </w:pPr>
          </w:p>
        </w:tc>
      </w:tr>
      <w:tr>
        <w:trPr>
          <w:trHeight w:val="200"/>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4800" w:type="dxa"/>
            <w:vAlign w:val="bottom"/>
            <w:gridSpan w:val="2"/>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ICON Investments Six Designated Activity Company (Ireland)</w:t>
            </w:r>
          </w:p>
        </w:tc>
        <w:tc>
          <w:tcPr>
            <w:tcW w:w="480" w:type="dxa"/>
            <w:vAlign w:val="bottom"/>
          </w:tcPr>
          <w:p>
            <w:pPr>
              <w:spacing w:after="0"/>
              <w:rPr>
                <w:sz w:val="15"/>
                <w:szCs w:val="15"/>
                <w:color w:val="auto"/>
              </w:rPr>
            </w:pPr>
          </w:p>
        </w:tc>
        <w:tc>
          <w:tcPr>
            <w:tcW w:w="4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ICON plc</w:t>
            </w:r>
          </w:p>
        </w:tc>
        <w:tc>
          <w:tcPr>
            <w:tcW w:w="300" w:type="dxa"/>
            <w:vAlign w:val="bottom"/>
          </w:tcPr>
          <w:p>
            <w:pPr>
              <w:spacing w:after="0"/>
              <w:rPr>
                <w:sz w:val="15"/>
                <w:szCs w:val="15"/>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Operational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Holdings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Operational Holdings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203"/>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Operational Financing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208"/>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Global Holdings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Property Holdings (Ireland)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(LR)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Holdings Clinical Research International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Accellacare Limited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Global Treasury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Global Treasury Unlimited Company (Ireland)</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Luxembourg S.à r.l. (Luxembourg)</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48"/>
        </w:trPr>
        <w:tc>
          <w:tcPr>
            <w:tcW w:w="498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5"/>
                <w:szCs w:val="15"/>
                <w:color w:val="auto"/>
              </w:rPr>
              <w:t>ICON Early Phase Services, LLC (f/k/a Healthcare Discoveries, LLC)</w:t>
            </w:r>
          </w:p>
        </w:tc>
        <w:tc>
          <w:tcPr>
            <w:tcW w:w="480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5"/>
                <w:szCs w:val="15"/>
                <w:color w:val="auto"/>
              </w:rPr>
              <w:t>ICON Clinical Research LLC</w:t>
            </w: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92"/>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(Texas)</w:t>
            </w:r>
          </w:p>
        </w:tc>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Beacon Bioscience, Inc.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LLC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US Holdings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48"/>
        </w:trPr>
        <w:tc>
          <w:tcPr>
            <w:tcW w:w="498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5"/>
                <w:szCs w:val="15"/>
                <w:color w:val="auto"/>
              </w:rPr>
              <w:t>ICON Laboratory Services, Inc. (f/k/a ICON Central Laboratories, Inc.)</w:t>
            </w:r>
          </w:p>
        </w:tc>
        <w:tc>
          <w:tcPr>
            <w:tcW w:w="480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5"/>
                <w:szCs w:val="15"/>
                <w:color w:val="auto"/>
              </w:rPr>
              <w:t>ICON US Holdings Inc.</w:t>
            </w: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92"/>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(Delaware)</w:t>
            </w:r>
          </w:p>
        </w:tc>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MolecularMD Corp.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Laboratory Services, Inc. (f/k/a ICON Central Laboratories,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203"/>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US Holdings Inc.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222"/>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PriceSpective LLC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208"/>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CRN Holdings, LLC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203"/>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Investments, LLC (Delaware)</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Luxembourg S.à r.l</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208"/>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Clinical Resource Network, LLC (d/b/a Symphony Clinical Research)</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CRN Holdings,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92"/>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(Illinois)</w:t>
            </w:r>
          </w:p>
        </w:tc>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DOCS Global, Inc. (New Jersey)</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Accellacare US Inc. (North Carolina)</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RPS Bermuda, Ltd. (Bermuda)</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65%</w:t>
            </w:r>
          </w:p>
        </w:tc>
        <w:tc>
          <w:tcPr>
            <w:tcW w:w="0" w:type="dxa"/>
            <w:vAlign w:val="bottom"/>
          </w:tcPr>
          <w:p>
            <w:pPr>
              <w:spacing w:after="0"/>
              <w:rPr>
                <w:sz w:val="1"/>
                <w:szCs w:val="1"/>
                <w:color w:val="auto"/>
              </w:rPr>
            </w:pPr>
          </w:p>
        </w:tc>
      </w:tr>
      <w:tr>
        <w:trPr>
          <w:trHeight w:val="189"/>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Services de Recherche Pharmaceutique Srl (Canada)</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65%</w:t>
            </w:r>
          </w:p>
        </w:tc>
        <w:tc>
          <w:tcPr>
            <w:tcW w:w="0" w:type="dxa"/>
            <w:vAlign w:val="bottom"/>
          </w:tcPr>
          <w:p>
            <w:pPr>
              <w:spacing w:after="0"/>
              <w:rPr>
                <w:sz w:val="1"/>
                <w:szCs w:val="1"/>
                <w:color w:val="auto"/>
              </w:rPr>
            </w:pPr>
          </w:p>
        </w:tc>
      </w:tr>
      <w:tr>
        <w:trPr>
          <w:trHeight w:val="192"/>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PRA Health Sciences Colombia Ltda. (Colombia)</w:t>
            </w:r>
          </w:p>
        </w:tc>
        <w:tc>
          <w:tcPr>
            <w:tcW w:w="4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92"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Pharmaceutical Research Associates Hungary Research and Development</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92"/>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Ltd. (Hungary)</w:t>
            </w:r>
          </w:p>
        </w:tc>
        <w:tc>
          <w:tcPr>
            <w:tcW w:w="42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3"/>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Pharmaceutical Research Associates Italy S.r.l. (Italy)</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Pharmaceutical Research Associates Mexico S. de R.L. de C. V. (Mexico)</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Pharmaceutical Research Associates Mexico S. de R.L. de C. V. (Mexico)</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PRA International, LLC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ReSearch Pharmaceutical Services Netherlands B.V. (Netherlands)</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ReSearch Pharmaceutical Services,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RPS Perú S.A.C. (Peru)</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Research Pharmaceutical Services Puerto Rico, Inc. (Puerto Rico)</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ReSearch Pharmaceutical Services,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Pharmaceutical Research Associates Romania S.R.L. (Romania)</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Pharmaceutical Research Associates España, S.A.U. (Spain)</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PRA International Sweden AB (Sweden)</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RPS Research (Thailand) Co., Ltd. (Thailand)</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ReSearch Pharmaceutical Services,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Sterling Synergy Systems Limited (United Kingdom)</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ClinStar LLC (California)</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Nextrials, Inc. (California)</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Care Innovations, Inc.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CRI NewCo, Inc.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 Medical Technical Consultants, LLC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Parallel 6, Inc.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48"/>
        </w:trPr>
        <w:tc>
          <w:tcPr>
            <w:tcW w:w="468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PRA Early Development Research, Inc. (f/k/a Pharma Bio-Research</w:t>
            </w:r>
          </w:p>
        </w:tc>
        <w:tc>
          <w:tcPr>
            <w:tcW w:w="4200" w:type="dxa"/>
            <w:vAlign w:val="bottom"/>
          </w:tcPr>
          <w:p>
            <w:pPr>
              <w:ind w:left="300"/>
              <w:spacing w:after="0" w:line="148" w:lineRule="exact"/>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line="148" w:lineRule="exact"/>
              <w:rPr>
                <w:sz w:val="20"/>
                <w:szCs w:val="20"/>
                <w:color w:val="auto"/>
              </w:rPr>
            </w:pPr>
            <w:r>
              <w:rPr>
                <w:rFonts w:ascii="Times New Roman" w:cs="Times New Roman" w:eastAsia="Times New Roman" w:hAnsi="Times New Roman"/>
                <w:sz w:val="15"/>
                <w:szCs w:val="15"/>
                <w:color w:val="auto"/>
                <w:w w:val="97"/>
              </w:rPr>
              <w:t>100%</w:t>
            </w:r>
          </w:p>
        </w:tc>
      </w:tr>
      <w:tr>
        <w:trPr>
          <w:trHeight w:val="192"/>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USA, Inc.) (Delaware)</w:t>
            </w:r>
          </w:p>
        </w:tc>
        <w:tc>
          <w:tcPr>
            <w:tcW w:w="42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3"/>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PRA Health Sciences, Inc.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ICON US Holdings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PRA Holdings, Inc.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PRA Health Sciences,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PRA Receivables, LLC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ReSearch Pharmaceutical Services, Inc.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Roy RPS Holdings, LLC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ReSearch Pharmaceutical Services, LLC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ReSearch Pharmaceutical Services,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Sunset Hills, LLC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Pharmaceutical Research Associates, Inc. (Virginia)</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PRA International, LLC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PRA International, LLC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PRA Holdings,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Roy RPS Holdings LLC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RPS Parent Holding LLC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RPS Global Holdings, LLC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PRA Holdings,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RPS Parent Holding LLC (Delaware)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RPS Global Holdings, LLC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ICON Government and Public Health Solutions, Inc. (Virginia)</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ICON US Holdings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Bristol, LLC (Tennessee)</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Accellacare US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Charleston, LLC (South Carolina)</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Accellacare US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Charlotte, LLC (North Carolina)</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Accellacare US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92"/>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Christie Clinic, LLC (Illinois)</w:t>
            </w:r>
          </w:p>
        </w:tc>
        <w:tc>
          <w:tcPr>
            <w:tcW w:w="4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Accellacare US Inc.</w:t>
            </w:r>
          </w:p>
        </w:tc>
        <w:tc>
          <w:tcPr>
            <w:tcW w:w="1760" w:type="dxa"/>
            <w:vAlign w:val="bottom"/>
          </w:tcPr>
          <w:p>
            <w:pPr>
              <w:jc w:val="center"/>
              <w:ind w:left="1346"/>
              <w:spacing w:after="0"/>
              <w:rPr>
                <w:sz w:val="20"/>
                <w:szCs w:val="20"/>
                <w:color w:val="auto"/>
              </w:rPr>
            </w:pPr>
            <w:r>
              <w:rPr>
                <w:rFonts w:ascii="Times New Roman" w:cs="Times New Roman" w:eastAsia="Times New Roman" w:hAnsi="Times New Roman"/>
                <w:sz w:val="15"/>
                <w:szCs w:val="15"/>
                <w:color w:val="auto"/>
                <w:w w:val="97"/>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640"/>
          </w:cols>
          <w:pgMar w:left="360" w:top="1201" w:right="8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Hickory, LLC (North Carolina)</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Accellacare US Inc.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Raleigh, LLC (North Carolina)</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Accellacare US Inc.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Rocky Mount, LLC (North Carolina)</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Accellacare US Inc.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Salisbury, LLC (North Carolina)</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Accellacare US Inc.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Wilmington, LLC (North Carolina)</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Accellacare US Inc.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Accellacare of Winston-Salem, LLC (North Carolina)</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Accellacare US Inc.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Averion Europe GmbH (Germany)</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CHC Group, LLC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PubsHub LLC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Global Pharmaceutical Strategies Group, LLC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MMMM Group, LLC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ICON Tennessee, LLC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ADDPLAN, Inc.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ICON Clinical Research LP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222"/>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ICON Clinical Research LP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Tennessee,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208"/>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CRN North America, LLC (d/b/a Symphony Clinical Staffing) (Delaware)</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CRN Holdings,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Symphony Clinical Research Sp. Z O O. (Poland)</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CRN Holdings, LLC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ICON Clinical Research Holdings (U.K.) Limited (United Kingdom)</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Pharmaceutical Research Associates, Inc.</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4"/>
              </w:rPr>
              <w:t>65%</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Oncacare Limited (Ireland)</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Limited</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ICON Clinical Research Holdings (Ireland) Unlimited Company</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Holdings Unlimited Company</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92"/>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(Ireland)</w:t>
            </w:r>
          </w:p>
        </w:tc>
        <w:tc>
          <w:tcPr>
            <w:tcW w:w="44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ICON Clinical Research Holdings (Ireland) Unlimited Company</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DOCS International B.V.</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92"/>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(Ireland)</w:t>
            </w:r>
          </w:p>
        </w:tc>
        <w:tc>
          <w:tcPr>
            <w:tcW w:w="44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ICON Clinical Research Holdings (Ireland) Unlimited Company</w:t>
            </w:r>
          </w:p>
        </w:tc>
        <w:tc>
          <w:tcPr>
            <w:tcW w:w="4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ICON Clinical Research Holdings (U.K.) Limited</w:t>
            </w:r>
          </w:p>
        </w:tc>
        <w:tc>
          <w:tcPr>
            <w:tcW w:w="1520" w:type="dxa"/>
            <w:vAlign w:val="bottom"/>
          </w:tcPr>
          <w:p>
            <w:pPr>
              <w:jc w:val="center"/>
              <w:ind w:left="1106"/>
              <w:spacing w:after="0"/>
              <w:rPr>
                <w:sz w:val="20"/>
                <w:szCs w:val="20"/>
                <w:color w:val="auto"/>
              </w:rPr>
            </w:pPr>
            <w:r>
              <w:rPr>
                <w:rFonts w:ascii="Times New Roman" w:cs="Times New Roman" w:eastAsia="Times New Roman" w:hAnsi="Times New Roman"/>
                <w:sz w:val="15"/>
                <w:szCs w:val="15"/>
                <w:color w:val="auto"/>
                <w:w w:val="97"/>
              </w:rPr>
              <w:t>100%</w:t>
            </w:r>
          </w:p>
        </w:tc>
      </w:tr>
      <w:tr>
        <w:trPr>
          <w:trHeight w:val="192"/>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(Ireland)</w:t>
            </w:r>
          </w:p>
        </w:tc>
        <w:tc>
          <w:tcPr>
            <w:tcW w:w="4420" w:type="dxa"/>
            <w:vAlign w:val="bottom"/>
          </w:tcPr>
          <w:p>
            <w:pPr>
              <w:spacing w:after="0"/>
              <w:rPr>
                <w:sz w:val="16"/>
                <w:szCs w:val="16"/>
                <w:color w:val="auto"/>
              </w:rPr>
            </w:pPr>
          </w:p>
        </w:tc>
        <w:tc>
          <w:tcPr>
            <w:tcW w:w="15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5"/>
          <w:szCs w:val="15"/>
          <w:color w:val="auto"/>
        </w:rPr>
        <w:t>4</w:t>
      </w:r>
    </w:p>
    <w:sectPr>
      <w:pgSz w:w="11900" w:h="16838" w:orient="portrait"/>
      <w:cols w:equalWidth="0" w:num="1">
        <w:col w:w="10640"/>
      </w:cols>
      <w:pgMar w:left="360" w:top="1225"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2026-05-27T15:48:52Z</dcterms:created>
  <dcterms:modified xsi:type="dcterms:W3CDTF">2026-05-27T15:48:52Z</dcterms:modified>
</cp:coreProperties>
</file>