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April, 2013</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April 25,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April 25, 2013</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364"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 Reports First Quarter 2013 Revenue of $317 Million, up 26% year on year and non-GAAP EPS of 36c.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 – First Quarter Fiscal 2013.</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Quarter 1 net revenue increased 26% year on year to $317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Income from operations, excluding restructuring and other items, was $27.4 million or 8.7%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Earnings per share, excluding restructuring and other items, was 36 cents.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140"/>
        <w:spacing w:after="0" w:line="256" w:lineRule="auto"/>
        <w:rPr>
          <w:sz w:val="20"/>
          <w:szCs w:val="20"/>
          <w:color w:val="auto"/>
        </w:rPr>
      </w:pPr>
      <w:r>
        <w:rPr>
          <w:rFonts w:ascii="Arial" w:cs="Arial" w:eastAsia="Arial" w:hAnsi="Arial"/>
          <w:sz w:val="22"/>
          <w:szCs w:val="22"/>
          <w:b w:val="1"/>
          <w:bCs w:val="1"/>
          <w:color w:val="auto"/>
        </w:rPr>
        <w:t>Gross Business wins were $481 million, representing a gross book to bill of 1.52, Net business wins were $422 million, representing a net book to bill of 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3" w:lineRule="exact"/>
        <w:rPr>
          <w:sz w:val="20"/>
          <w:szCs w:val="20"/>
          <w:color w:val="auto"/>
        </w:rPr>
      </w:pPr>
    </w:p>
    <w:p>
      <w:pPr>
        <w:ind w:right="100"/>
        <w:spacing w:after="0" w:line="243" w:lineRule="auto"/>
        <w:rPr>
          <w:sz w:val="20"/>
          <w:szCs w:val="20"/>
          <w:color w:val="auto"/>
        </w:rPr>
      </w:pPr>
      <w:r>
        <w:rPr>
          <w:rFonts w:ascii="Arial" w:cs="Arial" w:eastAsia="Arial" w:hAnsi="Arial"/>
          <w:sz w:val="22"/>
          <w:szCs w:val="22"/>
          <w:color w:val="auto"/>
        </w:rPr>
        <w:t>DUBLIN--(BUSINESS WIRE)--April 25, 2013--</w:t>
      </w:r>
      <w:r>
        <w:rPr>
          <w:rFonts w:ascii="Arial" w:cs="Arial" w:eastAsia="Arial" w:hAnsi="Arial"/>
          <w:sz w:val="22"/>
          <w:szCs w:val="22"/>
          <w:b w:val="1"/>
          <w:bCs w:val="1"/>
          <w:color w:val="auto"/>
        </w:rPr>
        <w:t>ICON plc</w:t>
      </w:r>
      <w:r>
        <w:rPr>
          <w:rFonts w:ascii="Arial" w:cs="Arial" w:eastAsia="Arial" w:hAnsi="Arial"/>
          <w:sz w:val="22"/>
          <w:szCs w:val="22"/>
          <w:color w:val="auto"/>
        </w:rPr>
        <w:t xml:space="preserve">, </w:t>
      </w:r>
      <w:r>
        <w:rPr>
          <w:rFonts w:ascii="Arial" w:cs="Arial" w:eastAsia="Arial" w:hAnsi="Arial"/>
          <w:sz w:val="22"/>
          <w:szCs w:val="22"/>
          <w:b w:val="1"/>
          <w:bCs w:val="1"/>
          <w:color w:val="auto"/>
        </w:rPr>
        <w:t>(NASDAQ:ICLR),</w:t>
      </w:r>
      <w:r>
        <w:rPr>
          <w:rFonts w:ascii="Arial" w:cs="Arial" w:eastAsia="Arial" w:hAnsi="Arial"/>
          <w:sz w:val="22"/>
          <w:szCs w:val="22"/>
          <w:color w:val="auto"/>
        </w:rPr>
        <w:t xml:space="preserve"> a global provider of outsourced development services to the pharmaceutical, biotechnology and medical device industries, today reported its financial results for the first quarter ended March 31, 2013.</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For the first quarter, net revenues grew 26% year on year to $316.8 million from $252.3 million in Q1 2012.</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Income from operations, excluding restructuring and other items, was $27.4 million or 8.7% of revenue, compared to $11.7 million or 4.7% for the same quarter last year. Net income, excluding restructuring and other items, was $22.2 million or 36 cents per share on a diluted basis, compared with $8.9 million or 15 cents per share last year.</w:t>
      </w:r>
    </w:p>
    <w:p>
      <w:pPr>
        <w:spacing w:after="0" w:line="186"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Days sales outstanding, comprising accounts receivable and unbilled revenue less payments on account, were 33 days at March 31, 2013, compared with 40 days at the end of December 2012.</w:t>
      </w:r>
    </w:p>
    <w:p>
      <w:pPr>
        <w:spacing w:after="0" w:line="173" w:lineRule="exact"/>
        <w:rPr>
          <w:sz w:val="20"/>
          <w:szCs w:val="20"/>
          <w:color w:val="auto"/>
        </w:rPr>
      </w:pPr>
    </w:p>
    <w:p>
      <w:pPr>
        <w:ind w:right="60"/>
        <w:spacing w:after="0"/>
        <w:rPr>
          <w:sz w:val="20"/>
          <w:szCs w:val="20"/>
          <w:color w:val="auto"/>
        </w:rPr>
      </w:pPr>
      <w:r>
        <w:rPr>
          <w:rFonts w:ascii="Arial" w:cs="Arial" w:eastAsia="Arial" w:hAnsi="Arial"/>
          <w:sz w:val="22"/>
          <w:szCs w:val="22"/>
          <w:color w:val="auto"/>
        </w:rPr>
        <w:t>For the quarter ended March 31, 2013, cash generated from operating activities was $69.4 million and capital expenditure was $9.4 million. The company’s net cash amounted to $201 million at March 31, 2013, compared to net cash of $190 million at December 31, 2012.</w:t>
      </w:r>
    </w:p>
    <w:p>
      <w:pPr>
        <w:spacing w:after="0" w:line="186"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During the quarter the company recorded a charge of $4.4 million in relation to restructuring costs and other items. US GAAP income from operations after these items amounted to $23 million or 7.3% of revenue. US GAAP net income for the quarter was $19 million or 31 cents per share.</w:t>
      </w:r>
    </w:p>
    <w:p>
      <w:pPr>
        <w:spacing w:after="0" w:line="186" w:lineRule="exact"/>
        <w:rPr>
          <w:sz w:val="20"/>
          <w:szCs w:val="20"/>
          <w:color w:val="auto"/>
        </w:rPr>
      </w:pPr>
    </w:p>
    <w:p>
      <w:pPr>
        <w:ind w:right="280"/>
        <w:spacing w:after="0" w:line="297" w:lineRule="auto"/>
        <w:rPr>
          <w:sz w:val="20"/>
          <w:szCs w:val="20"/>
          <w:color w:val="auto"/>
        </w:rPr>
      </w:pPr>
      <w:r>
        <w:rPr>
          <w:rFonts w:ascii="Arial" w:cs="Arial" w:eastAsia="Arial" w:hAnsi="Arial"/>
          <w:sz w:val="19"/>
          <w:szCs w:val="19"/>
          <w:color w:val="auto"/>
        </w:rPr>
        <w:t xml:space="preserve">CEO Ciaran Murray commented, </w:t>
      </w:r>
      <w:r>
        <w:rPr>
          <w:rFonts w:ascii="Arial" w:cs="Arial" w:eastAsia="Arial" w:hAnsi="Arial"/>
          <w:sz w:val="19"/>
          <w:szCs w:val="19"/>
          <w:i w:val="1"/>
          <w:iCs w:val="1"/>
          <w:color w:val="auto"/>
        </w:rPr>
        <w:t>“Q1 represents an encouraging start to 2013. Revenue increased year on year by 26%, and we</w:t>
      </w:r>
      <w:r>
        <w:rPr>
          <w:rFonts w:ascii="Arial" w:cs="Arial" w:eastAsia="Arial" w:hAnsi="Arial"/>
          <w:sz w:val="19"/>
          <w:szCs w:val="19"/>
          <w:color w:val="auto"/>
        </w:rPr>
        <w:t xml:space="preserve"> </w:t>
      </w:r>
      <w:r>
        <w:rPr>
          <w:rFonts w:ascii="Arial" w:cs="Arial" w:eastAsia="Arial" w:hAnsi="Arial"/>
          <w:sz w:val="19"/>
          <w:szCs w:val="19"/>
          <w:i w:val="1"/>
          <w:iCs w:val="1"/>
          <w:color w:val="auto"/>
        </w:rPr>
        <w:t>continued to make progress in expanding our operating margins, reaching 8.7% in the quarter. We reported net new business of $422 million, a book to bill of 1.3, giving us a solid foundation upon which to build during the remainder of 2013.”</w:t>
      </w:r>
    </w:p>
    <w:p>
      <w:pPr>
        <w:spacing w:after="0" w:line="134" w:lineRule="exact"/>
        <w:rPr>
          <w:sz w:val="20"/>
          <w:szCs w:val="20"/>
          <w:color w:val="auto"/>
        </w:rPr>
      </w:pPr>
    </w:p>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spacing w:after="0" w:line="238" w:lineRule="auto"/>
        <w:rPr>
          <w:sz w:val="20"/>
          <w:szCs w:val="20"/>
          <w:color w:val="auto"/>
        </w:rPr>
      </w:pPr>
      <w:r>
        <w:rPr>
          <w:rFonts w:ascii="Arial" w:cs="Arial" w:eastAsia="Arial" w:hAnsi="Arial"/>
          <w:sz w:val="22"/>
          <w:szCs w:val="22"/>
          <w:color w:val="auto"/>
        </w:rPr>
        <w:t xml:space="preserve">ICON will hold its first quarter conference call today, April 25, 2013 at 9:00 EST [14:00 Ireland &amp; UK]. This call and linked slide presentation can be accessed live from our website at </w:t>
      </w:r>
      <w:r>
        <w:rPr>
          <w:rFonts w:ascii="Arial" w:cs="Arial" w:eastAsia="Arial" w:hAnsi="Arial"/>
          <w:sz w:val="22"/>
          <w:szCs w:val="22"/>
          <w:u w:val="single" w:color="auto"/>
          <w:color w:val="auto"/>
        </w:rPr>
        <w:t>http://investor.iconplc.com</w:t>
      </w:r>
      <w:r>
        <w:rPr>
          <w:rFonts w:ascii="Arial" w:cs="Arial" w:eastAsia="Arial" w:hAnsi="Arial"/>
          <w:sz w:val="22"/>
          <w:szCs w:val="22"/>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86"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reports filed with the US Securities and Exchange Commission by ICON, including its Form 20-F, F-1, S-8 and F-3, may affect the actual results achieved by ICON. ICON disclaims any intent or obligation to update these forward-looking statements.</w:t>
      </w:r>
    </w:p>
    <w:p>
      <w:pPr>
        <w:spacing w:after="0" w:line="177" w:lineRule="exact"/>
        <w:rPr>
          <w:sz w:val="20"/>
          <w:szCs w:val="20"/>
          <w:color w:val="auto"/>
        </w:rPr>
      </w:pPr>
    </w:p>
    <w:p>
      <w:pPr>
        <w:ind w:right="54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79 locations in 37 countries and has approximately 10,200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ICON plc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Income Statements (Unaudited)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(Before restructuring and other items)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Three Months ended March 31, 2013 and March 31, 2012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60" w:type="dxa"/>
            <w:vAlign w:val="bottom"/>
          </w:tcPr>
          <w:p>
            <w:pPr>
              <w:spacing w:after="0"/>
              <w:rPr>
                <w:sz w:val="15"/>
                <w:szCs w:val="15"/>
                <w:color w:val="auto"/>
              </w:rPr>
            </w:pPr>
          </w:p>
        </w:tc>
        <w:tc>
          <w:tcPr>
            <w:tcW w:w="2360" w:type="dxa"/>
            <w:vAlign w:val="bottom"/>
            <w:gridSpan w:val="4"/>
          </w:tcPr>
          <w:p>
            <w:pPr>
              <w:ind w:left="1020"/>
              <w:spacing w:after="0"/>
              <w:rPr>
                <w:sz w:val="20"/>
                <w:szCs w:val="20"/>
                <w:color w:val="auto"/>
              </w:rPr>
            </w:pPr>
            <w:r>
              <w:rPr>
                <w:rFonts w:ascii="Arial" w:cs="Arial" w:eastAsia="Arial" w:hAnsi="Arial"/>
                <w:sz w:val="14"/>
                <w:szCs w:val="14"/>
                <w:b w:val="1"/>
                <w:bCs w:val="1"/>
                <w:color w:val="auto"/>
                <w:w w:val="95"/>
              </w:rPr>
              <w:t>Three Months Ended</w:t>
            </w: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60" w:type="dxa"/>
            <w:vAlign w:val="bottom"/>
          </w:tcPr>
          <w:p>
            <w:pPr>
              <w:spacing w:after="0"/>
              <w:rPr>
                <w:sz w:val="15"/>
                <w:szCs w:val="15"/>
                <w:color w:val="auto"/>
              </w:rPr>
            </w:pPr>
          </w:p>
        </w:tc>
        <w:tc>
          <w:tcPr>
            <w:tcW w:w="2360" w:type="dxa"/>
            <w:vAlign w:val="bottom"/>
            <w:gridSpan w:val="4"/>
          </w:tcPr>
          <w:p>
            <w:pPr>
              <w:ind w:left="280"/>
              <w:spacing w:after="0"/>
              <w:rPr>
                <w:sz w:val="20"/>
                <w:szCs w:val="20"/>
                <w:color w:val="auto"/>
              </w:rPr>
            </w:pPr>
            <w:r>
              <w:rPr>
                <w:rFonts w:ascii="Arial" w:cs="Arial" w:eastAsia="Arial" w:hAnsi="Arial"/>
                <w:sz w:val="14"/>
                <w:szCs w:val="14"/>
                <w:b w:val="1"/>
                <w:bCs w:val="1"/>
                <w:color w:val="auto"/>
              </w:rPr>
              <w:t>March 31,</w:t>
            </w: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6"/>
        </w:trPr>
        <w:tc>
          <w:tcPr>
            <w:tcW w:w="7660" w:type="dxa"/>
            <w:vAlign w:val="bottom"/>
          </w:tcPr>
          <w:p>
            <w:pPr>
              <w:spacing w:after="0"/>
              <w:rPr>
                <w:sz w:val="16"/>
                <w:szCs w:val="16"/>
                <w:color w:val="auto"/>
              </w:rPr>
            </w:pPr>
          </w:p>
        </w:tc>
        <w:tc>
          <w:tcPr>
            <w:tcW w:w="1220" w:type="dxa"/>
            <w:vAlign w:val="bottom"/>
          </w:tcPr>
          <w:p>
            <w:pPr>
              <w:jc w:val="right"/>
              <w:ind w:right="388"/>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7660" w:type="dxa"/>
            <w:vAlign w:val="bottom"/>
          </w:tcPr>
          <w:p>
            <w:pPr>
              <w:spacing w:after="0"/>
              <w:rPr>
                <w:sz w:val="20"/>
                <w:szCs w:val="20"/>
                <w:color w:val="auto"/>
              </w:rPr>
            </w:pPr>
            <w:r>
              <w:rPr>
                <w:rFonts w:ascii="Arial" w:cs="Arial" w:eastAsia="Arial" w:hAnsi="Arial"/>
                <w:sz w:val="14"/>
                <w:szCs w:val="14"/>
                <w:color w:val="auto"/>
              </w:rPr>
              <w:t>Gross Revenue</w:t>
            </w: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419,059</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color w:val="auto"/>
              </w:rPr>
              <w:t>343,055</w:t>
            </w:r>
          </w:p>
        </w:tc>
        <w:tc>
          <w:tcPr>
            <w:tcW w:w="0" w:type="dxa"/>
            <w:vAlign w:val="bottom"/>
          </w:tcPr>
          <w:p>
            <w:pPr>
              <w:spacing w:after="0"/>
              <w:rPr>
                <w:sz w:val="1"/>
                <w:szCs w:val="1"/>
                <w:color w:val="auto"/>
              </w:rPr>
            </w:pPr>
          </w:p>
        </w:tc>
      </w:tr>
      <w:tr>
        <w:trPr>
          <w:trHeight w:val="351"/>
        </w:trPr>
        <w:tc>
          <w:tcPr>
            <w:tcW w:w="7660" w:type="dxa"/>
            <w:vAlign w:val="bottom"/>
          </w:tcPr>
          <w:p>
            <w:pPr>
              <w:spacing w:after="0"/>
              <w:rPr>
                <w:sz w:val="20"/>
                <w:szCs w:val="20"/>
                <w:color w:val="auto"/>
              </w:rPr>
            </w:pPr>
            <w:r>
              <w:rPr>
                <w:rFonts w:ascii="Arial" w:cs="Arial" w:eastAsia="Arial" w:hAnsi="Arial"/>
                <w:sz w:val="14"/>
                <w:szCs w:val="14"/>
                <w:color w:val="auto"/>
              </w:rPr>
              <w:t>Reimbursable expenses</w:t>
            </w: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102,270</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color w:val="auto"/>
              </w:rPr>
              <w:t>90,722</w:t>
            </w:r>
          </w:p>
        </w:tc>
        <w:tc>
          <w:tcPr>
            <w:tcW w:w="0" w:type="dxa"/>
            <w:vAlign w:val="bottom"/>
          </w:tcPr>
          <w:p>
            <w:pPr>
              <w:spacing w:after="0"/>
              <w:rPr>
                <w:sz w:val="1"/>
                <w:szCs w:val="1"/>
                <w:color w:val="auto"/>
              </w:rPr>
            </w:pPr>
          </w:p>
        </w:tc>
      </w:tr>
      <w:tr>
        <w:trPr>
          <w:trHeight w:val="174"/>
        </w:trPr>
        <w:tc>
          <w:tcPr>
            <w:tcW w:w="7660" w:type="dxa"/>
            <w:vAlign w:val="bottom"/>
            <w:vMerge w:val="restart"/>
          </w:tcPr>
          <w:p>
            <w:pPr>
              <w:spacing w:after="0"/>
              <w:rPr>
                <w:sz w:val="20"/>
                <w:szCs w:val="20"/>
                <w:color w:val="auto"/>
              </w:rPr>
            </w:pPr>
            <w:r>
              <w:rPr>
                <w:rFonts w:ascii="Arial" w:cs="Arial" w:eastAsia="Arial" w:hAnsi="Arial"/>
                <w:sz w:val="14"/>
                <w:szCs w:val="14"/>
                <w:b w:val="1"/>
                <w:bCs w:val="1"/>
                <w:color w:val="auto"/>
              </w:rPr>
              <w:t>Net Revenue</w:t>
            </w:r>
          </w:p>
        </w:tc>
        <w:tc>
          <w:tcPr>
            <w:tcW w:w="1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60" w:type="dxa"/>
            <w:vAlign w:val="bottom"/>
            <w:vMerge w:val="continue"/>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316,789</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252,333</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766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660" w:type="dxa"/>
            <w:vAlign w:val="bottom"/>
          </w:tcPr>
          <w:p>
            <w:pPr>
              <w:spacing w:after="0"/>
              <w:rPr>
                <w:sz w:val="20"/>
                <w:szCs w:val="20"/>
                <w:color w:val="auto"/>
              </w:rPr>
            </w:pPr>
            <w:r>
              <w:rPr>
                <w:rFonts w:ascii="Arial" w:cs="Arial" w:eastAsia="Arial" w:hAnsi="Arial"/>
                <w:sz w:val="14"/>
                <w:szCs w:val="14"/>
                <w:color w:val="auto"/>
              </w:rPr>
              <w:t>Direct costs</w:t>
            </w: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202,361</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color w:val="auto"/>
              </w:rPr>
              <w:t>162,284</w:t>
            </w:r>
          </w:p>
        </w:tc>
        <w:tc>
          <w:tcPr>
            <w:tcW w:w="0" w:type="dxa"/>
            <w:vAlign w:val="bottom"/>
          </w:tcPr>
          <w:p>
            <w:pPr>
              <w:spacing w:after="0"/>
              <w:rPr>
                <w:sz w:val="1"/>
                <w:szCs w:val="1"/>
                <w:color w:val="auto"/>
              </w:rPr>
            </w:pPr>
          </w:p>
        </w:tc>
      </w:tr>
      <w:tr>
        <w:trPr>
          <w:trHeight w:val="176"/>
        </w:trPr>
        <w:tc>
          <w:tcPr>
            <w:tcW w:w="766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75,564</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color w:val="auto"/>
              </w:rPr>
              <w:t>67,515</w:t>
            </w:r>
          </w:p>
        </w:tc>
        <w:tc>
          <w:tcPr>
            <w:tcW w:w="0" w:type="dxa"/>
            <w:vAlign w:val="bottom"/>
          </w:tcPr>
          <w:p>
            <w:pPr>
              <w:spacing w:after="0"/>
              <w:rPr>
                <w:sz w:val="1"/>
                <w:szCs w:val="1"/>
                <w:color w:val="auto"/>
              </w:rPr>
            </w:pPr>
          </w:p>
        </w:tc>
      </w:tr>
      <w:tr>
        <w:trPr>
          <w:trHeight w:val="182"/>
        </w:trPr>
        <w:tc>
          <w:tcPr>
            <w:tcW w:w="76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220" w:type="dxa"/>
            <w:vAlign w:val="bottom"/>
          </w:tcPr>
          <w:p>
            <w:pPr>
              <w:jc w:val="right"/>
              <w:spacing w:after="0"/>
              <w:rPr>
                <w:sz w:val="20"/>
                <w:szCs w:val="20"/>
                <w:color w:val="auto"/>
              </w:rPr>
            </w:pPr>
            <w:r>
              <w:rPr>
                <w:rFonts w:ascii="Arial" w:cs="Arial" w:eastAsia="Arial" w:hAnsi="Arial"/>
                <w:sz w:val="14"/>
                <w:szCs w:val="14"/>
                <w:color w:val="auto"/>
              </w:rPr>
              <w:t>11,456</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color w:val="auto"/>
              </w:rPr>
              <w:t>10,802</w:t>
            </w:r>
          </w:p>
        </w:tc>
        <w:tc>
          <w:tcPr>
            <w:tcW w:w="0" w:type="dxa"/>
            <w:vAlign w:val="bottom"/>
          </w:tcPr>
          <w:p>
            <w:pPr>
              <w:spacing w:after="0"/>
              <w:rPr>
                <w:sz w:val="1"/>
                <w:szCs w:val="1"/>
                <w:color w:val="auto"/>
              </w:rPr>
            </w:pPr>
          </w:p>
        </w:tc>
      </w:tr>
      <w:tr>
        <w:trPr>
          <w:trHeight w:val="174"/>
        </w:trPr>
        <w:tc>
          <w:tcPr>
            <w:tcW w:w="7660" w:type="dxa"/>
            <w:vAlign w:val="bottom"/>
            <w:vMerge w:val="restart"/>
          </w:tcPr>
          <w:p>
            <w:pPr>
              <w:spacing w:after="0"/>
              <w:rPr>
                <w:sz w:val="20"/>
                <w:szCs w:val="20"/>
                <w:color w:val="auto"/>
              </w:rPr>
            </w:pPr>
            <w:r>
              <w:rPr>
                <w:rFonts w:ascii="Arial" w:cs="Arial" w:eastAsia="Arial" w:hAnsi="Arial"/>
                <w:sz w:val="14"/>
                <w:szCs w:val="14"/>
                <w:b w:val="1"/>
                <w:bCs w:val="1"/>
                <w:color w:val="auto"/>
              </w:rPr>
              <w:t>Total costs and expenses</w:t>
            </w: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60" w:type="dxa"/>
            <w:vAlign w:val="bottom"/>
            <w:vMerge w:val="continue"/>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289,381</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240,601</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766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27,408</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11,732</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60" w:type="dxa"/>
            <w:vAlign w:val="bottom"/>
          </w:tcPr>
          <w:p>
            <w:pPr>
              <w:spacing w:after="0"/>
              <w:rPr>
                <w:sz w:val="20"/>
                <w:szCs w:val="20"/>
                <w:color w:val="auto"/>
              </w:rPr>
            </w:pPr>
            <w:r>
              <w:rPr>
                <w:rFonts w:ascii="Arial" w:cs="Arial" w:eastAsia="Arial" w:hAnsi="Arial"/>
                <w:sz w:val="14"/>
                <w:szCs w:val="14"/>
                <w:color w:val="auto"/>
              </w:rPr>
              <w:t>Net interest expense</w:t>
            </w:r>
          </w:p>
        </w:tc>
        <w:tc>
          <w:tcPr>
            <w:tcW w:w="1220" w:type="dxa"/>
            <w:vAlign w:val="bottom"/>
          </w:tcPr>
          <w:p>
            <w:pPr>
              <w:jc w:val="right"/>
              <w:spacing w:after="0"/>
              <w:rPr>
                <w:sz w:val="20"/>
                <w:szCs w:val="20"/>
                <w:color w:val="auto"/>
              </w:rPr>
            </w:pPr>
            <w:r>
              <w:rPr>
                <w:rFonts w:ascii="Arial" w:cs="Arial" w:eastAsia="Arial" w:hAnsi="Arial"/>
                <w:sz w:val="14"/>
                <w:szCs w:val="14"/>
                <w:color w:val="auto"/>
              </w:rPr>
              <w:t>(185)</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660" w:type="dxa"/>
            <w:vAlign w:val="bottom"/>
            <w:vMerge w:val="restart"/>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12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60" w:type="dxa"/>
            <w:vAlign w:val="bottom"/>
            <w:vMerge w:val="continue"/>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27,223</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11,697</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766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(5,021)</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color w:val="auto"/>
              </w:rPr>
              <w:t>(2,726)</w:t>
            </w:r>
          </w:p>
        </w:tc>
        <w:tc>
          <w:tcPr>
            <w:tcW w:w="0" w:type="dxa"/>
            <w:vAlign w:val="bottom"/>
          </w:tcPr>
          <w:p>
            <w:pPr>
              <w:spacing w:after="0"/>
              <w:rPr>
                <w:sz w:val="1"/>
                <w:szCs w:val="1"/>
                <w:color w:val="auto"/>
              </w:rPr>
            </w:pPr>
          </w:p>
        </w:tc>
      </w:tr>
      <w:tr>
        <w:trPr>
          <w:trHeight w:val="174"/>
        </w:trPr>
        <w:tc>
          <w:tcPr>
            <w:tcW w:w="7660" w:type="dxa"/>
            <w:vAlign w:val="bottom"/>
            <w:vMerge w:val="restart"/>
          </w:tcPr>
          <w:p>
            <w:pPr>
              <w:spacing w:after="0"/>
              <w:rPr>
                <w:sz w:val="20"/>
                <w:szCs w:val="20"/>
                <w:color w:val="auto"/>
              </w:rPr>
            </w:pPr>
            <w:r>
              <w:rPr>
                <w:rFonts w:ascii="Arial" w:cs="Arial" w:eastAsia="Arial" w:hAnsi="Arial"/>
                <w:sz w:val="14"/>
                <w:szCs w:val="14"/>
                <w:b w:val="1"/>
                <w:bCs w:val="1"/>
                <w:color w:val="auto"/>
              </w:rPr>
              <w:t>Net income</w:t>
            </w:r>
          </w:p>
        </w:tc>
        <w:tc>
          <w:tcPr>
            <w:tcW w:w="1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7660" w:type="dxa"/>
            <w:vAlign w:val="bottom"/>
            <w:vMerge w:val="continue"/>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22,202</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color w:val="auto"/>
              </w:rPr>
              <w:t>8,971</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4"/>
                <w:szCs w:val="14"/>
                <w:color w:val="auto"/>
              </w:rPr>
              <w:t>Net income per ordinary share</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6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660" w:type="dxa"/>
            <w:vAlign w:val="bottom"/>
          </w:tcPr>
          <w:p>
            <w:pPr>
              <w:spacing w:after="0"/>
              <w:rPr>
                <w:sz w:val="20"/>
                <w:szCs w:val="20"/>
                <w:color w:val="auto"/>
              </w:rPr>
            </w:pPr>
            <w:r>
              <w:rPr>
                <w:rFonts w:ascii="Arial" w:cs="Arial" w:eastAsia="Arial" w:hAnsi="Arial"/>
                <w:sz w:val="14"/>
                <w:szCs w:val="14"/>
                <w:color w:val="auto"/>
              </w:rPr>
              <w:t>Basic</w:t>
            </w: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$0.37</w:t>
            </w:r>
          </w:p>
        </w:tc>
        <w:tc>
          <w:tcPr>
            <w:tcW w:w="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$0.15</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7660" w:type="dxa"/>
            <w:vAlign w:val="bottom"/>
          </w:tcPr>
          <w:p>
            <w:pPr>
              <w:spacing w:after="0"/>
              <w:rPr>
                <w:sz w:val="20"/>
                <w:szCs w:val="20"/>
                <w:color w:val="auto"/>
              </w:rPr>
            </w:pPr>
            <w:r>
              <w:rPr>
                <w:rFonts w:ascii="Arial" w:cs="Arial" w:eastAsia="Arial" w:hAnsi="Arial"/>
                <w:sz w:val="14"/>
                <w:szCs w:val="14"/>
                <w:color w:val="auto"/>
              </w:rPr>
              <w:t>Diluted</w:t>
            </w: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$0.36</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339"/>
        </w:trPr>
        <w:tc>
          <w:tcPr>
            <w:tcW w:w="7660" w:type="dxa"/>
            <w:vAlign w:val="bottom"/>
          </w:tcPr>
          <w:p>
            <w:pPr>
              <w:spacing w:after="0"/>
              <w:rPr>
                <w:sz w:val="20"/>
                <w:szCs w:val="20"/>
                <w:color w:val="auto"/>
              </w:rPr>
            </w:pPr>
            <w:r>
              <w:rPr>
                <w:rFonts w:ascii="Arial" w:cs="Arial" w:eastAsia="Arial" w:hAnsi="Arial"/>
                <w:sz w:val="14"/>
                <w:szCs w:val="14"/>
                <w:color w:val="auto"/>
              </w:rPr>
              <w:t>Weighted average number of ordinary shares</w:t>
            </w:r>
          </w:p>
        </w:tc>
        <w:tc>
          <w:tcPr>
            <w:tcW w:w="12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660" w:type="dxa"/>
            <w:vAlign w:val="bottom"/>
          </w:tcPr>
          <w:p>
            <w:pPr>
              <w:spacing w:after="0"/>
              <w:rPr>
                <w:sz w:val="20"/>
                <w:szCs w:val="20"/>
                <w:color w:val="auto"/>
              </w:rPr>
            </w:pPr>
            <w:r>
              <w:rPr>
                <w:rFonts w:ascii="Arial" w:cs="Arial" w:eastAsia="Arial" w:hAnsi="Arial"/>
                <w:sz w:val="14"/>
                <w:szCs w:val="14"/>
                <w:color w:val="auto"/>
              </w:rPr>
              <w:t>Basic</w:t>
            </w:r>
          </w:p>
        </w:tc>
        <w:tc>
          <w:tcPr>
            <w:tcW w:w="1220" w:type="dxa"/>
            <w:vAlign w:val="bottom"/>
          </w:tcPr>
          <w:p>
            <w:pPr>
              <w:jc w:val="right"/>
              <w:spacing w:after="0"/>
              <w:rPr>
                <w:sz w:val="20"/>
                <w:szCs w:val="20"/>
                <w:color w:val="auto"/>
              </w:rPr>
            </w:pPr>
            <w:r>
              <w:rPr>
                <w:rFonts w:ascii="Arial" w:cs="Arial" w:eastAsia="Arial" w:hAnsi="Arial"/>
                <w:sz w:val="14"/>
                <w:szCs w:val="14"/>
                <w:color w:val="auto"/>
              </w:rPr>
              <w:t>60,404,242</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60,086,104</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7660" w:type="dxa"/>
            <w:vAlign w:val="bottom"/>
          </w:tcPr>
          <w:p>
            <w:pPr>
              <w:spacing w:after="0"/>
              <w:rPr>
                <w:sz w:val="20"/>
                <w:szCs w:val="20"/>
                <w:color w:val="auto"/>
              </w:rPr>
            </w:pPr>
            <w:r>
              <w:rPr>
                <w:rFonts w:ascii="Arial" w:cs="Arial" w:eastAsia="Arial" w:hAnsi="Arial"/>
                <w:sz w:val="14"/>
                <w:szCs w:val="14"/>
                <w:color w:val="auto"/>
              </w:rPr>
              <w:t>Diluted</w:t>
            </w:r>
          </w:p>
        </w:tc>
        <w:tc>
          <w:tcPr>
            <w:tcW w:w="1220" w:type="dxa"/>
            <w:vAlign w:val="bottom"/>
          </w:tcPr>
          <w:p>
            <w:pPr>
              <w:jc w:val="right"/>
              <w:spacing w:after="0"/>
              <w:rPr>
                <w:sz w:val="20"/>
                <w:szCs w:val="20"/>
                <w:color w:val="auto"/>
              </w:rPr>
            </w:pPr>
            <w:r>
              <w:rPr>
                <w:rFonts w:ascii="Arial" w:cs="Arial" w:eastAsia="Arial" w:hAnsi="Arial"/>
                <w:sz w:val="14"/>
                <w:szCs w:val="14"/>
                <w:color w:val="auto"/>
              </w:rPr>
              <w:t>61,323,594</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60,708,469</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76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66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ICON plc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Income Statements (Unaudited)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 GAAP)</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Three Months ended March 31, 2013 and March 31, 2012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120" w:type="dxa"/>
            <w:vAlign w:val="bottom"/>
          </w:tcPr>
          <w:p>
            <w:pPr>
              <w:spacing w:after="0"/>
              <w:rPr>
                <w:sz w:val="15"/>
                <w:szCs w:val="15"/>
                <w:color w:val="auto"/>
              </w:rPr>
            </w:pPr>
          </w:p>
        </w:tc>
        <w:tc>
          <w:tcPr>
            <w:tcW w:w="2360" w:type="dxa"/>
            <w:vAlign w:val="bottom"/>
            <w:gridSpan w:val="3"/>
          </w:tcPr>
          <w:p>
            <w:pPr>
              <w:ind w:left="1020"/>
              <w:spacing w:after="0"/>
              <w:rPr>
                <w:sz w:val="20"/>
                <w:szCs w:val="20"/>
                <w:color w:val="auto"/>
              </w:rPr>
            </w:pPr>
            <w:r>
              <w:rPr>
                <w:rFonts w:ascii="Arial" w:cs="Arial" w:eastAsia="Arial" w:hAnsi="Arial"/>
                <w:sz w:val="14"/>
                <w:szCs w:val="14"/>
                <w:b w:val="1"/>
                <w:bCs w:val="1"/>
                <w:color w:val="auto"/>
                <w:w w:val="95"/>
              </w:rPr>
              <w:t>Three Months Ended</w:t>
            </w: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20" w:type="dxa"/>
            <w:vAlign w:val="bottom"/>
          </w:tcPr>
          <w:p>
            <w:pPr>
              <w:spacing w:after="0"/>
              <w:rPr>
                <w:sz w:val="15"/>
                <w:szCs w:val="15"/>
                <w:color w:val="auto"/>
              </w:rPr>
            </w:pPr>
          </w:p>
        </w:tc>
        <w:tc>
          <w:tcPr>
            <w:tcW w:w="2360" w:type="dxa"/>
            <w:vAlign w:val="bottom"/>
            <w:gridSpan w:val="3"/>
          </w:tcPr>
          <w:p>
            <w:pPr>
              <w:ind w:left="300"/>
              <w:spacing w:after="0"/>
              <w:rPr>
                <w:sz w:val="20"/>
                <w:szCs w:val="20"/>
                <w:color w:val="auto"/>
              </w:rPr>
            </w:pPr>
            <w:r>
              <w:rPr>
                <w:rFonts w:ascii="Arial" w:cs="Arial" w:eastAsia="Arial" w:hAnsi="Arial"/>
                <w:sz w:val="14"/>
                <w:szCs w:val="14"/>
                <w:b w:val="1"/>
                <w:bCs w:val="1"/>
                <w:color w:val="auto"/>
              </w:rPr>
              <w:t>March 31,</w:t>
            </w:r>
          </w:p>
        </w:tc>
        <w:tc>
          <w:tcPr>
            <w:tcW w:w="19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6"/>
        </w:trPr>
        <w:tc>
          <w:tcPr>
            <w:tcW w:w="7120" w:type="dxa"/>
            <w:vAlign w:val="bottom"/>
          </w:tcPr>
          <w:p>
            <w:pPr>
              <w:spacing w:after="0"/>
              <w:rPr>
                <w:sz w:val="16"/>
                <w:szCs w:val="16"/>
                <w:color w:val="auto"/>
              </w:rPr>
            </w:pPr>
          </w:p>
        </w:tc>
        <w:tc>
          <w:tcPr>
            <w:tcW w:w="1240" w:type="dxa"/>
            <w:vAlign w:val="bottom"/>
          </w:tcPr>
          <w:p>
            <w:pPr>
              <w:jc w:val="right"/>
              <w:ind w:right="408"/>
              <w:spacing w:after="0"/>
              <w:rPr>
                <w:sz w:val="20"/>
                <w:szCs w:val="20"/>
                <w:color w:val="auto"/>
              </w:rPr>
            </w:pPr>
            <w:r>
              <w:rPr>
                <w:rFonts w:ascii="Arial" w:cs="Arial" w:eastAsia="Arial" w:hAnsi="Arial"/>
                <w:sz w:val="14"/>
                <w:szCs w:val="14"/>
                <w:b w:val="1"/>
                <w:bCs w:val="1"/>
                <w:color w:val="auto"/>
              </w:rPr>
              <w:t>2013</w:t>
            </w: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Arial" w:cs="Arial" w:eastAsia="Arial" w:hAnsi="Arial"/>
                <w:sz w:val="14"/>
                <w:szCs w:val="14"/>
                <w:b w:val="1"/>
                <w:bCs w:val="1"/>
                <w:color w:val="auto"/>
              </w:rPr>
              <w:t>2012</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7120" w:type="dxa"/>
            <w:vAlign w:val="bottom"/>
          </w:tcPr>
          <w:p>
            <w:pPr>
              <w:spacing w:after="0"/>
              <w:rPr>
                <w:sz w:val="20"/>
                <w:szCs w:val="20"/>
                <w:color w:val="auto"/>
              </w:rPr>
            </w:pPr>
            <w:r>
              <w:rPr>
                <w:rFonts w:ascii="Arial" w:cs="Arial" w:eastAsia="Arial" w:hAnsi="Arial"/>
                <w:sz w:val="14"/>
                <w:szCs w:val="14"/>
                <w:color w:val="auto"/>
              </w:rPr>
              <w:t>Gross Revenue</w:t>
            </w:r>
          </w:p>
        </w:tc>
        <w:tc>
          <w:tcPr>
            <w:tcW w:w="1240" w:type="dxa"/>
            <w:vAlign w:val="bottom"/>
          </w:tcPr>
          <w:p>
            <w:pPr>
              <w:jc w:val="right"/>
              <w:spacing w:after="0"/>
              <w:rPr>
                <w:sz w:val="20"/>
                <w:szCs w:val="20"/>
                <w:color w:val="auto"/>
              </w:rPr>
            </w:pPr>
            <w:r>
              <w:rPr>
                <w:rFonts w:ascii="Arial" w:cs="Arial" w:eastAsia="Arial" w:hAnsi="Arial"/>
                <w:sz w:val="14"/>
                <w:szCs w:val="14"/>
                <w:color w:val="auto"/>
              </w:rPr>
              <w:t>419,059</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gridSpan w:val="2"/>
          </w:tcPr>
          <w:p>
            <w:pPr>
              <w:jc w:val="right"/>
              <w:ind w:right="940"/>
              <w:spacing w:after="0"/>
              <w:rPr>
                <w:sz w:val="20"/>
                <w:szCs w:val="20"/>
                <w:color w:val="auto"/>
              </w:rPr>
            </w:pPr>
            <w:r>
              <w:rPr>
                <w:rFonts w:ascii="Arial" w:cs="Arial" w:eastAsia="Arial" w:hAnsi="Arial"/>
                <w:sz w:val="14"/>
                <w:szCs w:val="14"/>
                <w:color w:val="auto"/>
              </w:rPr>
              <w:t>343,055</w:t>
            </w:r>
          </w:p>
        </w:tc>
        <w:tc>
          <w:tcPr>
            <w:tcW w:w="0" w:type="dxa"/>
            <w:vAlign w:val="bottom"/>
          </w:tcPr>
          <w:p>
            <w:pPr>
              <w:spacing w:after="0"/>
              <w:rPr>
                <w:sz w:val="1"/>
                <w:szCs w:val="1"/>
                <w:color w:val="auto"/>
              </w:rPr>
            </w:pPr>
          </w:p>
        </w:tc>
      </w:tr>
      <w:tr>
        <w:trPr>
          <w:trHeight w:val="351"/>
        </w:trPr>
        <w:tc>
          <w:tcPr>
            <w:tcW w:w="7120" w:type="dxa"/>
            <w:vAlign w:val="bottom"/>
          </w:tcPr>
          <w:p>
            <w:pPr>
              <w:spacing w:after="0"/>
              <w:rPr>
                <w:sz w:val="20"/>
                <w:szCs w:val="20"/>
                <w:color w:val="auto"/>
              </w:rPr>
            </w:pPr>
            <w:r>
              <w:rPr>
                <w:rFonts w:ascii="Arial" w:cs="Arial" w:eastAsia="Arial" w:hAnsi="Arial"/>
                <w:sz w:val="14"/>
                <w:szCs w:val="14"/>
                <w:color w:val="auto"/>
              </w:rPr>
              <w:t>Reimbursable expenses</w:t>
            </w:r>
          </w:p>
        </w:tc>
        <w:tc>
          <w:tcPr>
            <w:tcW w:w="1240" w:type="dxa"/>
            <w:vAlign w:val="bottom"/>
          </w:tcPr>
          <w:p>
            <w:pPr>
              <w:jc w:val="right"/>
              <w:spacing w:after="0"/>
              <w:rPr>
                <w:sz w:val="20"/>
                <w:szCs w:val="20"/>
                <w:color w:val="auto"/>
              </w:rPr>
            </w:pPr>
            <w:r>
              <w:rPr>
                <w:rFonts w:ascii="Arial" w:cs="Arial" w:eastAsia="Arial" w:hAnsi="Arial"/>
                <w:sz w:val="14"/>
                <w:szCs w:val="14"/>
                <w:color w:val="auto"/>
              </w:rPr>
              <w:t>102,270</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gridSpan w:val="2"/>
          </w:tcPr>
          <w:p>
            <w:pPr>
              <w:jc w:val="right"/>
              <w:ind w:right="940"/>
              <w:spacing w:after="0"/>
              <w:rPr>
                <w:sz w:val="20"/>
                <w:szCs w:val="20"/>
                <w:color w:val="auto"/>
              </w:rPr>
            </w:pPr>
            <w:r>
              <w:rPr>
                <w:rFonts w:ascii="Arial" w:cs="Arial" w:eastAsia="Arial" w:hAnsi="Arial"/>
                <w:sz w:val="14"/>
                <w:szCs w:val="14"/>
                <w:color w:val="auto"/>
              </w:rPr>
              <w:t>90,722</w:t>
            </w:r>
          </w:p>
        </w:tc>
        <w:tc>
          <w:tcPr>
            <w:tcW w:w="0" w:type="dxa"/>
            <w:vAlign w:val="bottom"/>
          </w:tcPr>
          <w:p>
            <w:pPr>
              <w:spacing w:after="0"/>
              <w:rPr>
                <w:sz w:val="1"/>
                <w:szCs w:val="1"/>
                <w:color w:val="auto"/>
              </w:rPr>
            </w:pPr>
          </w:p>
        </w:tc>
      </w:tr>
      <w:tr>
        <w:trPr>
          <w:trHeight w:val="174"/>
        </w:trPr>
        <w:tc>
          <w:tcPr>
            <w:tcW w:w="7120" w:type="dxa"/>
            <w:vAlign w:val="bottom"/>
            <w:vMerge w:val="restart"/>
          </w:tcPr>
          <w:p>
            <w:pPr>
              <w:spacing w:after="0"/>
              <w:rPr>
                <w:sz w:val="20"/>
                <w:szCs w:val="20"/>
                <w:color w:val="auto"/>
              </w:rPr>
            </w:pPr>
            <w:r>
              <w:rPr>
                <w:rFonts w:ascii="Arial" w:cs="Arial" w:eastAsia="Arial" w:hAnsi="Arial"/>
                <w:sz w:val="14"/>
                <w:szCs w:val="14"/>
                <w:b w:val="1"/>
                <w:bCs w:val="1"/>
                <w:color w:val="auto"/>
              </w:rPr>
              <w:t>Net Revenue</w:t>
            </w:r>
          </w:p>
        </w:tc>
        <w:tc>
          <w:tcPr>
            <w:tcW w:w="1240" w:type="dxa"/>
            <w:vAlign w:val="bottom"/>
            <w:tcBorders>
              <w:bottom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20" w:type="dxa"/>
            <w:vAlign w:val="bottom"/>
            <w:vMerge w:val="continue"/>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316,789</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252,333</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712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120" w:type="dxa"/>
            <w:vAlign w:val="bottom"/>
          </w:tcPr>
          <w:p>
            <w:pPr>
              <w:spacing w:after="0"/>
              <w:rPr>
                <w:sz w:val="20"/>
                <w:szCs w:val="20"/>
                <w:color w:val="auto"/>
              </w:rPr>
            </w:pPr>
            <w:r>
              <w:rPr>
                <w:rFonts w:ascii="Arial" w:cs="Arial" w:eastAsia="Arial" w:hAnsi="Arial"/>
                <w:sz w:val="14"/>
                <w:szCs w:val="14"/>
                <w:color w:val="auto"/>
              </w:rPr>
              <w:t>Direct costs</w:t>
            </w:r>
          </w:p>
        </w:tc>
        <w:tc>
          <w:tcPr>
            <w:tcW w:w="1240" w:type="dxa"/>
            <w:vAlign w:val="bottom"/>
          </w:tcPr>
          <w:p>
            <w:pPr>
              <w:jc w:val="right"/>
              <w:spacing w:after="0"/>
              <w:rPr>
                <w:sz w:val="20"/>
                <w:szCs w:val="20"/>
                <w:color w:val="auto"/>
              </w:rPr>
            </w:pPr>
            <w:r>
              <w:rPr>
                <w:rFonts w:ascii="Arial" w:cs="Arial" w:eastAsia="Arial" w:hAnsi="Arial"/>
                <w:sz w:val="14"/>
                <w:szCs w:val="14"/>
                <w:color w:val="auto"/>
              </w:rPr>
              <w:t>202,361</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gridSpan w:val="2"/>
          </w:tcPr>
          <w:p>
            <w:pPr>
              <w:jc w:val="right"/>
              <w:ind w:right="940"/>
              <w:spacing w:after="0"/>
              <w:rPr>
                <w:sz w:val="20"/>
                <w:szCs w:val="20"/>
                <w:color w:val="auto"/>
              </w:rPr>
            </w:pPr>
            <w:r>
              <w:rPr>
                <w:rFonts w:ascii="Arial" w:cs="Arial" w:eastAsia="Arial" w:hAnsi="Arial"/>
                <w:sz w:val="14"/>
                <w:szCs w:val="14"/>
                <w:color w:val="auto"/>
              </w:rPr>
              <w:t>162,284</w:t>
            </w:r>
          </w:p>
        </w:tc>
        <w:tc>
          <w:tcPr>
            <w:tcW w:w="0" w:type="dxa"/>
            <w:vAlign w:val="bottom"/>
          </w:tcPr>
          <w:p>
            <w:pPr>
              <w:spacing w:after="0"/>
              <w:rPr>
                <w:sz w:val="1"/>
                <w:szCs w:val="1"/>
                <w:color w:val="auto"/>
              </w:rPr>
            </w:pPr>
          </w:p>
        </w:tc>
      </w:tr>
      <w:tr>
        <w:trPr>
          <w:trHeight w:val="176"/>
        </w:trPr>
        <w:tc>
          <w:tcPr>
            <w:tcW w:w="712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240" w:type="dxa"/>
            <w:vAlign w:val="bottom"/>
          </w:tcPr>
          <w:p>
            <w:pPr>
              <w:jc w:val="right"/>
              <w:spacing w:after="0"/>
              <w:rPr>
                <w:sz w:val="20"/>
                <w:szCs w:val="20"/>
                <w:color w:val="auto"/>
              </w:rPr>
            </w:pPr>
            <w:r>
              <w:rPr>
                <w:rFonts w:ascii="Arial" w:cs="Arial" w:eastAsia="Arial" w:hAnsi="Arial"/>
                <w:sz w:val="14"/>
                <w:szCs w:val="14"/>
                <w:color w:val="auto"/>
              </w:rPr>
              <w:t>75,564</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gridSpan w:val="2"/>
          </w:tcPr>
          <w:p>
            <w:pPr>
              <w:jc w:val="right"/>
              <w:ind w:right="940"/>
              <w:spacing w:after="0"/>
              <w:rPr>
                <w:sz w:val="20"/>
                <w:szCs w:val="20"/>
                <w:color w:val="auto"/>
              </w:rPr>
            </w:pPr>
            <w:r>
              <w:rPr>
                <w:rFonts w:ascii="Arial" w:cs="Arial" w:eastAsia="Arial" w:hAnsi="Arial"/>
                <w:sz w:val="14"/>
                <w:szCs w:val="14"/>
                <w:color w:val="auto"/>
              </w:rPr>
              <w:t>67,515</w:t>
            </w:r>
          </w:p>
        </w:tc>
        <w:tc>
          <w:tcPr>
            <w:tcW w:w="0" w:type="dxa"/>
            <w:vAlign w:val="bottom"/>
          </w:tcPr>
          <w:p>
            <w:pPr>
              <w:spacing w:after="0"/>
              <w:rPr>
                <w:sz w:val="1"/>
                <w:szCs w:val="1"/>
                <w:color w:val="auto"/>
              </w:rPr>
            </w:pPr>
          </w:p>
        </w:tc>
      </w:tr>
      <w:tr>
        <w:trPr>
          <w:trHeight w:val="176"/>
        </w:trPr>
        <w:tc>
          <w:tcPr>
            <w:tcW w:w="712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240" w:type="dxa"/>
            <w:vAlign w:val="bottom"/>
          </w:tcPr>
          <w:p>
            <w:pPr>
              <w:jc w:val="right"/>
              <w:spacing w:after="0"/>
              <w:rPr>
                <w:sz w:val="20"/>
                <w:szCs w:val="20"/>
                <w:color w:val="auto"/>
              </w:rPr>
            </w:pPr>
            <w:r>
              <w:rPr>
                <w:rFonts w:ascii="Arial" w:cs="Arial" w:eastAsia="Arial" w:hAnsi="Arial"/>
                <w:sz w:val="14"/>
                <w:szCs w:val="14"/>
                <w:color w:val="auto"/>
              </w:rPr>
              <w:t>11,456</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gridSpan w:val="2"/>
          </w:tcPr>
          <w:p>
            <w:pPr>
              <w:jc w:val="right"/>
              <w:ind w:right="940"/>
              <w:spacing w:after="0"/>
              <w:rPr>
                <w:sz w:val="20"/>
                <w:szCs w:val="20"/>
                <w:color w:val="auto"/>
              </w:rPr>
            </w:pPr>
            <w:r>
              <w:rPr>
                <w:rFonts w:ascii="Arial" w:cs="Arial" w:eastAsia="Arial" w:hAnsi="Arial"/>
                <w:sz w:val="14"/>
                <w:szCs w:val="14"/>
                <w:color w:val="auto"/>
              </w:rPr>
              <w:t>10,802</w:t>
            </w:r>
          </w:p>
        </w:tc>
        <w:tc>
          <w:tcPr>
            <w:tcW w:w="0" w:type="dxa"/>
            <w:vAlign w:val="bottom"/>
          </w:tcPr>
          <w:p>
            <w:pPr>
              <w:spacing w:after="0"/>
              <w:rPr>
                <w:sz w:val="1"/>
                <w:szCs w:val="1"/>
                <w:color w:val="auto"/>
              </w:rPr>
            </w:pPr>
          </w:p>
        </w:tc>
      </w:tr>
      <w:tr>
        <w:trPr>
          <w:trHeight w:val="182"/>
        </w:trPr>
        <w:tc>
          <w:tcPr>
            <w:tcW w:w="7120" w:type="dxa"/>
            <w:vAlign w:val="bottom"/>
          </w:tcPr>
          <w:p>
            <w:pPr>
              <w:spacing w:after="0"/>
              <w:rPr>
                <w:sz w:val="20"/>
                <w:szCs w:val="20"/>
                <w:color w:val="auto"/>
              </w:rPr>
            </w:pPr>
            <w:r>
              <w:rPr>
                <w:rFonts w:ascii="Arial" w:cs="Arial" w:eastAsia="Arial" w:hAnsi="Arial"/>
                <w:sz w:val="14"/>
                <w:szCs w:val="14"/>
                <w:color w:val="auto"/>
              </w:rPr>
              <w:t>Restructuring and other items</w:t>
            </w:r>
          </w:p>
        </w:tc>
        <w:tc>
          <w:tcPr>
            <w:tcW w:w="1240" w:type="dxa"/>
            <w:vAlign w:val="bottom"/>
          </w:tcPr>
          <w:p>
            <w:pPr>
              <w:jc w:val="right"/>
              <w:spacing w:after="0"/>
              <w:rPr>
                <w:sz w:val="20"/>
                <w:szCs w:val="20"/>
                <w:color w:val="auto"/>
              </w:rPr>
            </w:pPr>
            <w:r>
              <w:rPr>
                <w:rFonts w:ascii="Arial" w:cs="Arial" w:eastAsia="Arial" w:hAnsi="Arial"/>
                <w:sz w:val="14"/>
                <w:szCs w:val="14"/>
                <w:color w:val="auto"/>
              </w:rPr>
              <w:t>4,412</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gridSpan w:val="2"/>
          </w:tcPr>
          <w:p>
            <w:pPr>
              <w:jc w:val="right"/>
              <w:ind w:right="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7120" w:type="dxa"/>
            <w:vAlign w:val="bottom"/>
            <w:vMerge w:val="restart"/>
          </w:tcPr>
          <w:p>
            <w:pPr>
              <w:spacing w:after="0"/>
              <w:rPr>
                <w:sz w:val="20"/>
                <w:szCs w:val="20"/>
                <w:color w:val="auto"/>
              </w:rPr>
            </w:pPr>
            <w:r>
              <w:rPr>
                <w:rFonts w:ascii="Arial" w:cs="Arial" w:eastAsia="Arial" w:hAnsi="Arial"/>
                <w:sz w:val="14"/>
                <w:szCs w:val="14"/>
                <w:b w:val="1"/>
                <w:bCs w:val="1"/>
                <w:color w:val="auto"/>
              </w:rPr>
              <w:t>Total costs and expenses</w:t>
            </w:r>
          </w:p>
        </w:tc>
        <w:tc>
          <w:tcPr>
            <w:tcW w:w="1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20" w:type="dxa"/>
            <w:vAlign w:val="bottom"/>
            <w:vMerge w:val="continue"/>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293,793</w:t>
            </w:r>
          </w:p>
        </w:tc>
        <w:tc>
          <w:tcPr>
            <w:tcW w:w="8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240,601</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712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1240" w:type="dxa"/>
            <w:vAlign w:val="bottom"/>
          </w:tcPr>
          <w:p>
            <w:pPr>
              <w:jc w:val="right"/>
              <w:spacing w:after="0"/>
              <w:rPr>
                <w:sz w:val="20"/>
                <w:szCs w:val="20"/>
                <w:color w:val="auto"/>
              </w:rPr>
            </w:pPr>
            <w:r>
              <w:rPr>
                <w:rFonts w:ascii="Arial" w:cs="Arial" w:eastAsia="Arial" w:hAnsi="Arial"/>
                <w:sz w:val="14"/>
                <w:szCs w:val="14"/>
                <w:color w:val="auto"/>
              </w:rPr>
              <w:t>22,996</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gridSpan w:val="2"/>
          </w:tcPr>
          <w:p>
            <w:pPr>
              <w:jc w:val="right"/>
              <w:ind w:right="940"/>
              <w:spacing w:after="0"/>
              <w:rPr>
                <w:sz w:val="20"/>
                <w:szCs w:val="20"/>
                <w:color w:val="auto"/>
              </w:rPr>
            </w:pPr>
            <w:r>
              <w:rPr>
                <w:rFonts w:ascii="Arial" w:cs="Arial" w:eastAsia="Arial" w:hAnsi="Arial"/>
                <w:sz w:val="14"/>
                <w:szCs w:val="14"/>
                <w:color w:val="auto"/>
              </w:rPr>
              <w:t>11,732</w:t>
            </w:r>
          </w:p>
        </w:tc>
        <w:tc>
          <w:tcPr>
            <w:tcW w:w="0" w:type="dxa"/>
            <w:vAlign w:val="bottom"/>
          </w:tcPr>
          <w:p>
            <w:pPr>
              <w:spacing w:after="0"/>
              <w:rPr>
                <w:sz w:val="1"/>
                <w:szCs w:val="1"/>
                <w:color w:val="auto"/>
              </w:rPr>
            </w:pPr>
          </w:p>
        </w:tc>
      </w:tr>
      <w:tr>
        <w:trPr>
          <w:trHeight w:val="351"/>
        </w:trPr>
        <w:tc>
          <w:tcPr>
            <w:tcW w:w="7120" w:type="dxa"/>
            <w:vAlign w:val="bottom"/>
          </w:tcPr>
          <w:p>
            <w:pPr>
              <w:spacing w:after="0"/>
              <w:rPr>
                <w:sz w:val="20"/>
                <w:szCs w:val="20"/>
                <w:color w:val="auto"/>
              </w:rPr>
            </w:pPr>
            <w:r>
              <w:rPr>
                <w:rFonts w:ascii="Arial" w:cs="Arial" w:eastAsia="Arial" w:hAnsi="Arial"/>
                <w:sz w:val="14"/>
                <w:szCs w:val="14"/>
                <w:color w:val="auto"/>
              </w:rPr>
              <w:t>Net interest expense</w:t>
            </w:r>
          </w:p>
        </w:tc>
        <w:tc>
          <w:tcPr>
            <w:tcW w:w="1240" w:type="dxa"/>
            <w:vAlign w:val="bottom"/>
          </w:tcPr>
          <w:p>
            <w:pPr>
              <w:jc w:val="right"/>
              <w:spacing w:after="0"/>
              <w:rPr>
                <w:sz w:val="20"/>
                <w:szCs w:val="20"/>
                <w:color w:val="auto"/>
              </w:rPr>
            </w:pPr>
            <w:r>
              <w:rPr>
                <w:rFonts w:ascii="Arial" w:cs="Arial" w:eastAsia="Arial" w:hAnsi="Arial"/>
                <w:sz w:val="14"/>
                <w:szCs w:val="14"/>
                <w:color w:val="auto"/>
              </w:rPr>
              <w:t>(185)</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gridSpan w:val="2"/>
          </w:tcPr>
          <w:p>
            <w:pPr>
              <w:jc w:val="right"/>
              <w:ind w:right="94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4"/>
        </w:trPr>
        <w:tc>
          <w:tcPr>
            <w:tcW w:w="7120" w:type="dxa"/>
            <w:vAlign w:val="bottom"/>
            <w:vMerge w:val="restart"/>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1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20" w:type="dxa"/>
            <w:vAlign w:val="bottom"/>
            <w:vMerge w:val="continue"/>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22,811</w:t>
            </w:r>
          </w:p>
        </w:tc>
        <w:tc>
          <w:tcPr>
            <w:tcW w:w="8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11,697</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712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240" w:type="dxa"/>
            <w:vAlign w:val="bottom"/>
          </w:tcPr>
          <w:p>
            <w:pPr>
              <w:jc w:val="right"/>
              <w:spacing w:after="0"/>
              <w:rPr>
                <w:sz w:val="20"/>
                <w:szCs w:val="20"/>
                <w:color w:val="auto"/>
              </w:rPr>
            </w:pPr>
            <w:r>
              <w:rPr>
                <w:rFonts w:ascii="Arial" w:cs="Arial" w:eastAsia="Arial" w:hAnsi="Arial"/>
                <w:sz w:val="14"/>
                <w:szCs w:val="14"/>
                <w:color w:val="auto"/>
              </w:rPr>
              <w:t>(3,766)</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gridSpan w:val="2"/>
          </w:tcPr>
          <w:p>
            <w:pPr>
              <w:jc w:val="right"/>
              <w:ind w:right="940"/>
              <w:spacing w:after="0"/>
              <w:rPr>
                <w:sz w:val="20"/>
                <w:szCs w:val="20"/>
                <w:color w:val="auto"/>
              </w:rPr>
            </w:pPr>
            <w:r>
              <w:rPr>
                <w:rFonts w:ascii="Arial" w:cs="Arial" w:eastAsia="Arial" w:hAnsi="Arial"/>
                <w:sz w:val="14"/>
                <w:szCs w:val="14"/>
                <w:color w:val="auto"/>
              </w:rPr>
              <w:t>(2,726)</w:t>
            </w:r>
          </w:p>
        </w:tc>
        <w:tc>
          <w:tcPr>
            <w:tcW w:w="0" w:type="dxa"/>
            <w:vAlign w:val="bottom"/>
          </w:tcPr>
          <w:p>
            <w:pPr>
              <w:spacing w:after="0"/>
              <w:rPr>
                <w:sz w:val="1"/>
                <w:szCs w:val="1"/>
                <w:color w:val="auto"/>
              </w:rPr>
            </w:pPr>
          </w:p>
        </w:tc>
      </w:tr>
      <w:tr>
        <w:trPr>
          <w:trHeight w:val="174"/>
        </w:trPr>
        <w:tc>
          <w:tcPr>
            <w:tcW w:w="7120" w:type="dxa"/>
            <w:vAlign w:val="bottom"/>
            <w:vMerge w:val="restart"/>
          </w:tcPr>
          <w:p>
            <w:pPr>
              <w:spacing w:after="0"/>
              <w:rPr>
                <w:sz w:val="20"/>
                <w:szCs w:val="20"/>
                <w:color w:val="auto"/>
              </w:rPr>
            </w:pPr>
            <w:r>
              <w:rPr>
                <w:rFonts w:ascii="Arial" w:cs="Arial" w:eastAsia="Arial" w:hAnsi="Arial"/>
                <w:sz w:val="14"/>
                <w:szCs w:val="14"/>
                <w:b w:val="1"/>
                <w:bCs w:val="1"/>
                <w:color w:val="auto"/>
              </w:rPr>
              <w:t>Net income</w:t>
            </w:r>
          </w:p>
        </w:tc>
        <w:tc>
          <w:tcPr>
            <w:tcW w:w="1240" w:type="dxa"/>
            <w:vAlign w:val="bottom"/>
            <w:tcBorders>
              <w:bottom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7120" w:type="dxa"/>
            <w:vAlign w:val="bottom"/>
            <w:vMerge w:val="continue"/>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19,045</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gridSpan w:val="2"/>
          </w:tcPr>
          <w:p>
            <w:pPr>
              <w:jc w:val="right"/>
              <w:ind w:right="940"/>
              <w:spacing w:after="0"/>
              <w:rPr>
                <w:sz w:val="20"/>
                <w:szCs w:val="20"/>
                <w:color w:val="auto"/>
              </w:rPr>
            </w:pPr>
            <w:r>
              <w:rPr>
                <w:rFonts w:ascii="Arial" w:cs="Arial" w:eastAsia="Arial" w:hAnsi="Arial"/>
                <w:sz w:val="14"/>
                <w:szCs w:val="14"/>
                <w:color w:val="auto"/>
              </w:rPr>
              <w:t>8,971</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4"/>
                <w:szCs w:val="14"/>
                <w:color w:val="auto"/>
              </w:rPr>
              <w:t>Net income per ordinary share</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1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120" w:type="dxa"/>
            <w:vAlign w:val="bottom"/>
          </w:tcPr>
          <w:p>
            <w:pPr>
              <w:spacing w:after="0"/>
              <w:rPr>
                <w:sz w:val="20"/>
                <w:szCs w:val="20"/>
                <w:color w:val="auto"/>
              </w:rPr>
            </w:pPr>
            <w:r>
              <w:rPr>
                <w:rFonts w:ascii="Arial" w:cs="Arial" w:eastAsia="Arial" w:hAnsi="Arial"/>
                <w:sz w:val="14"/>
                <w:szCs w:val="14"/>
                <w:color w:val="auto"/>
              </w:rPr>
              <w:t>Basic</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$0.32</w:t>
            </w:r>
          </w:p>
        </w:tc>
        <w:tc>
          <w:tcPr>
            <w:tcW w:w="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$0.15</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7120" w:type="dxa"/>
            <w:vAlign w:val="bottom"/>
          </w:tcPr>
          <w:p>
            <w:pPr>
              <w:spacing w:after="0"/>
              <w:rPr>
                <w:sz w:val="20"/>
                <w:szCs w:val="20"/>
                <w:color w:val="auto"/>
              </w:rPr>
            </w:pPr>
            <w:r>
              <w:rPr>
                <w:rFonts w:ascii="Arial" w:cs="Arial" w:eastAsia="Arial" w:hAnsi="Arial"/>
                <w:sz w:val="14"/>
                <w:szCs w:val="14"/>
                <w:color w:val="auto"/>
              </w:rPr>
              <w:t>Diluted</w:t>
            </w:r>
          </w:p>
        </w:tc>
        <w:tc>
          <w:tcPr>
            <w:tcW w:w="1240" w:type="dxa"/>
            <w:vAlign w:val="bottom"/>
          </w:tcPr>
          <w:p>
            <w:pPr>
              <w:jc w:val="right"/>
              <w:spacing w:after="0"/>
              <w:rPr>
                <w:sz w:val="20"/>
                <w:szCs w:val="20"/>
                <w:color w:val="auto"/>
              </w:rPr>
            </w:pPr>
            <w:r>
              <w:rPr>
                <w:rFonts w:ascii="Arial" w:cs="Arial" w:eastAsia="Arial" w:hAnsi="Arial"/>
                <w:sz w:val="14"/>
                <w:szCs w:val="14"/>
                <w:color w:val="auto"/>
              </w:rPr>
              <w:t>$0.31</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gridSpan w:val="2"/>
          </w:tcPr>
          <w:p>
            <w:pPr>
              <w:jc w:val="right"/>
              <w:ind w:right="940"/>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339"/>
        </w:trPr>
        <w:tc>
          <w:tcPr>
            <w:tcW w:w="7120" w:type="dxa"/>
            <w:vAlign w:val="bottom"/>
          </w:tcPr>
          <w:p>
            <w:pPr>
              <w:spacing w:after="0"/>
              <w:rPr>
                <w:sz w:val="20"/>
                <w:szCs w:val="20"/>
                <w:color w:val="auto"/>
              </w:rPr>
            </w:pPr>
            <w:r>
              <w:rPr>
                <w:rFonts w:ascii="Arial" w:cs="Arial" w:eastAsia="Arial" w:hAnsi="Arial"/>
                <w:sz w:val="14"/>
                <w:szCs w:val="14"/>
                <w:color w:val="auto"/>
              </w:rPr>
              <w:t>Weighted average number of ordinary shares</w:t>
            </w:r>
          </w:p>
        </w:tc>
        <w:tc>
          <w:tcPr>
            <w:tcW w:w="124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120" w:type="dxa"/>
            <w:vAlign w:val="bottom"/>
          </w:tcPr>
          <w:p>
            <w:pPr>
              <w:spacing w:after="0"/>
              <w:rPr>
                <w:sz w:val="20"/>
                <w:szCs w:val="20"/>
                <w:color w:val="auto"/>
              </w:rPr>
            </w:pPr>
            <w:r>
              <w:rPr>
                <w:rFonts w:ascii="Arial" w:cs="Arial" w:eastAsia="Arial" w:hAnsi="Arial"/>
                <w:sz w:val="14"/>
                <w:szCs w:val="14"/>
                <w:color w:val="auto"/>
              </w:rPr>
              <w:t>Basic</w:t>
            </w:r>
          </w:p>
        </w:tc>
        <w:tc>
          <w:tcPr>
            <w:tcW w:w="1240" w:type="dxa"/>
            <w:vAlign w:val="bottom"/>
          </w:tcPr>
          <w:p>
            <w:pPr>
              <w:jc w:val="right"/>
              <w:spacing w:after="0"/>
              <w:rPr>
                <w:sz w:val="20"/>
                <w:szCs w:val="20"/>
                <w:color w:val="auto"/>
              </w:rPr>
            </w:pPr>
            <w:r>
              <w:rPr>
                <w:rFonts w:ascii="Arial" w:cs="Arial" w:eastAsia="Arial" w:hAnsi="Arial"/>
                <w:sz w:val="14"/>
                <w:szCs w:val="14"/>
                <w:color w:val="auto"/>
              </w:rPr>
              <w:t>60,404,242</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gridSpan w:val="2"/>
          </w:tcPr>
          <w:p>
            <w:pPr>
              <w:jc w:val="right"/>
              <w:ind w:right="940"/>
              <w:spacing w:after="0"/>
              <w:rPr>
                <w:sz w:val="20"/>
                <w:szCs w:val="20"/>
                <w:color w:val="auto"/>
              </w:rPr>
            </w:pPr>
            <w:r>
              <w:rPr>
                <w:rFonts w:ascii="Arial" w:cs="Arial" w:eastAsia="Arial" w:hAnsi="Arial"/>
                <w:sz w:val="14"/>
                <w:szCs w:val="14"/>
                <w:color w:val="auto"/>
              </w:rPr>
              <w:t>60,086,104</w:t>
            </w:r>
          </w:p>
        </w:tc>
        <w:tc>
          <w:tcPr>
            <w:tcW w:w="0" w:type="dxa"/>
            <w:vAlign w:val="bottom"/>
          </w:tcPr>
          <w:p>
            <w:pPr>
              <w:spacing w:after="0"/>
              <w:rPr>
                <w:sz w:val="1"/>
                <w:szCs w:val="1"/>
                <w:color w:val="auto"/>
              </w:rPr>
            </w:pPr>
          </w:p>
        </w:tc>
      </w:tr>
      <w:tr>
        <w:trPr>
          <w:trHeight w:val="351"/>
        </w:trPr>
        <w:tc>
          <w:tcPr>
            <w:tcW w:w="7120" w:type="dxa"/>
            <w:vAlign w:val="bottom"/>
          </w:tcPr>
          <w:p>
            <w:pPr>
              <w:spacing w:after="0"/>
              <w:rPr>
                <w:sz w:val="20"/>
                <w:szCs w:val="20"/>
                <w:color w:val="auto"/>
              </w:rPr>
            </w:pPr>
            <w:r>
              <w:rPr>
                <w:rFonts w:ascii="Arial" w:cs="Arial" w:eastAsia="Arial" w:hAnsi="Arial"/>
                <w:sz w:val="14"/>
                <w:szCs w:val="14"/>
                <w:color w:val="auto"/>
              </w:rPr>
              <w:t>Diluted</w:t>
            </w:r>
          </w:p>
        </w:tc>
        <w:tc>
          <w:tcPr>
            <w:tcW w:w="1240" w:type="dxa"/>
            <w:vAlign w:val="bottom"/>
          </w:tcPr>
          <w:p>
            <w:pPr>
              <w:jc w:val="right"/>
              <w:spacing w:after="0"/>
              <w:rPr>
                <w:sz w:val="20"/>
                <w:szCs w:val="20"/>
                <w:color w:val="auto"/>
              </w:rPr>
            </w:pPr>
            <w:r>
              <w:rPr>
                <w:rFonts w:ascii="Arial" w:cs="Arial" w:eastAsia="Arial" w:hAnsi="Arial"/>
                <w:sz w:val="14"/>
                <w:szCs w:val="14"/>
                <w:color w:val="auto"/>
              </w:rPr>
              <w:t>61,323,594</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gridSpan w:val="2"/>
          </w:tcPr>
          <w:p>
            <w:pPr>
              <w:jc w:val="right"/>
              <w:ind w:right="940"/>
              <w:spacing w:after="0"/>
              <w:rPr>
                <w:sz w:val="20"/>
                <w:szCs w:val="20"/>
                <w:color w:val="auto"/>
              </w:rPr>
            </w:pPr>
            <w:r>
              <w:rPr>
                <w:rFonts w:ascii="Arial" w:cs="Arial" w:eastAsia="Arial" w:hAnsi="Arial"/>
                <w:sz w:val="14"/>
                <w:szCs w:val="14"/>
                <w:color w:val="auto"/>
              </w:rPr>
              <w:t>60,708,469</w:t>
            </w:r>
          </w:p>
        </w:tc>
        <w:tc>
          <w:tcPr>
            <w:tcW w:w="0" w:type="dxa"/>
            <w:vAlign w:val="bottom"/>
          </w:tcPr>
          <w:p>
            <w:pPr>
              <w:spacing w:after="0"/>
              <w:rPr>
                <w:sz w:val="1"/>
                <w:szCs w:val="1"/>
                <w:color w:val="auto"/>
              </w:rPr>
            </w:pPr>
          </w:p>
        </w:tc>
      </w:tr>
      <w:tr>
        <w:trPr>
          <w:trHeight w:val="309"/>
        </w:trPr>
        <w:tc>
          <w:tcPr>
            <w:tcW w:w="7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12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jc w:val="center"/>
        <w:ind w:right="-1139"/>
        <w:spacing w:after="0"/>
        <w:rPr>
          <w:sz w:val="20"/>
          <w:szCs w:val="20"/>
          <w:color w:val="auto"/>
        </w:rPr>
      </w:pPr>
      <w:r>
        <w:rPr>
          <w:rFonts w:ascii="Arial" w:cs="Arial" w:eastAsia="Arial" w:hAnsi="Arial"/>
          <w:sz w:val="22"/>
          <w:szCs w:val="22"/>
          <w:b w:val="1"/>
          <w:bCs w:val="1"/>
          <w:color w:val="auto"/>
        </w:rPr>
        <w:t>ICON plc</w:t>
      </w:r>
    </w:p>
    <w:p>
      <w:pPr>
        <w:spacing w:after="0" w:line="207" w:lineRule="exact"/>
        <w:rPr>
          <w:sz w:val="20"/>
          <w:szCs w:val="20"/>
          <w:color w:val="auto"/>
        </w:rPr>
      </w:pPr>
    </w:p>
    <w:p>
      <w:pPr>
        <w:jc w:val="center"/>
        <w:ind w:right="-1139"/>
        <w:spacing w:after="0"/>
        <w:rPr>
          <w:sz w:val="20"/>
          <w:szCs w:val="20"/>
          <w:color w:val="auto"/>
        </w:rPr>
      </w:pPr>
      <w:r>
        <w:rPr>
          <w:rFonts w:ascii="Arial" w:cs="Arial" w:eastAsia="Arial" w:hAnsi="Arial"/>
          <w:sz w:val="22"/>
          <w:szCs w:val="22"/>
          <w:b w:val="1"/>
          <w:bCs w:val="1"/>
          <w:color w:val="auto"/>
        </w:rPr>
        <w:t>Summary Balance Sheet Data</w:t>
      </w:r>
    </w:p>
    <w:p>
      <w:pPr>
        <w:spacing w:after="0" w:line="206" w:lineRule="exact"/>
        <w:rPr>
          <w:sz w:val="20"/>
          <w:szCs w:val="20"/>
          <w:color w:val="auto"/>
        </w:rPr>
      </w:pPr>
    </w:p>
    <w:p>
      <w:pPr>
        <w:jc w:val="center"/>
        <w:ind w:right="-1139"/>
        <w:spacing w:after="0"/>
        <w:rPr>
          <w:sz w:val="20"/>
          <w:szCs w:val="20"/>
          <w:color w:val="auto"/>
        </w:rPr>
      </w:pPr>
      <w:r>
        <w:rPr>
          <w:rFonts w:ascii="Arial" w:cs="Arial" w:eastAsia="Arial" w:hAnsi="Arial"/>
          <w:sz w:val="22"/>
          <w:szCs w:val="22"/>
          <w:b w:val="1"/>
          <w:bCs w:val="1"/>
          <w:color w:val="auto"/>
        </w:rPr>
        <w:t>March 31, 2013 and December 31, 2012</w:t>
      </w:r>
    </w:p>
    <w:p>
      <w:pPr>
        <w:spacing w:after="0" w:line="206" w:lineRule="exact"/>
        <w:rPr>
          <w:sz w:val="20"/>
          <w:szCs w:val="20"/>
          <w:color w:val="auto"/>
        </w:rPr>
      </w:pPr>
    </w:p>
    <w:p>
      <w:pPr>
        <w:jc w:val="center"/>
        <w:ind w:right="-1139"/>
        <w:spacing w:after="0"/>
        <w:rPr>
          <w:sz w:val="20"/>
          <w:szCs w:val="20"/>
          <w:color w:val="auto"/>
        </w:rPr>
      </w:pPr>
      <w:r>
        <w:rPr>
          <w:rFonts w:ascii="Arial" w:cs="Arial" w:eastAsia="Arial" w:hAnsi="Arial"/>
          <w:sz w:val="22"/>
          <w:szCs w:val="22"/>
          <w:b w:val="1"/>
          <w:bCs w:val="1"/>
          <w:color w:val="auto"/>
        </w:rPr>
        <w:t>(Dollars,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00" w:type="dxa"/>
            <w:vAlign w:val="bottom"/>
          </w:tcPr>
          <w:p>
            <w:pPr>
              <w:spacing w:after="0"/>
              <w:rPr>
                <w:sz w:val="15"/>
                <w:szCs w:val="15"/>
                <w:color w:val="auto"/>
              </w:rPr>
            </w:pPr>
          </w:p>
        </w:tc>
        <w:tc>
          <w:tcPr>
            <w:tcW w:w="4480" w:type="dxa"/>
            <w:vAlign w:val="bottom"/>
          </w:tcPr>
          <w:p>
            <w:pPr>
              <w:jc w:val="center"/>
              <w:ind w:right="128"/>
              <w:spacing w:after="0"/>
              <w:rPr>
                <w:sz w:val="20"/>
                <w:szCs w:val="20"/>
                <w:color w:val="auto"/>
              </w:rPr>
            </w:pPr>
            <w:r>
              <w:rPr>
                <w:rFonts w:ascii="Arial" w:cs="Arial" w:eastAsia="Arial" w:hAnsi="Arial"/>
                <w:sz w:val="14"/>
                <w:szCs w:val="14"/>
                <w:b w:val="1"/>
                <w:bCs w:val="1"/>
                <w:color w:val="auto"/>
                <w:w w:val="99"/>
              </w:rPr>
              <w:t>March 31,</w:t>
            </w:r>
          </w:p>
        </w:tc>
        <w:tc>
          <w:tcPr>
            <w:tcW w:w="2800" w:type="dxa"/>
            <w:vAlign w:val="bottom"/>
          </w:tcPr>
          <w:p>
            <w:pPr>
              <w:jc w:val="center"/>
              <w:ind w:left="1888"/>
              <w:spacing w:after="0"/>
              <w:rPr>
                <w:sz w:val="20"/>
                <w:szCs w:val="20"/>
                <w:color w:val="auto"/>
              </w:rPr>
            </w:pPr>
            <w:r>
              <w:rPr>
                <w:rFonts w:ascii="Arial" w:cs="Arial" w:eastAsia="Arial" w:hAnsi="Arial"/>
                <w:sz w:val="14"/>
                <w:szCs w:val="14"/>
                <w:b w:val="1"/>
                <w:bCs w:val="1"/>
                <w:color w:val="auto"/>
                <w:w w:val="92"/>
              </w:rPr>
              <w:t>December 31,</w:t>
            </w:r>
          </w:p>
        </w:tc>
      </w:tr>
      <w:tr>
        <w:trPr>
          <w:trHeight w:val="176"/>
        </w:trPr>
        <w:tc>
          <w:tcPr>
            <w:tcW w:w="3000" w:type="dxa"/>
            <w:vAlign w:val="bottom"/>
          </w:tcPr>
          <w:p>
            <w:pPr>
              <w:spacing w:after="0"/>
              <w:rPr>
                <w:sz w:val="15"/>
                <w:szCs w:val="15"/>
                <w:color w:val="auto"/>
              </w:rPr>
            </w:pPr>
          </w:p>
        </w:tc>
        <w:tc>
          <w:tcPr>
            <w:tcW w:w="4480" w:type="dxa"/>
            <w:vAlign w:val="bottom"/>
          </w:tcPr>
          <w:p>
            <w:pPr>
              <w:jc w:val="center"/>
              <w:ind w:right="108"/>
              <w:spacing w:after="0"/>
              <w:rPr>
                <w:sz w:val="20"/>
                <w:szCs w:val="20"/>
                <w:color w:val="auto"/>
              </w:rPr>
            </w:pPr>
            <w:r>
              <w:rPr>
                <w:rFonts w:ascii="Arial" w:cs="Arial" w:eastAsia="Arial" w:hAnsi="Arial"/>
                <w:sz w:val="14"/>
                <w:szCs w:val="14"/>
                <w:b w:val="1"/>
                <w:bCs w:val="1"/>
                <w:color w:val="auto"/>
                <w:w w:val="96"/>
              </w:rPr>
              <w:t>2013</w:t>
            </w:r>
          </w:p>
        </w:tc>
        <w:tc>
          <w:tcPr>
            <w:tcW w:w="2800" w:type="dxa"/>
            <w:vAlign w:val="bottom"/>
          </w:tcPr>
          <w:p>
            <w:pPr>
              <w:jc w:val="center"/>
              <w:ind w:left="1888"/>
              <w:spacing w:after="0"/>
              <w:rPr>
                <w:sz w:val="20"/>
                <w:szCs w:val="20"/>
                <w:color w:val="auto"/>
              </w:rPr>
            </w:pPr>
            <w:r>
              <w:rPr>
                <w:rFonts w:ascii="Arial" w:cs="Arial" w:eastAsia="Arial" w:hAnsi="Arial"/>
                <w:sz w:val="14"/>
                <w:szCs w:val="14"/>
                <w:b w:val="1"/>
                <w:bCs w:val="1"/>
                <w:color w:val="auto"/>
                <w:w w:val="89"/>
              </w:rPr>
              <w:t>2012</w:t>
            </w:r>
          </w:p>
        </w:tc>
      </w:tr>
      <w:tr>
        <w:trPr>
          <w:trHeight w:val="186"/>
        </w:trPr>
        <w:tc>
          <w:tcPr>
            <w:tcW w:w="3000" w:type="dxa"/>
            <w:vAlign w:val="bottom"/>
          </w:tcPr>
          <w:p>
            <w:pPr>
              <w:spacing w:after="0"/>
              <w:rPr>
                <w:sz w:val="16"/>
                <w:szCs w:val="16"/>
                <w:color w:val="auto"/>
              </w:rPr>
            </w:pPr>
          </w:p>
        </w:tc>
        <w:tc>
          <w:tcPr>
            <w:tcW w:w="4480" w:type="dxa"/>
            <w:vAlign w:val="bottom"/>
          </w:tcPr>
          <w:p>
            <w:pPr>
              <w:jc w:val="center"/>
              <w:ind w:right="128"/>
              <w:spacing w:after="0"/>
              <w:rPr>
                <w:sz w:val="20"/>
                <w:szCs w:val="20"/>
                <w:color w:val="auto"/>
              </w:rPr>
            </w:pPr>
            <w:r>
              <w:rPr>
                <w:rFonts w:ascii="Arial" w:cs="Arial" w:eastAsia="Arial" w:hAnsi="Arial"/>
                <w:sz w:val="14"/>
                <w:szCs w:val="14"/>
                <w:b w:val="1"/>
                <w:bCs w:val="1"/>
                <w:color w:val="auto"/>
                <w:w w:val="97"/>
              </w:rPr>
              <w:t>(Unaudited)</w:t>
            </w:r>
          </w:p>
        </w:tc>
        <w:tc>
          <w:tcPr>
            <w:tcW w:w="2800" w:type="dxa"/>
            <w:vAlign w:val="bottom"/>
          </w:tcPr>
          <w:p>
            <w:pPr>
              <w:jc w:val="center"/>
              <w:ind w:left="1868"/>
              <w:spacing w:after="0"/>
              <w:rPr>
                <w:sz w:val="20"/>
                <w:szCs w:val="20"/>
                <w:color w:val="auto"/>
              </w:rPr>
            </w:pPr>
            <w:r>
              <w:rPr>
                <w:rFonts w:ascii="Arial" w:cs="Arial" w:eastAsia="Arial" w:hAnsi="Arial"/>
                <w:sz w:val="14"/>
                <w:szCs w:val="14"/>
                <w:b w:val="1"/>
                <w:bCs w:val="1"/>
                <w:color w:val="auto"/>
                <w:w w:val="94"/>
              </w:rPr>
              <w:t>(Audited)</w:t>
            </w:r>
          </w:p>
        </w:tc>
      </w:tr>
      <w:tr>
        <w:trPr>
          <w:trHeight w:val="527"/>
        </w:trPr>
        <w:tc>
          <w:tcPr>
            <w:tcW w:w="3000" w:type="dxa"/>
            <w:vAlign w:val="bottom"/>
          </w:tcPr>
          <w:p>
            <w:pPr>
              <w:spacing w:after="0"/>
              <w:rPr>
                <w:sz w:val="20"/>
                <w:szCs w:val="20"/>
                <w:color w:val="auto"/>
              </w:rPr>
            </w:pPr>
            <w:r>
              <w:rPr>
                <w:rFonts w:ascii="Arial" w:cs="Arial" w:eastAsia="Arial" w:hAnsi="Arial"/>
                <w:sz w:val="14"/>
                <w:szCs w:val="14"/>
                <w:color w:val="auto"/>
              </w:rPr>
              <w:t>Net cash</w:t>
            </w:r>
          </w:p>
        </w:tc>
        <w:tc>
          <w:tcPr>
            <w:tcW w:w="4480" w:type="dxa"/>
            <w:vAlign w:val="bottom"/>
          </w:tcPr>
          <w:p>
            <w:pPr>
              <w:jc w:val="center"/>
              <w:ind w:right="108"/>
              <w:spacing w:after="0"/>
              <w:rPr>
                <w:sz w:val="20"/>
                <w:szCs w:val="20"/>
                <w:color w:val="auto"/>
              </w:rPr>
            </w:pPr>
            <w:r>
              <w:rPr>
                <w:rFonts w:ascii="Arial" w:cs="Arial" w:eastAsia="Arial" w:hAnsi="Arial"/>
                <w:sz w:val="14"/>
                <w:szCs w:val="14"/>
                <w:color w:val="auto"/>
                <w:w w:val="90"/>
              </w:rPr>
              <w:t>200,506</w:t>
            </w:r>
          </w:p>
        </w:tc>
        <w:tc>
          <w:tcPr>
            <w:tcW w:w="2800" w:type="dxa"/>
            <w:vAlign w:val="bottom"/>
          </w:tcPr>
          <w:p>
            <w:pPr>
              <w:jc w:val="center"/>
              <w:ind w:left="1888"/>
              <w:spacing w:after="0"/>
              <w:rPr>
                <w:sz w:val="20"/>
                <w:szCs w:val="20"/>
                <w:color w:val="auto"/>
              </w:rPr>
            </w:pPr>
            <w:r>
              <w:rPr>
                <w:rFonts w:ascii="Arial" w:cs="Arial" w:eastAsia="Arial" w:hAnsi="Arial"/>
                <w:sz w:val="14"/>
                <w:szCs w:val="14"/>
                <w:color w:val="auto"/>
                <w:w w:val="94"/>
              </w:rPr>
              <w:t>190,230</w:t>
            </w:r>
          </w:p>
        </w:tc>
      </w:tr>
      <w:tr>
        <w:trPr>
          <w:trHeight w:val="344"/>
        </w:trPr>
        <w:tc>
          <w:tcPr>
            <w:tcW w:w="3000" w:type="dxa"/>
            <w:vAlign w:val="bottom"/>
          </w:tcPr>
          <w:p>
            <w:pPr>
              <w:spacing w:after="0"/>
              <w:rPr>
                <w:sz w:val="20"/>
                <w:szCs w:val="20"/>
                <w:color w:val="auto"/>
              </w:rPr>
            </w:pPr>
            <w:r>
              <w:rPr>
                <w:rFonts w:ascii="Arial" w:cs="Arial" w:eastAsia="Arial" w:hAnsi="Arial"/>
                <w:sz w:val="14"/>
                <w:szCs w:val="14"/>
                <w:color w:val="auto"/>
              </w:rPr>
              <w:t>Accounts receivable</w:t>
            </w:r>
          </w:p>
        </w:tc>
        <w:tc>
          <w:tcPr>
            <w:tcW w:w="4480" w:type="dxa"/>
            <w:vAlign w:val="bottom"/>
          </w:tcPr>
          <w:p>
            <w:pPr>
              <w:jc w:val="center"/>
              <w:ind w:right="108"/>
              <w:spacing w:after="0"/>
              <w:rPr>
                <w:sz w:val="20"/>
                <w:szCs w:val="20"/>
                <w:color w:val="auto"/>
              </w:rPr>
            </w:pPr>
            <w:r>
              <w:rPr>
                <w:rFonts w:ascii="Arial" w:cs="Arial" w:eastAsia="Arial" w:hAnsi="Arial"/>
                <w:sz w:val="14"/>
                <w:szCs w:val="14"/>
                <w:color w:val="auto"/>
                <w:w w:val="90"/>
              </w:rPr>
              <w:t>261,062</w:t>
            </w:r>
          </w:p>
        </w:tc>
        <w:tc>
          <w:tcPr>
            <w:tcW w:w="2800" w:type="dxa"/>
            <w:vAlign w:val="bottom"/>
          </w:tcPr>
          <w:p>
            <w:pPr>
              <w:jc w:val="center"/>
              <w:ind w:left="1888"/>
              <w:spacing w:after="0"/>
              <w:rPr>
                <w:sz w:val="20"/>
                <w:szCs w:val="20"/>
                <w:color w:val="auto"/>
              </w:rPr>
            </w:pPr>
            <w:r>
              <w:rPr>
                <w:rFonts w:ascii="Arial" w:cs="Arial" w:eastAsia="Arial" w:hAnsi="Arial"/>
                <w:sz w:val="14"/>
                <w:szCs w:val="14"/>
                <w:color w:val="auto"/>
                <w:w w:val="94"/>
              </w:rPr>
              <w:t>285,419</w:t>
            </w:r>
          </w:p>
        </w:tc>
      </w:tr>
      <w:tr>
        <w:trPr>
          <w:trHeight w:val="176"/>
        </w:trPr>
        <w:tc>
          <w:tcPr>
            <w:tcW w:w="3000" w:type="dxa"/>
            <w:vAlign w:val="bottom"/>
          </w:tcPr>
          <w:p>
            <w:pPr>
              <w:spacing w:after="0"/>
              <w:rPr>
                <w:sz w:val="20"/>
                <w:szCs w:val="20"/>
                <w:color w:val="auto"/>
              </w:rPr>
            </w:pPr>
            <w:r>
              <w:rPr>
                <w:rFonts w:ascii="Arial" w:cs="Arial" w:eastAsia="Arial" w:hAnsi="Arial"/>
                <w:sz w:val="14"/>
                <w:szCs w:val="14"/>
                <w:color w:val="auto"/>
              </w:rPr>
              <w:t>Unbilled revenue</w:t>
            </w:r>
          </w:p>
        </w:tc>
        <w:tc>
          <w:tcPr>
            <w:tcW w:w="4480" w:type="dxa"/>
            <w:vAlign w:val="bottom"/>
          </w:tcPr>
          <w:p>
            <w:pPr>
              <w:jc w:val="center"/>
              <w:ind w:right="108"/>
              <w:spacing w:after="0"/>
              <w:rPr>
                <w:sz w:val="20"/>
                <w:szCs w:val="20"/>
                <w:color w:val="auto"/>
              </w:rPr>
            </w:pPr>
            <w:r>
              <w:rPr>
                <w:rFonts w:ascii="Arial" w:cs="Arial" w:eastAsia="Arial" w:hAnsi="Arial"/>
                <w:sz w:val="14"/>
                <w:szCs w:val="14"/>
                <w:color w:val="auto"/>
                <w:w w:val="90"/>
              </w:rPr>
              <w:t>115,431</w:t>
            </w:r>
          </w:p>
        </w:tc>
        <w:tc>
          <w:tcPr>
            <w:tcW w:w="2800" w:type="dxa"/>
            <w:vAlign w:val="bottom"/>
          </w:tcPr>
          <w:p>
            <w:pPr>
              <w:jc w:val="center"/>
              <w:ind w:left="1888"/>
              <w:spacing w:after="0"/>
              <w:rPr>
                <w:sz w:val="20"/>
                <w:szCs w:val="20"/>
                <w:color w:val="auto"/>
              </w:rPr>
            </w:pPr>
            <w:r>
              <w:rPr>
                <w:rFonts w:ascii="Arial" w:cs="Arial" w:eastAsia="Arial" w:hAnsi="Arial"/>
                <w:sz w:val="14"/>
                <w:szCs w:val="14"/>
                <w:color w:val="auto"/>
                <w:w w:val="94"/>
              </w:rPr>
              <w:t>112,483</w:t>
            </w:r>
          </w:p>
        </w:tc>
      </w:tr>
      <w:tr>
        <w:trPr>
          <w:trHeight w:val="176"/>
        </w:trPr>
        <w:tc>
          <w:tcPr>
            <w:tcW w:w="3000" w:type="dxa"/>
            <w:vAlign w:val="bottom"/>
          </w:tcPr>
          <w:p>
            <w:pPr>
              <w:spacing w:after="0"/>
              <w:rPr>
                <w:sz w:val="20"/>
                <w:szCs w:val="20"/>
                <w:color w:val="auto"/>
              </w:rPr>
            </w:pPr>
            <w:r>
              <w:rPr>
                <w:rFonts w:ascii="Arial" w:cs="Arial" w:eastAsia="Arial" w:hAnsi="Arial"/>
                <w:sz w:val="14"/>
                <w:szCs w:val="14"/>
                <w:color w:val="auto"/>
              </w:rPr>
              <w:t>Payments on account</w:t>
            </w:r>
          </w:p>
        </w:tc>
        <w:tc>
          <w:tcPr>
            <w:tcW w:w="4480" w:type="dxa"/>
            <w:vAlign w:val="bottom"/>
          </w:tcPr>
          <w:p>
            <w:pPr>
              <w:jc w:val="center"/>
              <w:ind w:right="128"/>
              <w:spacing w:after="0"/>
              <w:rPr>
                <w:sz w:val="20"/>
                <w:szCs w:val="20"/>
                <w:color w:val="auto"/>
              </w:rPr>
            </w:pPr>
            <w:r>
              <w:rPr>
                <w:rFonts w:ascii="Arial" w:cs="Arial" w:eastAsia="Arial" w:hAnsi="Arial"/>
                <w:sz w:val="14"/>
                <w:szCs w:val="14"/>
                <w:color w:val="auto"/>
                <w:w w:val="93"/>
              </w:rPr>
              <w:t>(221,720)</w:t>
            </w:r>
          </w:p>
        </w:tc>
        <w:tc>
          <w:tcPr>
            <w:tcW w:w="2800" w:type="dxa"/>
            <w:vAlign w:val="bottom"/>
          </w:tcPr>
          <w:p>
            <w:pPr>
              <w:jc w:val="center"/>
              <w:ind w:left="1888"/>
              <w:spacing w:after="0"/>
              <w:rPr>
                <w:sz w:val="20"/>
                <w:szCs w:val="20"/>
                <w:color w:val="auto"/>
              </w:rPr>
            </w:pPr>
            <w:r>
              <w:rPr>
                <w:rFonts w:ascii="Arial" w:cs="Arial" w:eastAsia="Arial" w:hAnsi="Arial"/>
                <w:sz w:val="14"/>
                <w:szCs w:val="14"/>
                <w:color w:val="auto"/>
                <w:w w:val="93"/>
              </w:rPr>
              <w:t>(219,467)</w:t>
            </w:r>
          </w:p>
        </w:tc>
      </w:tr>
      <w:tr>
        <w:trPr>
          <w:trHeight w:val="182"/>
        </w:trPr>
        <w:tc>
          <w:tcPr>
            <w:tcW w:w="3000" w:type="dxa"/>
            <w:vAlign w:val="bottom"/>
          </w:tcPr>
          <w:p>
            <w:pPr>
              <w:spacing w:after="0"/>
              <w:rPr>
                <w:sz w:val="20"/>
                <w:szCs w:val="20"/>
                <w:color w:val="auto"/>
              </w:rPr>
            </w:pPr>
            <w:r>
              <w:rPr>
                <w:rFonts w:ascii="Arial" w:cs="Arial" w:eastAsia="Arial" w:hAnsi="Arial"/>
                <w:sz w:val="14"/>
                <w:szCs w:val="14"/>
                <w:color w:val="auto"/>
              </w:rPr>
              <w:t>Total</w:t>
            </w:r>
          </w:p>
        </w:tc>
        <w:tc>
          <w:tcPr>
            <w:tcW w:w="4480" w:type="dxa"/>
            <w:vAlign w:val="bottom"/>
          </w:tcPr>
          <w:p>
            <w:pPr>
              <w:jc w:val="center"/>
              <w:ind w:right="108"/>
              <w:spacing w:after="0"/>
              <w:rPr>
                <w:sz w:val="20"/>
                <w:szCs w:val="20"/>
                <w:color w:val="auto"/>
              </w:rPr>
            </w:pPr>
            <w:r>
              <w:rPr>
                <w:rFonts w:ascii="Arial" w:cs="Arial" w:eastAsia="Arial" w:hAnsi="Arial"/>
                <w:sz w:val="14"/>
                <w:szCs w:val="14"/>
                <w:color w:val="auto"/>
                <w:w w:val="90"/>
              </w:rPr>
              <w:t>154,773</w:t>
            </w:r>
          </w:p>
        </w:tc>
        <w:tc>
          <w:tcPr>
            <w:tcW w:w="2800" w:type="dxa"/>
            <w:vAlign w:val="bottom"/>
          </w:tcPr>
          <w:p>
            <w:pPr>
              <w:jc w:val="center"/>
              <w:ind w:left="1888"/>
              <w:spacing w:after="0"/>
              <w:rPr>
                <w:sz w:val="20"/>
                <w:szCs w:val="20"/>
                <w:color w:val="auto"/>
              </w:rPr>
            </w:pPr>
            <w:r>
              <w:rPr>
                <w:rFonts w:ascii="Arial" w:cs="Arial" w:eastAsia="Arial" w:hAnsi="Arial"/>
                <w:sz w:val="14"/>
                <w:szCs w:val="14"/>
                <w:color w:val="auto"/>
                <w:w w:val="94"/>
              </w:rPr>
              <w:t>178,435</w:t>
            </w:r>
          </w:p>
        </w:tc>
      </w:tr>
      <w:tr>
        <w:trPr>
          <w:trHeight w:val="351"/>
        </w:trPr>
        <w:tc>
          <w:tcPr>
            <w:tcW w:w="3000" w:type="dxa"/>
            <w:vAlign w:val="bottom"/>
          </w:tcPr>
          <w:p>
            <w:pPr>
              <w:spacing w:after="0"/>
              <w:rPr>
                <w:sz w:val="20"/>
                <w:szCs w:val="20"/>
                <w:color w:val="auto"/>
              </w:rPr>
            </w:pPr>
            <w:r>
              <w:rPr>
                <w:rFonts w:ascii="Arial" w:cs="Arial" w:eastAsia="Arial" w:hAnsi="Arial"/>
                <w:sz w:val="14"/>
                <w:szCs w:val="14"/>
                <w:color w:val="auto"/>
              </w:rPr>
              <w:t>Working Capital</w:t>
            </w:r>
          </w:p>
        </w:tc>
        <w:tc>
          <w:tcPr>
            <w:tcW w:w="4480" w:type="dxa"/>
            <w:vAlign w:val="bottom"/>
          </w:tcPr>
          <w:p>
            <w:pPr>
              <w:jc w:val="center"/>
              <w:ind w:right="108"/>
              <w:spacing w:after="0"/>
              <w:rPr>
                <w:sz w:val="20"/>
                <w:szCs w:val="20"/>
                <w:color w:val="auto"/>
              </w:rPr>
            </w:pPr>
            <w:r>
              <w:rPr>
                <w:rFonts w:ascii="Arial" w:cs="Arial" w:eastAsia="Arial" w:hAnsi="Arial"/>
                <w:sz w:val="14"/>
                <w:szCs w:val="14"/>
                <w:color w:val="auto"/>
                <w:w w:val="90"/>
              </w:rPr>
              <w:t>228,340</w:t>
            </w:r>
          </w:p>
        </w:tc>
        <w:tc>
          <w:tcPr>
            <w:tcW w:w="2800" w:type="dxa"/>
            <w:vAlign w:val="bottom"/>
          </w:tcPr>
          <w:p>
            <w:pPr>
              <w:jc w:val="center"/>
              <w:ind w:left="1888"/>
              <w:spacing w:after="0"/>
              <w:rPr>
                <w:sz w:val="20"/>
                <w:szCs w:val="20"/>
                <w:color w:val="auto"/>
              </w:rPr>
            </w:pPr>
            <w:r>
              <w:rPr>
                <w:rFonts w:ascii="Arial" w:cs="Arial" w:eastAsia="Arial" w:hAnsi="Arial"/>
                <w:sz w:val="14"/>
                <w:szCs w:val="14"/>
                <w:color w:val="auto"/>
                <w:w w:val="94"/>
              </w:rPr>
              <w:t>250,326</w:t>
            </w:r>
          </w:p>
        </w:tc>
      </w:tr>
      <w:tr>
        <w:trPr>
          <w:trHeight w:val="351"/>
        </w:trPr>
        <w:tc>
          <w:tcPr>
            <w:tcW w:w="3000" w:type="dxa"/>
            <w:vAlign w:val="bottom"/>
          </w:tcPr>
          <w:p>
            <w:pPr>
              <w:spacing w:after="0"/>
              <w:rPr>
                <w:sz w:val="20"/>
                <w:szCs w:val="20"/>
                <w:color w:val="auto"/>
              </w:rPr>
            </w:pPr>
            <w:r>
              <w:rPr>
                <w:rFonts w:ascii="Arial" w:cs="Arial" w:eastAsia="Arial" w:hAnsi="Arial"/>
                <w:sz w:val="14"/>
                <w:szCs w:val="14"/>
                <w:color w:val="auto"/>
              </w:rPr>
              <w:t>Total Assets</w:t>
            </w:r>
          </w:p>
        </w:tc>
        <w:tc>
          <w:tcPr>
            <w:tcW w:w="4480" w:type="dxa"/>
            <w:vAlign w:val="bottom"/>
          </w:tcPr>
          <w:p>
            <w:pPr>
              <w:jc w:val="center"/>
              <w:ind w:right="108"/>
              <w:spacing w:after="0"/>
              <w:rPr>
                <w:sz w:val="20"/>
                <w:szCs w:val="20"/>
                <w:color w:val="auto"/>
              </w:rPr>
            </w:pPr>
            <w:r>
              <w:rPr>
                <w:rFonts w:ascii="Arial" w:cs="Arial" w:eastAsia="Arial" w:hAnsi="Arial"/>
                <w:sz w:val="14"/>
                <w:szCs w:val="14"/>
                <w:color w:val="auto"/>
                <w:w w:val="93"/>
              </w:rPr>
              <w:t>1,231,220</w:t>
            </w:r>
          </w:p>
        </w:tc>
        <w:tc>
          <w:tcPr>
            <w:tcW w:w="2800" w:type="dxa"/>
            <w:vAlign w:val="bottom"/>
          </w:tcPr>
          <w:p>
            <w:pPr>
              <w:jc w:val="center"/>
              <w:ind w:left="1888"/>
              <w:spacing w:after="0"/>
              <w:rPr>
                <w:sz w:val="20"/>
                <w:szCs w:val="20"/>
                <w:color w:val="auto"/>
              </w:rPr>
            </w:pPr>
            <w:r>
              <w:rPr>
                <w:rFonts w:ascii="Arial" w:cs="Arial" w:eastAsia="Arial" w:hAnsi="Arial"/>
                <w:sz w:val="14"/>
                <w:szCs w:val="14"/>
                <w:color w:val="auto"/>
                <w:w w:val="89"/>
              </w:rPr>
              <w:t>1,202,108</w:t>
            </w:r>
          </w:p>
        </w:tc>
      </w:tr>
      <w:tr>
        <w:trPr>
          <w:trHeight w:val="351"/>
        </w:trPr>
        <w:tc>
          <w:tcPr>
            <w:tcW w:w="3000" w:type="dxa"/>
            <w:vAlign w:val="bottom"/>
          </w:tcPr>
          <w:p>
            <w:pPr>
              <w:spacing w:after="0"/>
              <w:rPr>
                <w:sz w:val="20"/>
                <w:szCs w:val="20"/>
                <w:color w:val="auto"/>
              </w:rPr>
            </w:pPr>
            <w:r>
              <w:rPr>
                <w:rFonts w:ascii="Arial" w:cs="Arial" w:eastAsia="Arial" w:hAnsi="Arial"/>
                <w:sz w:val="14"/>
                <w:szCs w:val="14"/>
                <w:color w:val="auto"/>
              </w:rPr>
              <w:t>Shareholder's Equity</w:t>
            </w:r>
          </w:p>
        </w:tc>
        <w:tc>
          <w:tcPr>
            <w:tcW w:w="4480" w:type="dxa"/>
            <w:vAlign w:val="bottom"/>
          </w:tcPr>
          <w:p>
            <w:pPr>
              <w:jc w:val="center"/>
              <w:ind w:right="108"/>
              <w:spacing w:after="0"/>
              <w:rPr>
                <w:sz w:val="20"/>
                <w:szCs w:val="20"/>
                <w:color w:val="auto"/>
              </w:rPr>
            </w:pPr>
            <w:r>
              <w:rPr>
                <w:rFonts w:ascii="Arial" w:cs="Arial" w:eastAsia="Arial" w:hAnsi="Arial"/>
                <w:sz w:val="14"/>
                <w:szCs w:val="14"/>
                <w:color w:val="auto"/>
                <w:w w:val="90"/>
              </w:rPr>
              <w:t>767,932</w:t>
            </w:r>
          </w:p>
        </w:tc>
        <w:tc>
          <w:tcPr>
            <w:tcW w:w="2800" w:type="dxa"/>
            <w:vAlign w:val="bottom"/>
          </w:tcPr>
          <w:p>
            <w:pPr>
              <w:jc w:val="center"/>
              <w:ind w:left="1888"/>
              <w:spacing w:after="0"/>
              <w:rPr>
                <w:sz w:val="20"/>
                <w:szCs w:val="20"/>
                <w:color w:val="auto"/>
              </w:rPr>
            </w:pPr>
            <w:r>
              <w:rPr>
                <w:rFonts w:ascii="Arial" w:cs="Arial" w:eastAsia="Arial" w:hAnsi="Arial"/>
                <w:sz w:val="14"/>
                <w:szCs w:val="14"/>
                <w:color w:val="auto"/>
                <w:w w:val="94"/>
              </w:rPr>
              <w:t>754,575</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 Chief Financial Officer</w:t>
      </w:r>
    </w:p>
    <w:p>
      <w:pPr>
        <w:ind w:right="860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Simon Holmes EVP Investor Relations and Corporate Development</w:t>
      </w:r>
    </w:p>
    <w:p>
      <w:pPr>
        <w:ind w:left="180" w:hanging="172"/>
        <w:spacing w:after="0" w:line="230" w:lineRule="auto"/>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http://www.iconplc.com</w:t>
      </w:r>
    </w:p>
    <w:sectPr>
      <w:pgSz w:w="11900" w:h="16838" w:orient="portrait"/>
      <w:cols w:equalWidth="0" w:num="1">
        <w:col w:w="10280"/>
      </w:cols>
      <w:pgMar w:left="240" w:top="111"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2019-12-06T20:04:28Z</dcterms:created>
  <dcterms:modified xsi:type="dcterms:W3CDTF">2019-12-06T20:04:28Z</dcterms:modified>
</cp:coreProperties>
</file>