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t>UNITED STATES</w:t>
      </w:r>
    </w:p>
    <w:p>
      <w:pPr>
        <w:spacing w:after="0" w:line="31"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Under the Securities Exchange Act of 1934</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(Amendment No. 4)*</w:t>
      </w:r>
    </w:p>
    <w:p>
      <w:pPr>
        <w:spacing w:after="0" w:line="186"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u w:val="single" w:color="auto"/>
          <w:color w:val="auto"/>
        </w:rPr>
        <w:t>ICON PLC</w:t>
      </w:r>
    </w:p>
    <w:p>
      <w:pPr>
        <w:spacing w:after="0" w:line="34"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182" w:lineRule="exact"/>
        <w:rPr>
          <w:sz w:val="24"/>
          <w:szCs w:val="24"/>
          <w:color w:val="auto"/>
        </w:rPr>
      </w:pPr>
    </w:p>
    <w:p>
      <w:pPr>
        <w:ind w:left="5260"/>
        <w:spacing w:after="0"/>
        <w:rPr>
          <w:sz w:val="20"/>
          <w:szCs w:val="20"/>
          <w:color w:val="auto"/>
        </w:rPr>
      </w:pPr>
      <w:r>
        <w:rPr>
          <w:rFonts w:ascii="Arial" w:cs="Arial" w:eastAsia="Arial" w:hAnsi="Arial"/>
          <w:sz w:val="22"/>
          <w:szCs w:val="22"/>
          <w:b w:val="1"/>
          <w:bCs w:val="1"/>
          <w:u w:val="single" w:color="auto"/>
          <w:color w:val="auto"/>
        </w:rPr>
        <w:t>Common</w:t>
      </w:r>
    </w:p>
    <w:p>
      <w:pPr>
        <w:spacing w:after="0" w:line="14" w:lineRule="exact"/>
        <w:rPr>
          <w:sz w:val="24"/>
          <w:szCs w:val="24"/>
          <w:color w:val="auto"/>
        </w:rPr>
      </w:pPr>
    </w:p>
    <w:p>
      <w:pPr>
        <w:ind w:left="4460"/>
        <w:spacing w:after="0"/>
        <w:rPr>
          <w:sz w:val="20"/>
          <w:szCs w:val="20"/>
          <w:color w:val="auto"/>
        </w:rPr>
      </w:pPr>
      <w:r>
        <w:rPr>
          <w:rFonts w:ascii="Arial" w:cs="Arial" w:eastAsia="Arial" w:hAnsi="Arial"/>
          <w:sz w:val="22"/>
          <w:szCs w:val="22"/>
          <w:color w:val="auto"/>
        </w:rPr>
        <w:t>(Title of Class of Securities)</w:t>
      </w:r>
    </w:p>
    <w:p>
      <w:pPr>
        <w:spacing w:after="0" w:line="182" w:lineRule="exact"/>
        <w:rPr>
          <w:sz w:val="24"/>
          <w:szCs w:val="24"/>
          <w:color w:val="auto"/>
        </w:rPr>
      </w:pPr>
    </w:p>
    <w:p>
      <w:pPr>
        <w:ind w:left="5140"/>
        <w:spacing w:after="0"/>
        <w:rPr>
          <w:sz w:val="20"/>
          <w:szCs w:val="20"/>
          <w:color w:val="auto"/>
        </w:rPr>
      </w:pPr>
      <w:r>
        <w:rPr>
          <w:rFonts w:ascii="Arial" w:cs="Arial" w:eastAsia="Arial" w:hAnsi="Arial"/>
          <w:sz w:val="22"/>
          <w:szCs w:val="22"/>
          <w:b w:val="1"/>
          <w:bCs w:val="1"/>
          <w:u w:val="single" w:color="auto"/>
          <w:color w:val="auto"/>
        </w:rPr>
        <w:t>G4705A100</w:t>
      </w:r>
    </w:p>
    <w:p>
      <w:pPr>
        <w:spacing w:after="0" w:line="14"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(CUSIP Number)</w:t>
      </w:r>
    </w:p>
    <w:p>
      <w:pPr>
        <w:spacing w:after="0" w:line="182" w:lineRule="exact"/>
        <w:rPr>
          <w:sz w:val="24"/>
          <w:szCs w:val="24"/>
          <w:color w:val="auto"/>
        </w:rPr>
      </w:pPr>
    </w:p>
    <w:p>
      <w:pPr>
        <w:ind w:left="4820"/>
        <w:spacing w:after="0"/>
        <w:rPr>
          <w:sz w:val="20"/>
          <w:szCs w:val="20"/>
          <w:color w:val="auto"/>
        </w:rPr>
      </w:pPr>
      <w:r>
        <w:rPr>
          <w:rFonts w:ascii="Arial" w:cs="Arial" w:eastAsia="Arial" w:hAnsi="Arial"/>
          <w:sz w:val="22"/>
          <w:szCs w:val="22"/>
          <w:b w:val="1"/>
          <w:bCs w:val="1"/>
          <w:u w:val="single" w:color="auto"/>
          <w:color w:val="auto"/>
        </w:rPr>
        <w:t>December 31, 2018</w:t>
      </w:r>
    </w:p>
    <w:p>
      <w:pPr>
        <w:spacing w:after="0" w:line="14" w:lineRule="exact"/>
        <w:rPr>
          <w:sz w:val="24"/>
          <w:szCs w:val="24"/>
          <w:color w:val="auto"/>
        </w:rPr>
      </w:pPr>
    </w:p>
    <w:p>
      <w:pPr>
        <w:ind w:left="3260"/>
        <w:spacing w:after="0"/>
        <w:rPr>
          <w:sz w:val="20"/>
          <w:szCs w:val="20"/>
          <w:color w:val="auto"/>
        </w:rPr>
      </w:pPr>
      <w:r>
        <w:rPr>
          <w:rFonts w:ascii="Arial" w:cs="Arial" w:eastAsia="Arial" w:hAnsi="Arial"/>
          <w:sz w:val="22"/>
          <w:szCs w:val="22"/>
          <w:color w:val="auto"/>
        </w:rPr>
        <w:t>(Date of Event which Requires Filing of this Statement)</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580" w:right="9260" w:hanging="1"/>
        <w:spacing w:after="0" w:line="504" w:lineRule="auto"/>
        <w:tabs>
          <w:tab w:leader="none" w:pos="934"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[_] Rule 13d-1(c)</w:t>
      </w:r>
    </w:p>
    <w:p>
      <w:pPr>
        <w:ind w:left="580"/>
        <w:spacing w:after="0"/>
        <w:rPr>
          <w:rFonts w:ascii="Arial" w:cs="Arial" w:eastAsia="Arial" w:hAnsi="Arial"/>
          <w:sz w:val="19"/>
          <w:szCs w:val="19"/>
          <w:color w:val="auto"/>
        </w:rPr>
      </w:pPr>
      <w:r>
        <w:rPr>
          <w:rFonts w:ascii="Arial" w:cs="Arial" w:eastAsia="Arial" w:hAnsi="Arial"/>
          <w:sz w:val="22"/>
          <w:szCs w:val="22"/>
          <w:color w:val="auto"/>
        </w:rPr>
        <w:t>[_] Rule 13d-1(d)</w:t>
      </w:r>
    </w:p>
    <w:p>
      <w:pPr>
        <w:spacing w:after="0" w:line="206"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spacing w:after="0"/>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p>
      <w:pPr>
        <w:jc w:val="center"/>
        <w:ind w:right="60"/>
        <w:spacing w:after="0"/>
        <w:rPr>
          <w:sz w:val="20"/>
          <w:szCs w:val="20"/>
          <w:color w:val="auto"/>
        </w:rPr>
      </w:pPr>
      <w:r>
        <w:rPr>
          <w:rFonts w:ascii="Arial" w:cs="Arial" w:eastAsia="Arial" w:hAnsi="Arial"/>
          <w:sz w:val="22"/>
          <w:szCs w:val="22"/>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148590</wp:posOffset>
            </wp:positionV>
            <wp:extent cx="2529840"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29840" cy="205740"/>
                    </a:xfrm>
                    <a:prstGeom prst="rect">
                      <a:avLst/>
                    </a:prstGeom>
                    <a:noFill/>
                  </pic:spPr>
                </pic:pic>
              </a:graphicData>
            </a:graphic>
          </wp:anchor>
        </w:drawing>
      </w:r>
    </w:p>
    <w:p>
      <w:pPr>
        <w:spacing w:after="0" w:line="250"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CUSIP No.</w:t>
      </w:r>
      <w:r>
        <w:rPr>
          <w:sz w:val="20"/>
          <w:szCs w:val="20"/>
          <w:color w:val="auto"/>
        </w:rPr>
        <w:tab/>
      </w:r>
      <w:r>
        <w:rPr>
          <w:rFonts w:ascii="Arial" w:cs="Arial" w:eastAsia="Arial" w:hAnsi="Arial"/>
          <w:sz w:val="16"/>
          <w:szCs w:val="16"/>
          <w:b w:val="1"/>
          <w:bCs w:val="1"/>
          <w:color w:val="auto"/>
        </w:rPr>
        <w:t>G4705A100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206375</wp:posOffset>
            </wp:positionV>
            <wp:extent cx="7246620" cy="7092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7092315"/>
                    </a:xfrm>
                    <a:prstGeom prst="rect">
                      <a:avLst/>
                    </a:prstGeom>
                    <a:noFill/>
                  </pic:spPr>
                </pic:pic>
              </a:graphicData>
            </a:graphic>
          </wp:anchor>
        </w:drawing>
      </w:r>
    </w:p>
    <w:p>
      <w:pPr>
        <w:spacing w:after="0" w:line="340" w:lineRule="exact"/>
        <w:rPr>
          <w:sz w:val="20"/>
          <w:szCs w:val="20"/>
          <w:color w:val="auto"/>
        </w:rPr>
      </w:pPr>
    </w:p>
    <w:p>
      <w:pPr>
        <w:ind w:left="560" w:hanging="558"/>
        <w:spacing w:after="0"/>
        <w:tabs>
          <w:tab w:leader="none" w:pos="5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39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WCM Investment Management</w:t>
      </w:r>
    </w:p>
    <w:p>
      <w:pPr>
        <w:spacing w:after="0" w:line="100" w:lineRule="exact"/>
        <w:rPr>
          <w:sz w:val="20"/>
          <w:szCs w:val="20"/>
          <w:color w:val="auto"/>
        </w:rPr>
      </w:pPr>
    </w:p>
    <w:p>
      <w:pPr>
        <w:ind w:left="560" w:hanging="558"/>
        <w:spacing w:after="0"/>
        <w:tabs>
          <w:tab w:leader="none" w:pos="5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391" w:lineRule="exact"/>
        <w:rPr>
          <w:sz w:val="20"/>
          <w:szCs w:val="20"/>
          <w:color w:val="auto"/>
        </w:rPr>
      </w:pPr>
    </w:p>
    <w:p>
      <w:pPr>
        <w:ind w:left="1120" w:hanging="236"/>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  ]</w:t>
      </w:r>
    </w:p>
    <w:p>
      <w:pPr>
        <w:spacing w:after="0" w:line="90" w:lineRule="exact"/>
        <w:rPr>
          <w:rFonts w:ascii="Arial" w:cs="Arial" w:eastAsia="Arial" w:hAnsi="Arial"/>
          <w:sz w:val="18"/>
          <w:szCs w:val="18"/>
          <w:color w:val="auto"/>
        </w:rPr>
      </w:pPr>
    </w:p>
    <w:p>
      <w:pPr>
        <w:ind w:left="1180" w:hanging="251"/>
        <w:spacing w:after="0"/>
        <w:tabs>
          <w:tab w:leader="none" w:pos="1180" w:val="left"/>
        </w:tabs>
        <w:numPr>
          <w:ilvl w:val="1"/>
          <w:numId w:val="4"/>
        </w:numPr>
        <w:rPr>
          <w:rFonts w:ascii="Arial" w:cs="Arial" w:eastAsia="Arial" w:hAnsi="Arial"/>
          <w:sz w:val="18"/>
          <w:szCs w:val="18"/>
          <w:color w:val="auto"/>
        </w:rPr>
      </w:pPr>
      <w:r>
        <w:rPr>
          <w:rFonts w:ascii="Arial" w:cs="Arial" w:eastAsia="Arial" w:hAnsi="Arial"/>
          <w:sz w:val="18"/>
          <w:szCs w:val="18"/>
          <w:color w:val="auto"/>
        </w:rPr>
        <w:t>[  ]</w:t>
      </w:r>
    </w:p>
    <w:p>
      <w:pPr>
        <w:spacing w:after="0" w:line="9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3</w:t>
      </w:r>
      <w:r>
        <w:rPr>
          <w:rFonts w:ascii="Arial" w:cs="Arial" w:eastAsia="Arial" w:hAnsi="Arial"/>
          <w:sz w:val="15"/>
          <w:szCs w:val="15"/>
          <w:b w:val="1"/>
          <w:bCs w:val="1"/>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60" w:hanging="558"/>
        <w:spacing w:after="0"/>
        <w:tabs>
          <w:tab w:leader="none" w:pos="5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39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California</w:t>
      </w:r>
    </w:p>
    <w:p>
      <w:pPr>
        <w:spacing w:after="0" w:line="99" w:lineRule="exact"/>
        <w:rPr>
          <w:rFonts w:ascii="Arial" w:cs="Arial" w:eastAsia="Arial" w:hAnsi="Arial"/>
          <w:sz w:val="18"/>
          <w:szCs w:val="18"/>
          <w:b w:val="1"/>
          <w:bCs w:val="1"/>
          <w:color w:val="auto"/>
        </w:rPr>
      </w:pPr>
    </w:p>
    <w:p>
      <w:pPr>
        <w:ind w:left="17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5"/>
          <w:szCs w:val="15"/>
          <w:b w:val="1"/>
          <w:bCs w:val="1"/>
          <w:color w:val="auto"/>
        </w:rPr>
        <w:t>Sole Voting Power</w:t>
      </w:r>
    </w:p>
    <w:p>
      <w:pPr>
        <w:spacing w:after="0" w:line="387"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1520" w:type="dxa"/>
            <w:vAlign w:val="bottom"/>
          </w:tcPr>
          <w:p>
            <w:pPr>
              <w:ind w:left="300"/>
              <w:spacing w:after="0"/>
              <w:rPr>
                <w:sz w:val="20"/>
                <w:szCs w:val="20"/>
                <w:color w:val="auto"/>
              </w:rPr>
            </w:pPr>
            <w:r>
              <w:rPr>
                <w:rFonts w:ascii="Arial" w:cs="Arial" w:eastAsia="Arial" w:hAnsi="Arial"/>
                <w:sz w:val="18"/>
                <w:szCs w:val="18"/>
                <w:b w:val="1"/>
                <w:bCs w:val="1"/>
                <w:color w:val="auto"/>
              </w:rPr>
              <w:t>Number of</w:t>
            </w:r>
          </w:p>
        </w:tc>
        <w:tc>
          <w:tcPr>
            <w:tcW w:w="380" w:type="dxa"/>
            <w:vAlign w:val="bottom"/>
          </w:tcPr>
          <w:p>
            <w:pPr>
              <w:spacing w:after="0"/>
              <w:rPr>
                <w:sz w:val="20"/>
                <w:szCs w:val="20"/>
                <w:color w:val="auto"/>
              </w:rPr>
            </w:pPr>
          </w:p>
        </w:tc>
        <w:tc>
          <w:tcPr>
            <w:tcW w:w="9320" w:type="dxa"/>
            <w:vAlign w:val="bottom"/>
          </w:tcPr>
          <w:p>
            <w:pPr>
              <w:ind w:left="240"/>
              <w:spacing w:after="0"/>
              <w:rPr>
                <w:sz w:val="20"/>
                <w:szCs w:val="20"/>
                <w:color w:val="auto"/>
              </w:rPr>
            </w:pPr>
            <w:r>
              <w:rPr>
                <w:rFonts w:ascii="Arial" w:cs="Arial" w:eastAsia="Arial" w:hAnsi="Arial"/>
                <w:sz w:val="18"/>
                <w:szCs w:val="18"/>
                <w:color w:val="auto"/>
              </w:rPr>
              <w:t>5,251,808</w:t>
            </w:r>
          </w:p>
        </w:tc>
        <w:tc>
          <w:tcPr>
            <w:tcW w:w="0" w:type="dxa"/>
            <w:vAlign w:val="bottom"/>
          </w:tcPr>
          <w:p>
            <w:pPr>
              <w:spacing w:after="0"/>
              <w:rPr>
                <w:sz w:val="1"/>
                <w:szCs w:val="1"/>
                <w:color w:val="auto"/>
              </w:rPr>
            </w:pPr>
          </w:p>
        </w:tc>
      </w:tr>
      <w:tr>
        <w:trPr>
          <w:trHeight w:val="41"/>
        </w:trPr>
        <w:tc>
          <w:tcPr>
            <w:tcW w:w="152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6"/>
              </w:rPr>
              <w:t>Shares</w:t>
            </w:r>
          </w:p>
        </w:tc>
        <w:tc>
          <w:tcPr>
            <w:tcW w:w="380" w:type="dxa"/>
            <w:vAlign w:val="bottom"/>
            <w:tcBorders>
              <w:bottom w:val="single" w:sz="8" w:color="auto"/>
            </w:tcBorders>
          </w:tcPr>
          <w:p>
            <w:pPr>
              <w:spacing w:after="0"/>
              <w:rPr>
                <w:sz w:val="3"/>
                <w:szCs w:val="3"/>
                <w:color w:val="auto"/>
              </w:rPr>
            </w:pPr>
          </w:p>
        </w:tc>
        <w:tc>
          <w:tcPr>
            <w:tcW w:w="9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520" w:type="dxa"/>
            <w:vAlign w:val="bottom"/>
            <w:vMerge w:val="continue"/>
          </w:tcPr>
          <w:p>
            <w:pPr>
              <w:spacing w:after="0"/>
              <w:rPr>
                <w:sz w:val="21"/>
                <w:szCs w:val="21"/>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b w:val="1"/>
                <w:bCs w:val="1"/>
                <w:color w:val="auto"/>
              </w:rPr>
              <w:t>6</w:t>
            </w:r>
          </w:p>
        </w:tc>
        <w:tc>
          <w:tcPr>
            <w:tcW w:w="9320" w:type="dxa"/>
            <w:vAlign w:val="bottom"/>
          </w:tcPr>
          <w:p>
            <w:pPr>
              <w:ind w:left="2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97"/>
        </w:trPr>
        <w:tc>
          <w:tcPr>
            <w:tcW w:w="15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Beneficially</w:t>
            </w:r>
          </w:p>
        </w:tc>
        <w:tc>
          <w:tcPr>
            <w:tcW w:w="380" w:type="dxa"/>
            <w:vAlign w:val="bottom"/>
          </w:tcPr>
          <w:p>
            <w:pPr>
              <w:spacing w:after="0"/>
              <w:rPr>
                <w:sz w:val="24"/>
                <w:szCs w:val="24"/>
                <w:color w:val="auto"/>
              </w:rPr>
            </w:pPr>
          </w:p>
        </w:tc>
        <w:tc>
          <w:tcPr>
            <w:tcW w:w="9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Owned by Each</w:t>
            </w:r>
          </w:p>
        </w:tc>
        <w:tc>
          <w:tcPr>
            <w:tcW w:w="380" w:type="dxa"/>
            <w:vAlign w:val="bottom"/>
          </w:tcPr>
          <w:p>
            <w:pPr>
              <w:spacing w:after="0"/>
              <w:rPr>
                <w:sz w:val="24"/>
                <w:szCs w:val="24"/>
                <w:color w:val="auto"/>
              </w:rPr>
            </w:pPr>
          </w:p>
        </w:tc>
        <w:tc>
          <w:tcPr>
            <w:tcW w:w="9320" w:type="dxa"/>
            <w:vAlign w:val="bottom"/>
          </w:tcPr>
          <w:p>
            <w:pPr>
              <w:ind w:left="240"/>
              <w:spacing w:after="0"/>
              <w:rPr>
                <w:sz w:val="20"/>
                <w:szCs w:val="20"/>
                <w:color w:val="auto"/>
              </w:rPr>
            </w:pPr>
            <w:r>
              <w:rPr>
                <w:rFonts w:ascii="Arial" w:cs="Arial" w:eastAsia="Arial" w:hAnsi="Arial"/>
                <w:sz w:val="18"/>
                <w:szCs w:val="18"/>
                <w:color w:val="auto"/>
              </w:rPr>
              <w:t>20,278</w:t>
            </w:r>
          </w:p>
        </w:tc>
        <w:tc>
          <w:tcPr>
            <w:tcW w:w="0" w:type="dxa"/>
            <w:vAlign w:val="bottom"/>
          </w:tcPr>
          <w:p>
            <w:pPr>
              <w:spacing w:after="0"/>
              <w:rPr>
                <w:sz w:val="1"/>
                <w:szCs w:val="1"/>
                <w:color w:val="auto"/>
              </w:rPr>
            </w:pPr>
          </w:p>
        </w:tc>
      </w:tr>
      <w:tr>
        <w:trPr>
          <w:trHeight w:val="41"/>
        </w:trPr>
        <w:tc>
          <w:tcPr>
            <w:tcW w:w="152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88"/>
              </w:rPr>
              <w:t>Reporting Person</w:t>
            </w:r>
          </w:p>
        </w:tc>
        <w:tc>
          <w:tcPr>
            <w:tcW w:w="380" w:type="dxa"/>
            <w:vAlign w:val="bottom"/>
            <w:tcBorders>
              <w:bottom w:val="single" w:sz="8" w:color="auto"/>
            </w:tcBorders>
          </w:tcPr>
          <w:p>
            <w:pPr>
              <w:spacing w:after="0"/>
              <w:rPr>
                <w:sz w:val="3"/>
                <w:szCs w:val="3"/>
                <w:color w:val="auto"/>
              </w:rPr>
            </w:pPr>
          </w:p>
        </w:tc>
        <w:tc>
          <w:tcPr>
            <w:tcW w:w="9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520" w:type="dxa"/>
            <w:vAlign w:val="bottom"/>
            <w:vMerge w:val="continue"/>
          </w:tcPr>
          <w:p>
            <w:pPr>
              <w:spacing w:after="0"/>
              <w:rPr>
                <w:sz w:val="21"/>
                <w:szCs w:val="21"/>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b w:val="1"/>
                <w:bCs w:val="1"/>
                <w:color w:val="auto"/>
              </w:rPr>
              <w:t>7</w:t>
            </w:r>
          </w:p>
        </w:tc>
        <w:tc>
          <w:tcPr>
            <w:tcW w:w="9320" w:type="dxa"/>
            <w:vAlign w:val="bottom"/>
          </w:tcPr>
          <w:p>
            <w:pPr>
              <w:ind w:left="2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97"/>
        </w:trPr>
        <w:tc>
          <w:tcPr>
            <w:tcW w:w="1520" w:type="dxa"/>
            <w:vAlign w:val="bottom"/>
          </w:tcPr>
          <w:p>
            <w:pPr>
              <w:jc w:val="center"/>
              <w:ind w:right="90"/>
              <w:spacing w:after="0"/>
              <w:rPr>
                <w:sz w:val="20"/>
                <w:szCs w:val="20"/>
                <w:color w:val="auto"/>
              </w:rPr>
            </w:pPr>
            <w:r>
              <w:rPr>
                <w:rFonts w:ascii="Arial" w:cs="Arial" w:eastAsia="Arial" w:hAnsi="Arial"/>
                <w:sz w:val="18"/>
                <w:szCs w:val="18"/>
                <w:b w:val="1"/>
                <w:bCs w:val="1"/>
                <w:color w:val="auto"/>
              </w:rPr>
              <w:t>With:</w:t>
            </w:r>
          </w:p>
        </w:tc>
        <w:tc>
          <w:tcPr>
            <w:tcW w:w="380" w:type="dxa"/>
            <w:vAlign w:val="bottom"/>
          </w:tcPr>
          <w:p>
            <w:pPr>
              <w:spacing w:after="0"/>
              <w:rPr>
                <w:sz w:val="24"/>
                <w:szCs w:val="24"/>
                <w:color w:val="auto"/>
              </w:rPr>
            </w:pPr>
          </w:p>
        </w:tc>
        <w:tc>
          <w:tcPr>
            <w:tcW w:w="9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320" w:type="dxa"/>
            <w:vAlign w:val="bottom"/>
          </w:tcPr>
          <w:p>
            <w:pPr>
              <w:ind w:left="240"/>
              <w:spacing w:after="0"/>
              <w:rPr>
                <w:sz w:val="20"/>
                <w:szCs w:val="20"/>
                <w:color w:val="auto"/>
              </w:rPr>
            </w:pPr>
            <w:r>
              <w:rPr>
                <w:rFonts w:ascii="Arial" w:cs="Arial" w:eastAsia="Arial" w:hAnsi="Arial"/>
                <w:sz w:val="18"/>
                <w:szCs w:val="18"/>
                <w:color w:val="auto"/>
              </w:rPr>
              <w:t>5,251,808</w:t>
            </w:r>
          </w:p>
        </w:tc>
        <w:tc>
          <w:tcPr>
            <w:tcW w:w="0" w:type="dxa"/>
            <w:vAlign w:val="bottom"/>
          </w:tcPr>
          <w:p>
            <w:pPr>
              <w:spacing w:after="0"/>
              <w:rPr>
                <w:sz w:val="1"/>
                <w:szCs w:val="1"/>
                <w:color w:val="auto"/>
              </w:rPr>
            </w:pPr>
          </w:p>
        </w:tc>
      </w:tr>
      <w:tr>
        <w:trPr>
          <w:trHeight w:val="41"/>
        </w:trPr>
        <w:tc>
          <w:tcPr>
            <w:tcW w:w="15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520" w:type="dxa"/>
            <w:vAlign w:val="bottom"/>
          </w:tcPr>
          <w:p>
            <w:pPr>
              <w:spacing w:after="0"/>
              <w:rPr>
                <w:sz w:val="21"/>
                <w:szCs w:val="21"/>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b w:val="1"/>
                <w:bCs w:val="1"/>
                <w:color w:val="auto"/>
              </w:rPr>
              <w:t>8</w:t>
            </w:r>
          </w:p>
        </w:tc>
        <w:tc>
          <w:tcPr>
            <w:tcW w:w="9320" w:type="dxa"/>
            <w:vAlign w:val="bottom"/>
          </w:tcPr>
          <w:p>
            <w:pPr>
              <w:ind w:left="2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20,278</w:t>
      </w:r>
    </w:p>
    <w:p>
      <w:pPr>
        <w:spacing w:after="0" w:line="100" w:lineRule="exact"/>
        <w:rPr>
          <w:sz w:val="20"/>
          <w:szCs w:val="20"/>
          <w:color w:val="auto"/>
        </w:rPr>
      </w:pPr>
    </w:p>
    <w:p>
      <w:pPr>
        <w:ind w:left="560" w:hanging="558"/>
        <w:spacing w:after="0"/>
        <w:tabs>
          <w:tab w:leader="none" w:pos="5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w:t>
      </w:r>
    </w:p>
    <w:p>
      <w:pPr>
        <w:spacing w:after="0" w:line="39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5,272,086</w:t>
      </w:r>
    </w:p>
    <w:p>
      <w:pPr>
        <w:spacing w:after="0" w:line="100" w:lineRule="exact"/>
        <w:rPr>
          <w:sz w:val="20"/>
          <w:szCs w:val="20"/>
          <w:color w:val="auto"/>
        </w:rPr>
      </w:pPr>
    </w:p>
    <w:p>
      <w:pPr>
        <w:ind w:left="560" w:right="4100" w:hanging="558"/>
        <w:spacing w:after="0" w:line="524" w:lineRule="auto"/>
        <w:tabs>
          <w:tab w:leader="none" w:pos="5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box if the aggregate amount in row (9) excludes certain shares (See Instructions) </w:t>
      </w:r>
      <w:r>
        <w:rPr>
          <w:rFonts w:ascii="Arial" w:cs="Arial" w:eastAsia="Arial" w:hAnsi="Arial"/>
          <w:sz w:val="18"/>
          <w:szCs w:val="18"/>
          <w:color w:val="auto"/>
        </w:rPr>
        <w:t>[ ]</w:t>
      </w:r>
    </w:p>
    <w:p>
      <w:pPr>
        <w:spacing w:after="0" w:line="1" w:lineRule="exact"/>
        <w:rPr>
          <w:rFonts w:ascii="Arial" w:cs="Arial" w:eastAsia="Arial" w:hAnsi="Arial"/>
          <w:sz w:val="18"/>
          <w:szCs w:val="18"/>
          <w:b w:val="1"/>
          <w:bCs w:val="1"/>
          <w:color w:val="auto"/>
        </w:rPr>
      </w:pPr>
    </w:p>
    <w:p>
      <w:pPr>
        <w:ind w:left="560" w:right="7000" w:hanging="558"/>
        <w:spacing w:after="0" w:line="524" w:lineRule="auto"/>
        <w:tabs>
          <w:tab w:leader="none" w:pos="5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9.68%</w:t>
      </w:r>
    </w:p>
    <w:p>
      <w:pPr>
        <w:spacing w:after="0" w:line="1" w:lineRule="exact"/>
        <w:rPr>
          <w:rFonts w:ascii="Arial" w:cs="Arial" w:eastAsia="Arial" w:hAnsi="Arial"/>
          <w:sz w:val="18"/>
          <w:szCs w:val="18"/>
          <w:b w:val="1"/>
          <w:bCs w:val="1"/>
          <w:color w:val="auto"/>
        </w:rPr>
      </w:pPr>
    </w:p>
    <w:p>
      <w:pPr>
        <w:ind w:left="560" w:hanging="558"/>
        <w:spacing w:after="0"/>
        <w:tabs>
          <w:tab w:leader="none" w:pos="5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39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IA</w:t>
      </w:r>
    </w:p>
    <w:p>
      <w:pPr>
        <w:spacing w:after="0" w:line="27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Page 2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142240</wp:posOffset>
            </wp:positionV>
            <wp:extent cx="72675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360"/>
          </w:cols>
          <w:pgMar w:left="300" w:top="111"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216" w:lineRule="exact"/>
        <w:rPr>
          <w:sz w:val="20"/>
          <w:szCs w:val="20"/>
          <w:color w:val="auto"/>
        </w:rPr>
      </w:pPr>
    </w:p>
    <w:p>
      <w:pPr>
        <w:ind w:left="580" w:hanging="572"/>
        <w:spacing w:after="0"/>
        <w:tabs>
          <w:tab w:leader="none" w:pos="5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Name of Issuer: ICON PLC</w:t>
      </w:r>
    </w:p>
    <w:p>
      <w:pPr>
        <w:spacing w:after="0" w:line="225" w:lineRule="exact"/>
        <w:rPr>
          <w:rFonts w:ascii="Arial" w:cs="Arial" w:eastAsia="Arial" w:hAnsi="Arial"/>
          <w:sz w:val="18"/>
          <w:szCs w:val="18"/>
          <w:b w:val="1"/>
          <w:bCs w:val="1"/>
          <w:color w:val="auto"/>
        </w:rPr>
      </w:pPr>
    </w:p>
    <w:p>
      <w:pPr>
        <w:ind w:left="580" w:hanging="572"/>
        <w:spacing w:after="0"/>
        <w:tabs>
          <w:tab w:leader="none" w:pos="5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 SOUTH COUNTY BUSINESS PARK, LEOPARDSTOWN DUBLIN 18 IRELAND</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15" w:lineRule="exact"/>
        <w:rPr>
          <w:sz w:val="20"/>
          <w:szCs w:val="20"/>
          <w:color w:val="auto"/>
        </w:rPr>
      </w:pPr>
    </w:p>
    <w:p>
      <w:pPr>
        <w:ind w:left="580" w:hanging="572"/>
        <w:spacing w:after="0"/>
        <w:tabs>
          <w:tab w:leader="none" w:pos="5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 WCM Investment Management</w:t>
      </w:r>
    </w:p>
    <w:p>
      <w:pPr>
        <w:spacing w:after="0" w:line="225" w:lineRule="exact"/>
        <w:rPr>
          <w:rFonts w:ascii="Arial" w:cs="Arial" w:eastAsia="Arial" w:hAnsi="Arial"/>
          <w:sz w:val="18"/>
          <w:szCs w:val="18"/>
          <w:b w:val="1"/>
          <w:bCs w:val="1"/>
          <w:color w:val="auto"/>
        </w:rPr>
      </w:pPr>
    </w:p>
    <w:p>
      <w:pPr>
        <w:ind w:left="580" w:hanging="572"/>
        <w:spacing w:after="0"/>
        <w:tabs>
          <w:tab w:leader="none" w:pos="5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 281 Brooks Street, Laguna Beach, California 92651</w:t>
      </w:r>
    </w:p>
    <w:p>
      <w:pPr>
        <w:spacing w:after="0" w:line="225" w:lineRule="exact"/>
        <w:rPr>
          <w:rFonts w:ascii="Arial" w:cs="Arial" w:eastAsia="Arial" w:hAnsi="Arial"/>
          <w:sz w:val="18"/>
          <w:szCs w:val="18"/>
          <w:b w:val="1"/>
          <w:bCs w:val="1"/>
          <w:color w:val="auto"/>
        </w:rPr>
      </w:pPr>
    </w:p>
    <w:p>
      <w:pPr>
        <w:ind w:left="580" w:hanging="572"/>
        <w:spacing w:after="0"/>
        <w:tabs>
          <w:tab w:leader="none" w:pos="5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California</w:t>
      </w:r>
    </w:p>
    <w:p>
      <w:pPr>
        <w:spacing w:after="0" w:line="225" w:lineRule="exact"/>
        <w:rPr>
          <w:rFonts w:ascii="Arial" w:cs="Arial" w:eastAsia="Arial" w:hAnsi="Arial"/>
          <w:sz w:val="18"/>
          <w:szCs w:val="18"/>
          <w:b w:val="1"/>
          <w:bCs w:val="1"/>
          <w:color w:val="auto"/>
        </w:rPr>
      </w:pPr>
    </w:p>
    <w:p>
      <w:pPr>
        <w:ind w:left="580" w:hanging="572"/>
        <w:spacing w:after="0"/>
        <w:tabs>
          <w:tab w:leader="none" w:pos="5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Title and Class of Securities: Common</w:t>
      </w:r>
    </w:p>
    <w:p>
      <w:pPr>
        <w:spacing w:after="0" w:line="225" w:lineRule="exact"/>
        <w:rPr>
          <w:rFonts w:ascii="Arial" w:cs="Arial" w:eastAsia="Arial" w:hAnsi="Arial"/>
          <w:sz w:val="18"/>
          <w:szCs w:val="18"/>
          <w:b w:val="1"/>
          <w:bCs w:val="1"/>
          <w:color w:val="auto"/>
        </w:rPr>
      </w:pPr>
    </w:p>
    <w:p>
      <w:pPr>
        <w:ind w:left="580" w:hanging="572"/>
        <w:spacing w:after="0"/>
        <w:tabs>
          <w:tab w:leader="none" w:pos="5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CUSIP No.: G4705A100</w:t>
      </w:r>
    </w:p>
    <w:p>
      <w:pPr>
        <w:spacing w:after="0" w:line="25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256" w:lineRule="exact"/>
        <w:rPr>
          <w:sz w:val="20"/>
          <w:szCs w:val="20"/>
          <w:color w:val="auto"/>
        </w:rPr>
      </w:pPr>
    </w:p>
    <w:p>
      <w:pPr>
        <w:ind w:left="1160" w:hanging="585"/>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Broker or dealer registered under Section 15 of the Act;</w:t>
      </w:r>
    </w:p>
    <w:p>
      <w:pPr>
        <w:spacing w:after="0" w:line="225" w:lineRule="exact"/>
        <w:rPr>
          <w:rFonts w:ascii="Arial" w:cs="Arial" w:eastAsia="Arial" w:hAnsi="Arial"/>
          <w:sz w:val="18"/>
          <w:szCs w:val="18"/>
          <w:color w:val="auto"/>
        </w:rPr>
      </w:pPr>
    </w:p>
    <w:p>
      <w:pPr>
        <w:ind w:left="1160" w:hanging="585"/>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Bank as defined in Section 3(a)(6) of the Act;</w:t>
      </w:r>
    </w:p>
    <w:p>
      <w:pPr>
        <w:spacing w:after="0" w:line="225" w:lineRule="exact"/>
        <w:rPr>
          <w:rFonts w:ascii="Arial" w:cs="Arial" w:eastAsia="Arial" w:hAnsi="Arial"/>
          <w:sz w:val="18"/>
          <w:szCs w:val="18"/>
          <w:color w:val="auto"/>
        </w:rPr>
      </w:pPr>
    </w:p>
    <w:p>
      <w:pPr>
        <w:ind w:left="1160" w:hanging="585"/>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Insurance company as defined in Section 3(a)(19) of the Act;</w:t>
      </w:r>
    </w:p>
    <w:p>
      <w:pPr>
        <w:spacing w:after="0" w:line="225" w:lineRule="exact"/>
        <w:rPr>
          <w:rFonts w:ascii="Arial" w:cs="Arial" w:eastAsia="Arial" w:hAnsi="Arial"/>
          <w:sz w:val="18"/>
          <w:szCs w:val="18"/>
          <w:color w:val="auto"/>
        </w:rPr>
      </w:pPr>
    </w:p>
    <w:p>
      <w:pPr>
        <w:ind w:left="1160" w:hanging="585"/>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Investment company registered under Section 8 of the Investment Company Act of 1940;</w:t>
      </w:r>
    </w:p>
    <w:p>
      <w:pPr>
        <w:spacing w:after="0" w:line="225" w:lineRule="exact"/>
        <w:rPr>
          <w:rFonts w:ascii="Arial" w:cs="Arial" w:eastAsia="Arial" w:hAnsi="Arial"/>
          <w:sz w:val="18"/>
          <w:szCs w:val="18"/>
          <w:color w:val="auto"/>
        </w:rPr>
      </w:pPr>
    </w:p>
    <w:p>
      <w:pPr>
        <w:ind w:left="1160" w:hanging="585"/>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Rule 13d-1(b)(1)(ii)(E);</w:t>
      </w:r>
    </w:p>
    <w:p>
      <w:pPr>
        <w:spacing w:after="0" w:line="225" w:lineRule="exact"/>
        <w:rPr>
          <w:rFonts w:ascii="Arial" w:cs="Arial" w:eastAsia="Arial" w:hAnsi="Arial"/>
          <w:sz w:val="18"/>
          <w:szCs w:val="18"/>
          <w:color w:val="auto"/>
        </w:rPr>
      </w:pPr>
    </w:p>
    <w:p>
      <w:pPr>
        <w:ind w:left="1160" w:hanging="585"/>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employee benefit plan or endowment fund in accordance with Rule 13d-1(b)(1)(ii)(F);</w:t>
      </w:r>
    </w:p>
    <w:p>
      <w:pPr>
        <w:spacing w:after="0" w:line="225" w:lineRule="exact"/>
        <w:rPr>
          <w:rFonts w:ascii="Arial" w:cs="Arial" w:eastAsia="Arial" w:hAnsi="Arial"/>
          <w:sz w:val="18"/>
          <w:szCs w:val="18"/>
          <w:color w:val="auto"/>
        </w:rPr>
      </w:pPr>
    </w:p>
    <w:p>
      <w:pPr>
        <w:ind w:left="1160" w:hanging="585"/>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parent holding company or control person in accordance with Rule 13d-1(b)(1)(ii)(G);</w:t>
      </w:r>
    </w:p>
    <w:p>
      <w:pPr>
        <w:spacing w:after="0" w:line="225" w:lineRule="exact"/>
        <w:rPr>
          <w:rFonts w:ascii="Arial" w:cs="Arial" w:eastAsia="Arial" w:hAnsi="Arial"/>
          <w:sz w:val="18"/>
          <w:szCs w:val="18"/>
          <w:color w:val="auto"/>
        </w:rPr>
      </w:pPr>
    </w:p>
    <w:p>
      <w:pPr>
        <w:ind w:left="1160" w:hanging="585"/>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720" w:hanging="1145"/>
        <w:spacing w:after="0" w:line="277" w:lineRule="auto"/>
        <w:tabs>
          <w:tab w:leader="none" w:pos="1153" w:val="left"/>
        </w:tabs>
        <w:numPr>
          <w:ilvl w:val="0"/>
          <w:numId w:val="10"/>
        </w:numPr>
        <w:rPr>
          <w:rFonts w:ascii="Arial" w:cs="Arial" w:eastAsia="Arial" w:hAnsi="Arial"/>
          <w:sz w:val="18"/>
          <w:szCs w:val="18"/>
          <w:color w:val="auto"/>
        </w:rPr>
      </w:pPr>
      <w:r>
        <w:rPr>
          <w:rFonts w:ascii="Arial" w:cs="Arial" w:eastAsia="Arial" w:hAnsi="Arial"/>
          <w:sz w:val="18"/>
          <w:szCs w:val="18"/>
          <w:color w:val="auto"/>
        </w:rPr>
        <w:t>[_]A church plan that is excluded from the definition of an investment company under section 3(c)(14) of the Investment Company Act of 1940;</w:t>
      </w:r>
    </w:p>
    <w:p>
      <w:pPr>
        <w:spacing w:after="0" w:line="170" w:lineRule="exact"/>
        <w:rPr>
          <w:rFonts w:ascii="Arial" w:cs="Arial" w:eastAsia="Arial" w:hAnsi="Arial"/>
          <w:sz w:val="18"/>
          <w:szCs w:val="18"/>
          <w:color w:val="auto"/>
        </w:rPr>
      </w:pPr>
    </w:p>
    <w:p>
      <w:pPr>
        <w:ind w:left="1160" w:hanging="585"/>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non-U.S. institution in accordance with Rule 240.13d-1(b)(1)(ii)(J);</w:t>
      </w:r>
    </w:p>
    <w:p>
      <w:pPr>
        <w:spacing w:after="0" w:line="225" w:lineRule="exact"/>
        <w:rPr>
          <w:rFonts w:ascii="Arial" w:cs="Arial" w:eastAsia="Arial" w:hAnsi="Arial"/>
          <w:sz w:val="18"/>
          <w:szCs w:val="18"/>
          <w:color w:val="auto"/>
        </w:rPr>
      </w:pPr>
    </w:p>
    <w:p>
      <w:pPr>
        <w:ind w:left="1720" w:hanging="1145"/>
        <w:spacing w:after="0" w:line="277" w:lineRule="auto"/>
        <w:tabs>
          <w:tab w:leader="none" w:pos="1153" w:val="left"/>
        </w:tabs>
        <w:numPr>
          <w:ilvl w:val="0"/>
          <w:numId w:val="10"/>
        </w:numPr>
        <w:rPr>
          <w:rFonts w:ascii="Arial" w:cs="Arial" w:eastAsia="Arial" w:hAnsi="Arial"/>
          <w:sz w:val="18"/>
          <w:szCs w:val="18"/>
          <w:color w:val="auto"/>
        </w:rPr>
      </w:pPr>
      <w:r>
        <w:rPr>
          <w:rFonts w:ascii="Arial" w:cs="Arial" w:eastAsia="Arial" w:hAnsi="Arial"/>
          <w:sz w:val="18"/>
          <w:szCs w:val="18"/>
          <w:color w:val="auto"/>
        </w:rPr>
        <w:t>[_]Group, in accordance with Rule 240.13d-1(b)(1)(ii)(K). If filing as a non-U.S. institution in accordance with Rule 240.13d-1(b)(1)(ii) (J), please specify the type of institution:</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215"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Amount Beneficially Owned: </w:t>
      </w:r>
      <w:r>
        <w:rPr>
          <w:rFonts w:ascii="Arial" w:cs="Arial" w:eastAsia="Arial" w:hAnsi="Arial"/>
          <w:sz w:val="18"/>
          <w:szCs w:val="18"/>
          <w:color w:val="auto"/>
        </w:rPr>
        <w:t>5,272,086</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3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 w:name="page4"/>
    <w:bookmarkEnd w:id="3"/>
    <w:p>
      <w:pPr>
        <w:ind w:left="580" w:hanging="572"/>
        <w:spacing w:after="0"/>
        <w:tabs>
          <w:tab w:leader="none" w:pos="5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w:t>
      </w:r>
      <w:r>
        <w:rPr>
          <w:rFonts w:ascii="Arial" w:cs="Arial" w:eastAsia="Arial" w:hAnsi="Arial"/>
          <w:sz w:val="18"/>
          <w:szCs w:val="18"/>
          <w:color w:val="auto"/>
        </w:rPr>
        <w:t>9.68%</w:t>
      </w:r>
    </w:p>
    <w:p>
      <w:pPr>
        <w:spacing w:after="0" w:line="225" w:lineRule="exact"/>
        <w:rPr>
          <w:rFonts w:ascii="Arial" w:cs="Arial" w:eastAsia="Arial" w:hAnsi="Arial"/>
          <w:sz w:val="18"/>
          <w:szCs w:val="18"/>
          <w:b w:val="1"/>
          <w:bCs w:val="1"/>
          <w:color w:val="auto"/>
        </w:rPr>
      </w:pPr>
    </w:p>
    <w:p>
      <w:pPr>
        <w:ind w:left="580" w:hanging="572"/>
        <w:spacing w:after="0"/>
        <w:tabs>
          <w:tab w:leader="none" w:pos="5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such person has:</w:t>
      </w:r>
    </w:p>
    <w:p>
      <w:pPr>
        <w:spacing w:after="0" w:line="252" w:lineRule="exact"/>
        <w:rPr>
          <w:rFonts w:ascii="Arial" w:cs="Arial" w:eastAsia="Arial" w:hAnsi="Arial"/>
          <w:sz w:val="18"/>
          <w:szCs w:val="18"/>
          <w:b w:val="1"/>
          <w:bCs w:val="1"/>
          <w:color w:val="auto"/>
        </w:rPr>
      </w:pPr>
    </w:p>
    <w:p>
      <w:pPr>
        <w:ind w:left="1140" w:hanging="565"/>
        <w:spacing w:after="0"/>
        <w:tabs>
          <w:tab w:leader="none" w:pos="1140"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power to vote or to direct the vote: </w:t>
      </w:r>
      <w:r>
        <w:rPr>
          <w:rFonts w:ascii="Arial" w:cs="Arial" w:eastAsia="Arial" w:hAnsi="Arial"/>
          <w:sz w:val="18"/>
          <w:szCs w:val="18"/>
          <w:color w:val="auto"/>
        </w:rPr>
        <w:t>5,251,808</w:t>
      </w:r>
    </w:p>
    <w:p>
      <w:pPr>
        <w:spacing w:after="0" w:line="225" w:lineRule="exact"/>
        <w:rPr>
          <w:rFonts w:ascii="Arial" w:cs="Arial" w:eastAsia="Arial" w:hAnsi="Arial"/>
          <w:sz w:val="18"/>
          <w:szCs w:val="18"/>
          <w:b w:val="1"/>
          <w:bCs w:val="1"/>
          <w:color w:val="auto"/>
        </w:rPr>
      </w:pPr>
    </w:p>
    <w:p>
      <w:pPr>
        <w:ind w:left="1140" w:hanging="565"/>
        <w:spacing w:after="0"/>
        <w:tabs>
          <w:tab w:leader="none" w:pos="1140"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power to vote or to direct the vote: </w:t>
      </w:r>
      <w:r>
        <w:rPr>
          <w:rFonts w:ascii="Arial" w:cs="Arial" w:eastAsia="Arial" w:hAnsi="Arial"/>
          <w:sz w:val="18"/>
          <w:szCs w:val="18"/>
          <w:color w:val="auto"/>
        </w:rPr>
        <w:t>20,278</w:t>
      </w:r>
    </w:p>
    <w:p>
      <w:pPr>
        <w:spacing w:after="0" w:line="225" w:lineRule="exact"/>
        <w:rPr>
          <w:rFonts w:ascii="Arial" w:cs="Arial" w:eastAsia="Arial" w:hAnsi="Arial"/>
          <w:sz w:val="18"/>
          <w:szCs w:val="18"/>
          <w:b w:val="1"/>
          <w:bCs w:val="1"/>
          <w:color w:val="auto"/>
        </w:rPr>
      </w:pPr>
    </w:p>
    <w:p>
      <w:pPr>
        <w:ind w:left="1140" w:hanging="565"/>
        <w:spacing w:after="0"/>
        <w:tabs>
          <w:tab w:leader="none" w:pos="1140"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power to dispose or to direct the disposition of: </w:t>
      </w:r>
      <w:r>
        <w:rPr>
          <w:rFonts w:ascii="Arial" w:cs="Arial" w:eastAsia="Arial" w:hAnsi="Arial"/>
          <w:sz w:val="18"/>
          <w:szCs w:val="18"/>
          <w:color w:val="auto"/>
        </w:rPr>
        <w:t>5,251,808</w:t>
      </w:r>
    </w:p>
    <w:p>
      <w:pPr>
        <w:spacing w:after="0" w:line="225" w:lineRule="exact"/>
        <w:rPr>
          <w:rFonts w:ascii="Arial" w:cs="Arial" w:eastAsia="Arial" w:hAnsi="Arial"/>
          <w:sz w:val="18"/>
          <w:szCs w:val="18"/>
          <w:b w:val="1"/>
          <w:bCs w:val="1"/>
          <w:color w:val="auto"/>
        </w:rPr>
      </w:pPr>
    </w:p>
    <w:p>
      <w:pPr>
        <w:ind w:left="1140" w:hanging="565"/>
        <w:spacing w:after="0"/>
        <w:tabs>
          <w:tab w:leader="none" w:pos="1140"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power to dispose or to direct the disposition of: </w:t>
      </w:r>
      <w:r>
        <w:rPr>
          <w:rFonts w:ascii="Arial" w:cs="Arial" w:eastAsia="Arial" w:hAnsi="Arial"/>
          <w:sz w:val="18"/>
          <w:szCs w:val="18"/>
          <w:color w:val="auto"/>
        </w:rPr>
        <w:t>20,278</w:t>
      </w:r>
    </w:p>
    <w:p>
      <w:pPr>
        <w:spacing w:after="0" w:line="25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460" w:type="dxa"/>
            <w:vAlign w:val="bottom"/>
            <w:gridSpan w:val="2"/>
          </w:tcPr>
          <w:p>
            <w:pPr>
              <w:ind w:left="580"/>
              <w:spacing w:after="0"/>
              <w:rPr>
                <w:sz w:val="20"/>
                <w:szCs w:val="20"/>
                <w:color w:val="auto"/>
              </w:rPr>
            </w:pPr>
            <w:r>
              <w:rPr>
                <w:rFonts w:ascii="Arial" w:cs="Arial" w:eastAsia="Arial" w:hAnsi="Arial"/>
                <w:sz w:val="22"/>
                <w:szCs w:val="22"/>
                <w:color w:val="auto"/>
                <w:w w:val="89"/>
              </w:rPr>
              <w:t>If this statement is being filed to report the fact that as of the date hereof the reporting person has ceased to be the beneficial</w:t>
            </w:r>
          </w:p>
        </w:tc>
      </w:tr>
      <w:tr>
        <w:trPr>
          <w:trHeight w:val="275"/>
        </w:trPr>
        <w:tc>
          <w:tcPr>
            <w:tcW w:w="11460" w:type="dxa"/>
            <w:vAlign w:val="bottom"/>
            <w:gridSpan w:val="2"/>
          </w:tcPr>
          <w:p>
            <w:pPr>
              <w:ind w:left="580"/>
              <w:spacing w:after="0"/>
              <w:rPr>
                <w:sz w:val="20"/>
                <w:szCs w:val="20"/>
                <w:color w:val="auto"/>
              </w:rPr>
            </w:pPr>
            <w:r>
              <w:rPr>
                <w:rFonts w:ascii="Arial" w:cs="Arial" w:eastAsia="Arial" w:hAnsi="Arial"/>
                <w:sz w:val="22"/>
                <w:szCs w:val="22"/>
                <w:color w:val="auto"/>
              </w:rPr>
              <w:t>owner of more than five percent of the class of securities, check the following [  ].</w:t>
            </w:r>
          </w:p>
        </w:tc>
      </w:tr>
      <w:tr>
        <w:trPr>
          <w:trHeight w:val="422"/>
        </w:trPr>
        <w:tc>
          <w:tcPr>
            <w:tcW w:w="9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60" w:type="dxa"/>
            <w:vAlign w:val="bottom"/>
          </w:tcPr>
          <w:p>
            <w:pPr>
              <w:ind w:left="26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414"/>
        </w:trPr>
        <w:tc>
          <w:tcPr>
            <w:tcW w:w="90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560" w:type="dxa"/>
            <w:vAlign w:val="bottom"/>
          </w:tcPr>
          <w:p>
            <w:pPr>
              <w:ind w:left="260"/>
              <w:spacing w:after="0"/>
              <w:rPr>
                <w:sz w:val="20"/>
                <w:szCs w:val="20"/>
                <w:color w:val="auto"/>
              </w:rPr>
            </w:pPr>
            <w:r>
              <w:rPr>
                <w:rFonts w:ascii="Arial" w:cs="Arial" w:eastAsia="Arial" w:hAnsi="Arial"/>
                <w:sz w:val="18"/>
                <w:szCs w:val="18"/>
                <w:b w:val="1"/>
                <w:bCs w:val="1"/>
                <w:color w:val="auto"/>
                <w:w w:val="92"/>
              </w:rPr>
              <w:t>Identification and classification of the subsidiary which acquired the security being reported on by the parent holding company or</w:t>
            </w:r>
          </w:p>
        </w:tc>
      </w:tr>
      <w:tr>
        <w:trPr>
          <w:trHeight w:val="234"/>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b w:val="1"/>
                <w:bCs w:val="1"/>
                <w:color w:val="auto"/>
              </w:rPr>
              <w:t>control person.</w:t>
            </w:r>
          </w:p>
        </w:tc>
      </w:tr>
      <w:tr>
        <w:trPr>
          <w:trHeight w:val="432"/>
        </w:trPr>
        <w:tc>
          <w:tcPr>
            <w:tcW w:w="9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560" w:type="dxa"/>
            <w:vAlign w:val="bottom"/>
          </w:tcPr>
          <w:p>
            <w:pPr>
              <w:ind w:left="26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432"/>
        </w:trPr>
        <w:tc>
          <w:tcPr>
            <w:tcW w:w="90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560" w:type="dxa"/>
            <w:vAlign w:val="bottom"/>
          </w:tcPr>
          <w:p>
            <w:pPr>
              <w:ind w:left="260"/>
              <w:spacing w:after="0"/>
              <w:rPr>
                <w:sz w:val="20"/>
                <w:szCs w:val="20"/>
                <w:color w:val="auto"/>
              </w:rPr>
            </w:pPr>
            <w:r>
              <w:rPr>
                <w:rFonts w:ascii="Arial" w:cs="Arial" w:eastAsia="Arial" w:hAnsi="Arial"/>
                <w:sz w:val="18"/>
                <w:szCs w:val="18"/>
                <w:b w:val="1"/>
                <w:bCs w:val="1"/>
                <w:color w:val="auto"/>
              </w:rPr>
              <w:t>Notice of Dissolution of Group.</w:t>
            </w:r>
          </w:p>
        </w:tc>
      </w:tr>
      <w:tr>
        <w:trPr>
          <w:trHeight w:val="432"/>
        </w:trPr>
        <w:tc>
          <w:tcPr>
            <w:tcW w:w="90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560" w:type="dxa"/>
            <w:vAlign w:val="bottom"/>
          </w:tcPr>
          <w:p>
            <w:pPr>
              <w:ind w:left="260"/>
              <w:spacing w:after="0"/>
              <w:rPr>
                <w:sz w:val="20"/>
                <w:szCs w:val="20"/>
                <w:color w:val="auto"/>
              </w:rPr>
            </w:pPr>
            <w:r>
              <w:rPr>
                <w:rFonts w:ascii="Arial" w:cs="Arial" w:eastAsia="Arial" w:hAnsi="Arial"/>
                <w:sz w:val="18"/>
                <w:szCs w:val="18"/>
                <w:b w:val="1"/>
                <w:bCs w:val="1"/>
                <w:color w:val="auto"/>
              </w:rPr>
              <w:t>Certifications.</w:t>
            </w:r>
          </w:p>
        </w:tc>
      </w:tr>
      <w:tr>
        <w:trPr>
          <w:trHeight w:val="469"/>
        </w:trPr>
        <w:tc>
          <w:tcPr>
            <w:tcW w:w="900" w:type="dxa"/>
            <w:vAlign w:val="bottom"/>
          </w:tcPr>
          <w:p>
            <w:pPr>
              <w:spacing w:after="0"/>
              <w:rPr>
                <w:sz w:val="24"/>
                <w:szCs w:val="24"/>
                <w:color w:val="auto"/>
              </w:rPr>
            </w:pPr>
          </w:p>
        </w:tc>
        <w:tc>
          <w:tcPr>
            <w:tcW w:w="10560" w:type="dxa"/>
            <w:vAlign w:val="bottom"/>
          </w:tcPr>
          <w:p>
            <w:pPr>
              <w:ind w:left="4320"/>
              <w:spacing w:after="0"/>
              <w:rPr>
                <w:sz w:val="20"/>
                <w:szCs w:val="20"/>
                <w:color w:val="auto"/>
              </w:rPr>
            </w:pPr>
            <w:r>
              <w:rPr>
                <w:rFonts w:ascii="Arial" w:cs="Arial" w:eastAsia="Arial" w:hAnsi="Arial"/>
                <w:sz w:val="22"/>
                <w:szCs w:val="22"/>
                <w:color w:val="auto"/>
              </w:rPr>
              <w:t>Page 4 of 4</w:t>
            </w:r>
          </w:p>
        </w:tc>
      </w:tr>
      <w:tr>
        <w:trPr>
          <w:trHeight w:val="203"/>
        </w:trPr>
        <w:tc>
          <w:tcPr>
            <w:tcW w:w="900" w:type="dxa"/>
            <w:vAlign w:val="bottom"/>
          </w:tcPr>
          <w:p>
            <w:pPr>
              <w:spacing w:after="0"/>
              <w:rPr>
                <w:sz w:val="17"/>
                <w:szCs w:val="17"/>
                <w:color w:val="auto"/>
              </w:rPr>
            </w:pPr>
          </w:p>
        </w:tc>
        <w:tc>
          <w:tcPr>
            <w:tcW w:w="10560" w:type="dxa"/>
            <w:vAlign w:val="bottom"/>
          </w:tcPr>
          <w:p>
            <w:pPr>
              <w:spacing w:after="0"/>
              <w:rPr>
                <w:sz w:val="17"/>
                <w:szCs w:val="17"/>
                <w:color w:val="auto"/>
              </w:rPr>
            </w:pPr>
          </w:p>
        </w:tc>
      </w:tr>
      <w:tr>
        <w:trPr>
          <w:trHeight w:val="74"/>
        </w:trPr>
        <w:tc>
          <w:tcPr>
            <w:tcW w:w="900" w:type="dxa"/>
            <w:vAlign w:val="bottom"/>
            <w:shd w:val="clear" w:color="auto" w:fill="000000"/>
          </w:tcPr>
          <w:p>
            <w:pPr>
              <w:spacing w:after="0"/>
              <w:rPr>
                <w:sz w:val="6"/>
                <w:szCs w:val="6"/>
                <w:color w:val="auto"/>
              </w:rPr>
            </w:pPr>
          </w:p>
        </w:tc>
        <w:tc>
          <w:tcPr>
            <w:tcW w:w="10560" w:type="dxa"/>
            <w:vAlign w:val="bottom"/>
            <w:shd w:val="clear" w:color="auto" w:fill="000000"/>
          </w:tcPr>
          <w:p>
            <w:pPr>
              <w:spacing w:after="0"/>
              <w:rPr>
                <w:sz w:val="6"/>
                <w:szCs w:val="6"/>
                <w:color w:val="auto"/>
              </w:rPr>
            </w:pPr>
          </w:p>
        </w:tc>
      </w:tr>
    </w:tbl>
    <w:p>
      <w:pPr>
        <w:sectPr>
          <w:pgSz w:w="11900" w:h="16838" w:orient="portrait"/>
          <w:cols w:equalWidth="0" w:num="1">
            <w:col w:w="11460"/>
          </w:cols>
          <w:pgMar w:left="240" w:top="364" w:right="19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SIGNATURE</w:t>
      </w:r>
    </w:p>
    <w:p>
      <w:pPr>
        <w:spacing w:after="0" w:line="213"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14, 2019</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 Signature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Name/Title David A. Brewer, Chief Compliance Officer</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Attention: Intentional misstatements or omissions of fact constitute Federal criminal violations (See 18 U.S.C. 1001).</w:t>
      </w:r>
    </w:p>
    <w:p>
      <w:pPr>
        <w:spacing w:after="0" w:line="247"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Page 5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1)"/>
      <w:numFmt w:val="lowerLetter"/>
      <w:start w:val="1"/>
    </w:lvl>
    <w:lvl w:ilvl="1">
      <w:lvlJc w:val="left"/>
      <w:lvlText w:val="(%2)"/>
      <w:numFmt w:val="lowerLetter"/>
      <w:start w:val="2"/>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9"/>
      <w:numFmt w:val="bullet"/>
      <w:start w:val="1"/>
    </w:lvl>
  </w:abstractNum>
  <w:abstractNum w:abstractNumId="6">
    <w:nsid w:val="12200854"/>
    <w:multiLevelType w:val="hybridMultilevel"/>
    <w:lvl w:ilvl="0">
      <w:lvlJc w:val="left"/>
      <w:lvlText w:val="%1"/>
      <w:numFmt w:val="decimal"/>
      <w:start w:val="10"/>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2019-12-20T14:11:20Z</dcterms:created>
  <dcterms:modified xsi:type="dcterms:W3CDTF">2019-12-20T14:11:20Z</dcterms:modified>
</cp:coreProperties>
</file>