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70"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Report of Foreign Private Issuer</w:t>
      </w:r>
    </w:p>
    <w:p>
      <w:pPr>
        <w:ind w:left="4740"/>
        <w:spacing w:after="0" w:line="231" w:lineRule="auto"/>
        <w:rPr>
          <w:sz w:val="20"/>
          <w:szCs w:val="20"/>
          <w:color w:val="auto"/>
        </w:rPr>
      </w:pPr>
      <w:r>
        <w:rPr>
          <w:rFonts w:ascii="Arial" w:cs="Arial" w:eastAsia="Arial" w:hAnsi="Arial"/>
          <w:sz w:val="14"/>
          <w:szCs w:val="14"/>
          <w:b w:val="1"/>
          <w:bCs w:val="1"/>
          <w:color w:val="auto"/>
        </w:rPr>
        <w:t>Pursuant to Rule 13a - 16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June 30, 2008</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0-29714</w:t>
      </w:r>
    </w:p>
    <w:p>
      <w:pPr>
        <w:jc w:val="center"/>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South County Business Park, Leopardstown, Dublin 18, Ireland.</w:t>
      </w: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140"/>
        <w:spacing w:after="0"/>
        <w:tabs>
          <w:tab w:leader="none" w:pos="660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_</w:t>
      </w:r>
      <w:r>
        <w:rPr>
          <w:rFonts w:ascii="Arial" w:cs="Arial" w:eastAsia="Arial" w:hAnsi="Arial"/>
          <w:sz w:val="12"/>
          <w:szCs w:val="12"/>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ind w:left="4140"/>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w:t>
            </w:r>
          </w:p>
        </w:tc>
        <w:tc>
          <w:tcPr>
            <w:tcW w:w="5700" w:type="dxa"/>
            <w:vAlign w:val="bottom"/>
            <w:gridSpan w:val="4"/>
          </w:tcPr>
          <w:p>
            <w:pPr>
              <w:ind w:left="860"/>
              <w:spacing w:after="0"/>
              <w:rPr>
                <w:sz w:val="20"/>
                <w:szCs w:val="20"/>
                <w:color w:val="auto"/>
              </w:rPr>
            </w:pPr>
            <w:r>
              <w:rPr>
                <w:rFonts w:ascii="Arial" w:cs="Arial" w:eastAsia="Arial" w:hAnsi="Arial"/>
                <w:sz w:val="14"/>
                <w:szCs w:val="14"/>
                <w:color w:val="auto"/>
              </w:rPr>
              <w:t>No___</w:t>
            </w:r>
            <w:r>
              <w:rPr>
                <w:rFonts w:ascii="Arial" w:cs="Arial" w:eastAsia="Arial" w:hAnsi="Arial"/>
                <w:sz w:val="14"/>
                <w:szCs w:val="14"/>
                <w:b w:val="1"/>
                <w:bCs w:val="1"/>
                <w:color w:val="auto"/>
              </w:rPr>
              <w:t>X</w:t>
            </w:r>
            <w:r>
              <w:rPr>
                <w:rFonts w:ascii="Arial" w:cs="Arial" w:eastAsia="Arial" w:hAnsi="Arial"/>
                <w:sz w:val="14"/>
                <w:szCs w:val="14"/>
                <w:color w:val="auto"/>
              </w:rPr>
              <w:t>___</w:t>
            </w:r>
          </w:p>
        </w:tc>
      </w:tr>
      <w:tr>
        <w:trPr>
          <w:trHeight w:val="20"/>
        </w:trPr>
        <w:tc>
          <w:tcPr>
            <w:tcW w:w="6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00"/>
        </w:trPr>
        <w:tc>
          <w:tcPr>
            <w:tcW w:w="6720" w:type="dxa"/>
            <w:vAlign w:val="bottom"/>
            <w:gridSpan w:val="2"/>
          </w:tcPr>
          <w:p>
            <w:pPr>
              <w:spacing w:after="0"/>
              <w:rPr>
                <w:sz w:val="20"/>
                <w:szCs w:val="20"/>
                <w:color w:val="auto"/>
              </w:rPr>
            </w:pPr>
            <w:r>
              <w:rPr>
                <w:rFonts w:ascii="Arial" w:cs="Arial" w:eastAsia="Arial" w:hAnsi="Arial"/>
                <w:sz w:val="14"/>
                <w:szCs w:val="14"/>
                <w:color w:val="auto"/>
                <w:w w:val="96"/>
              </w:rPr>
              <w:t>If “Yes” is marked, indicate below the file number assigned to the registrant in connection with Rule 12g3-2(b):82</w:t>
            </w:r>
          </w:p>
        </w:tc>
        <w:tc>
          <w:tcPr>
            <w:tcW w:w="4700" w:type="dxa"/>
            <w:vAlign w:val="bottom"/>
            <w:gridSpan w:val="3"/>
          </w:tcPr>
          <w:p>
            <w:pPr>
              <w:ind w:left="120"/>
              <w:spacing w:after="0"/>
              <w:rPr>
                <w:sz w:val="20"/>
                <w:szCs w:val="20"/>
                <w:color w:val="auto"/>
              </w:rPr>
            </w:pPr>
            <w:r>
              <w:rPr>
                <w:rFonts w:ascii="Arial" w:cs="Arial" w:eastAsia="Arial" w:hAnsi="Arial"/>
                <w:sz w:val="14"/>
                <w:szCs w:val="14"/>
                <w:b w:val="1"/>
                <w:bCs w:val="1"/>
                <w:color w:val="auto"/>
              </w:rPr>
              <w:t>N/A</w:t>
            </w:r>
          </w:p>
        </w:tc>
      </w:tr>
      <w:tr>
        <w:trPr>
          <w:trHeight w:val="346"/>
        </w:trPr>
        <w:tc>
          <w:tcPr>
            <w:tcW w:w="57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Quarterly Period Ended June 30, 2008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gridSpan w:val="8"/>
          </w:tcPr>
          <w:p>
            <w:pPr>
              <w:spacing w:after="0"/>
              <w:rPr>
                <w:sz w:val="20"/>
                <w:szCs w:val="20"/>
                <w:color w:val="auto"/>
              </w:rPr>
            </w:pPr>
            <w:r>
              <w:rPr>
                <w:rFonts w:ascii="Arial" w:cs="Arial" w:eastAsia="Arial" w:hAnsi="Arial"/>
                <w:sz w:val="14"/>
                <w:szCs w:val="14"/>
                <w:b w:val="1"/>
                <w:bCs w:val="1"/>
                <w:color w:val="auto"/>
              </w:rPr>
              <w:t>CONTENTS</w:t>
            </w:r>
          </w:p>
        </w:tc>
        <w:tc>
          <w:tcPr>
            <w:tcW w:w="1540" w:type="dxa"/>
            <w:vAlign w:val="bottom"/>
            <w:gridSpan w:val="4"/>
          </w:tcPr>
          <w:p>
            <w:pPr>
              <w:ind w:left="1140"/>
              <w:spacing w:after="0"/>
              <w:rPr>
                <w:sz w:val="20"/>
                <w:szCs w:val="20"/>
                <w:color w:val="auto"/>
              </w:rPr>
            </w:pPr>
            <w:r>
              <w:rPr>
                <w:rFonts w:ascii="Arial" w:cs="Arial" w:eastAsia="Arial" w:hAnsi="Arial"/>
                <w:sz w:val="14"/>
                <w:szCs w:val="14"/>
                <w:b w:val="1"/>
                <w:bCs w:val="1"/>
                <w:color w:val="auto"/>
              </w:rPr>
              <w:t>Page</w:t>
            </w:r>
          </w:p>
        </w:tc>
      </w:tr>
      <w:tr>
        <w:trPr>
          <w:trHeight w:val="269"/>
        </w:trPr>
        <w:tc>
          <w:tcPr>
            <w:tcW w:w="9880" w:type="dxa"/>
            <w:vAlign w:val="bottom"/>
            <w:gridSpan w:val="8"/>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General</w:t>
              </w:r>
            </w:hyperlink>
          </w:p>
        </w:tc>
        <w:tc>
          <w:tcPr>
            <w:tcW w:w="1540" w:type="dxa"/>
            <w:vAlign w:val="bottom"/>
            <w:gridSpan w:val="4"/>
          </w:tcPr>
          <w:p>
            <w:pPr>
              <w:jc w:val="right"/>
              <w:ind w:right="100"/>
              <w:spacing w:after="0"/>
              <w:rPr>
                <w:rFonts w:ascii="Arial" w:cs="Arial" w:eastAsia="Arial" w:hAnsi="Arial"/>
                <w:sz w:val="14"/>
                <w:szCs w:val="14"/>
                <w:color w:val="0000EE"/>
              </w:rPr>
            </w:pPr>
            <w:hyperlink w:anchor="page4">
              <w:r>
                <w:rPr>
                  <w:rFonts w:ascii="Arial" w:cs="Arial" w:eastAsia="Arial" w:hAnsi="Arial"/>
                  <w:sz w:val="14"/>
                  <w:szCs w:val="14"/>
                  <w:color w:val="0000EE"/>
                </w:rPr>
                <w:t>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900" w:type="dxa"/>
            <w:vAlign w:val="bottom"/>
            <w:tcBorders>
              <w:bottom w:val="single" w:sz="8" w:color="0000EE"/>
            </w:tcBorders>
            <w:gridSpan w:val="4"/>
          </w:tcPr>
          <w:p>
            <w:pPr>
              <w:spacing w:after="0"/>
              <w:rPr>
                <w:rFonts w:ascii="Arial" w:cs="Arial" w:eastAsia="Arial" w:hAnsi="Arial"/>
                <w:sz w:val="14"/>
                <w:szCs w:val="14"/>
                <w:color w:val="0000EE"/>
                <w:w w:val="90"/>
              </w:rPr>
            </w:pPr>
            <w:hyperlink w:anchor="page5">
              <w:r>
                <w:rPr>
                  <w:rFonts w:ascii="Arial" w:cs="Arial" w:eastAsia="Arial" w:hAnsi="Arial"/>
                  <w:sz w:val="14"/>
                  <w:szCs w:val="14"/>
                  <w:color w:val="0000EE"/>
                  <w:w w:val="90"/>
                </w:rPr>
                <w:t>Condensed Consolidated Balance Sheets as at June 30, 2008 and December 31, 2007</w:t>
              </w:r>
            </w:hyperlink>
          </w:p>
        </w:tc>
        <w:tc>
          <w:tcPr>
            <w:tcW w:w="4980" w:type="dxa"/>
            <w:vAlign w:val="bottom"/>
            <w:gridSpan w:val="4"/>
          </w:tcPr>
          <w:p>
            <w:pPr>
              <w:spacing w:after="0"/>
              <w:rPr>
                <w:sz w:val="24"/>
                <w:szCs w:val="24"/>
                <w:color w:val="auto"/>
              </w:rPr>
            </w:pPr>
          </w:p>
        </w:tc>
        <w:tc>
          <w:tcPr>
            <w:tcW w:w="136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5">
              <w:r>
                <w:rPr>
                  <w:rFonts w:ascii="Arial" w:cs="Arial" w:eastAsia="Arial" w:hAnsi="Arial"/>
                  <w:sz w:val="14"/>
                  <w:szCs w:val="14"/>
                  <w:color w:val="0000EE"/>
                  <w:w w:val="76"/>
                </w:rPr>
                <w:t>3</w:t>
              </w:r>
            </w:hyperlink>
          </w:p>
        </w:tc>
        <w:tc>
          <w:tcPr>
            <w:tcW w:w="100" w:type="dxa"/>
            <w:vAlign w:val="bottom"/>
          </w:tcPr>
          <w:p>
            <w:pPr>
              <w:spacing w:after="0"/>
              <w:rPr>
                <w:sz w:val="24"/>
                <w:szCs w:val="24"/>
                <w:color w:val="auto"/>
              </w:rPr>
            </w:pPr>
          </w:p>
        </w:tc>
      </w:tr>
      <w:tr>
        <w:trPr>
          <w:trHeight w:val="277"/>
        </w:trPr>
        <w:tc>
          <w:tcPr>
            <w:tcW w:w="9880" w:type="dxa"/>
            <w:vAlign w:val="bottom"/>
            <w:gridSpan w:val="8"/>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Operations for the three and six months ended June 30, 2008 and the three and six months ended June 30, 2007.</w:t>
              </w:r>
            </w:hyperlink>
          </w:p>
        </w:tc>
        <w:tc>
          <w:tcPr>
            <w:tcW w:w="1540" w:type="dxa"/>
            <w:vAlign w:val="bottom"/>
            <w:gridSpan w:val="4"/>
          </w:tcPr>
          <w:p>
            <w:pPr>
              <w:jc w:val="right"/>
              <w:ind w:right="100"/>
              <w:spacing w:after="0"/>
              <w:rPr>
                <w:rFonts w:ascii="Arial" w:cs="Arial" w:eastAsia="Arial" w:hAnsi="Arial"/>
                <w:sz w:val="14"/>
                <w:szCs w:val="14"/>
                <w:color w:val="0000EE"/>
              </w:rPr>
            </w:pPr>
            <w:hyperlink w:anchor="page6">
              <w:r>
                <w:rPr>
                  <w:rFonts w:ascii="Arial" w:cs="Arial" w:eastAsia="Arial" w:hAnsi="Arial"/>
                  <w:sz w:val="14"/>
                  <w:szCs w:val="14"/>
                  <w:color w:val="0000EE"/>
                </w:rPr>
                <w:t>4</w:t>
              </w:r>
            </w:hyperlink>
          </w:p>
        </w:tc>
      </w:tr>
      <w:tr>
        <w:trPr>
          <w:trHeight w:val="277"/>
        </w:trPr>
        <w:tc>
          <w:tcPr>
            <w:tcW w:w="766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1"/>
              </w:rPr>
            </w:pPr>
            <w:hyperlink w:anchor="page7">
              <w:r>
                <w:rPr>
                  <w:rFonts w:ascii="Arial" w:cs="Arial" w:eastAsia="Arial" w:hAnsi="Arial"/>
                  <w:sz w:val="14"/>
                  <w:szCs w:val="14"/>
                  <w:color w:val="0000EE"/>
                  <w:w w:val="91"/>
                </w:rPr>
                <w:t>Condensed Consolidated Statements of Cash Flows for the six months ended June 30, 2008 and the six months ended June 30, 2007.</w:t>
              </w:r>
            </w:hyperlink>
          </w:p>
        </w:tc>
        <w:tc>
          <w:tcPr>
            <w:tcW w:w="10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4"/>
                <w:szCs w:val="14"/>
                <w:color w:val="0000EE"/>
                <w:w w:val="76"/>
              </w:rPr>
            </w:pPr>
            <w:hyperlink w:anchor="page7">
              <w:r>
                <w:rPr>
                  <w:rFonts w:ascii="Arial" w:cs="Arial" w:eastAsia="Arial" w:hAnsi="Arial"/>
                  <w:sz w:val="14"/>
                  <w:szCs w:val="14"/>
                  <w:color w:val="0000EE"/>
                  <w:w w:val="76"/>
                </w:rPr>
                <w:t>5</w:t>
              </w:r>
            </w:hyperlink>
          </w:p>
        </w:tc>
        <w:tc>
          <w:tcPr>
            <w:tcW w:w="100" w:type="dxa"/>
            <w:vAlign w:val="bottom"/>
          </w:tcPr>
          <w:p>
            <w:pPr>
              <w:spacing w:after="0"/>
              <w:rPr>
                <w:sz w:val="24"/>
                <w:szCs w:val="24"/>
                <w:color w:val="auto"/>
              </w:rPr>
            </w:pPr>
          </w:p>
        </w:tc>
      </w:tr>
      <w:tr>
        <w:trPr>
          <w:trHeight w:val="277"/>
        </w:trPr>
        <w:tc>
          <w:tcPr>
            <w:tcW w:w="5180" w:type="dxa"/>
            <w:vAlign w:val="bottom"/>
            <w:tcBorders>
              <w:bottom w:val="single" w:sz="8" w:color="0000EE"/>
            </w:tcBorders>
            <w:gridSpan w:val="5"/>
          </w:tcPr>
          <w:p>
            <w:pPr>
              <w:spacing w:after="0"/>
              <w:rPr>
                <w:rFonts w:ascii="Arial" w:cs="Arial" w:eastAsia="Arial" w:hAnsi="Arial"/>
                <w:sz w:val="14"/>
                <w:szCs w:val="14"/>
                <w:color w:val="0000EE"/>
                <w:w w:val="92"/>
              </w:rPr>
            </w:pPr>
            <w:hyperlink w:anchor="page8">
              <w:r>
                <w:rPr>
                  <w:rFonts w:ascii="Arial" w:cs="Arial" w:eastAsia="Arial" w:hAnsi="Arial"/>
                  <w:sz w:val="14"/>
                  <w:szCs w:val="14"/>
                  <w:color w:val="0000EE"/>
                  <w:w w:val="92"/>
                </w:rPr>
                <w:t>Condensed Consolidated Statements of Shareholders’ Equity and Comprehensive Income</w:t>
              </w:r>
            </w:hyperlink>
          </w:p>
        </w:tc>
        <w:tc>
          <w:tcPr>
            <w:tcW w:w="470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8">
              <w:r>
                <w:rPr>
                  <w:rFonts w:ascii="Arial" w:cs="Arial" w:eastAsia="Arial" w:hAnsi="Arial"/>
                  <w:sz w:val="14"/>
                  <w:szCs w:val="14"/>
                  <w:color w:val="0000EE"/>
                  <w:w w:val="76"/>
                </w:rPr>
                <w:t>6</w:t>
              </w:r>
            </w:hyperlink>
          </w:p>
        </w:tc>
        <w:tc>
          <w:tcPr>
            <w:tcW w:w="100" w:type="dxa"/>
            <w:vAlign w:val="bottom"/>
          </w:tcPr>
          <w:p>
            <w:pPr>
              <w:spacing w:after="0"/>
              <w:rPr>
                <w:sz w:val="24"/>
                <w:szCs w:val="24"/>
                <w:color w:val="auto"/>
              </w:rPr>
            </w:pPr>
          </w:p>
        </w:tc>
      </w:tr>
      <w:tr>
        <w:trPr>
          <w:trHeight w:val="277"/>
        </w:trPr>
        <w:tc>
          <w:tcPr>
            <w:tcW w:w="3420" w:type="dxa"/>
            <w:vAlign w:val="bottom"/>
            <w:tcBorders>
              <w:bottom w:val="single" w:sz="8" w:color="0000EE"/>
            </w:tcBorders>
            <w:gridSpan w:val="3"/>
          </w:tcPr>
          <w:p>
            <w:pPr>
              <w:spacing w:after="0"/>
              <w:rPr>
                <w:rFonts w:ascii="Arial" w:cs="Arial" w:eastAsia="Arial" w:hAnsi="Arial"/>
                <w:sz w:val="14"/>
                <w:szCs w:val="14"/>
                <w:color w:val="0000EE"/>
                <w:w w:val="91"/>
              </w:rPr>
            </w:pPr>
            <w:hyperlink w:anchor="page9">
              <w:r>
                <w:rPr>
                  <w:rFonts w:ascii="Arial" w:cs="Arial" w:eastAsia="Arial" w:hAnsi="Arial"/>
                  <w:sz w:val="14"/>
                  <w:szCs w:val="14"/>
                  <w:color w:val="0000EE"/>
                  <w:w w:val="91"/>
                </w:rPr>
                <w:t>Notes to the Condensed Consolidated Financial Statements</w:t>
              </w:r>
            </w:hyperlink>
          </w:p>
        </w:tc>
        <w:tc>
          <w:tcPr>
            <w:tcW w:w="6460" w:type="dxa"/>
            <w:vAlign w:val="bottom"/>
            <w:gridSpan w:val="5"/>
          </w:tcPr>
          <w:p>
            <w:pPr>
              <w:spacing w:after="0"/>
              <w:rPr>
                <w:sz w:val="24"/>
                <w:szCs w:val="24"/>
                <w:color w:val="auto"/>
              </w:rPr>
            </w:pPr>
          </w:p>
        </w:tc>
        <w:tc>
          <w:tcPr>
            <w:tcW w:w="136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9">
              <w:r>
                <w:rPr>
                  <w:rFonts w:ascii="Arial" w:cs="Arial" w:eastAsia="Arial" w:hAnsi="Arial"/>
                  <w:sz w:val="14"/>
                  <w:szCs w:val="14"/>
                  <w:color w:val="0000EE"/>
                  <w:w w:val="76"/>
                </w:rPr>
                <w:t>7</w:t>
              </w:r>
            </w:hyperlink>
          </w:p>
        </w:tc>
        <w:tc>
          <w:tcPr>
            <w:tcW w:w="100" w:type="dxa"/>
            <w:vAlign w:val="bottom"/>
          </w:tcPr>
          <w:p>
            <w:pPr>
              <w:spacing w:after="0"/>
              <w:rPr>
                <w:sz w:val="24"/>
                <w:szCs w:val="24"/>
                <w:color w:val="auto"/>
              </w:rPr>
            </w:pPr>
          </w:p>
        </w:tc>
      </w:tr>
      <w:tr>
        <w:trPr>
          <w:trHeight w:val="277"/>
        </w:trPr>
        <w:tc>
          <w:tcPr>
            <w:tcW w:w="5180" w:type="dxa"/>
            <w:vAlign w:val="bottom"/>
            <w:tcBorders>
              <w:bottom w:val="single" w:sz="8" w:color="0000EE"/>
            </w:tcBorders>
            <w:gridSpan w:val="5"/>
          </w:tcPr>
          <w:p>
            <w:pPr>
              <w:spacing w:after="0"/>
              <w:rPr>
                <w:rFonts w:ascii="Arial" w:cs="Arial" w:eastAsia="Arial" w:hAnsi="Arial"/>
                <w:sz w:val="14"/>
                <w:szCs w:val="14"/>
                <w:color w:val="0000EE"/>
                <w:w w:val="93"/>
              </w:rPr>
            </w:pPr>
            <w:hyperlink w:anchor="page17">
              <w:r>
                <w:rPr>
                  <w:rFonts w:ascii="Arial" w:cs="Arial" w:eastAsia="Arial" w:hAnsi="Arial"/>
                  <w:sz w:val="14"/>
                  <w:szCs w:val="14"/>
                  <w:color w:val="0000EE"/>
                  <w:w w:val="93"/>
                </w:rPr>
                <w:t>Management’s Discussion and Analysis of Financial Condition and Results of Operations</w:t>
              </w:r>
            </w:hyperlink>
          </w:p>
        </w:tc>
        <w:tc>
          <w:tcPr>
            <w:tcW w:w="4700" w:type="dxa"/>
            <w:vAlign w:val="bottom"/>
            <w:gridSpan w:val="3"/>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15</w:t>
              </w:r>
            </w:hyperlink>
          </w:p>
        </w:tc>
        <w:tc>
          <w:tcPr>
            <w:tcW w:w="100" w:type="dxa"/>
            <w:vAlign w:val="bottom"/>
          </w:tcPr>
          <w:p>
            <w:pPr>
              <w:spacing w:after="0"/>
              <w:rPr>
                <w:sz w:val="24"/>
                <w:szCs w:val="24"/>
                <w:color w:val="auto"/>
              </w:rPr>
            </w:pPr>
          </w:p>
        </w:tc>
      </w:tr>
      <w:tr>
        <w:trPr>
          <w:trHeight w:val="277"/>
        </w:trPr>
        <w:tc>
          <w:tcPr>
            <w:tcW w:w="9880" w:type="dxa"/>
            <w:vAlign w:val="bottom"/>
            <w:gridSpan w:val="8"/>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Signature Page</w:t>
              </w:r>
            </w:hyperlink>
          </w:p>
        </w:tc>
        <w:tc>
          <w:tcPr>
            <w:tcW w:w="1540" w:type="dxa"/>
            <w:vAlign w:val="bottom"/>
            <w:gridSpan w:val="4"/>
          </w:tcPr>
          <w:p>
            <w:pPr>
              <w:jc w:val="right"/>
              <w:ind w:right="100"/>
              <w:spacing w:after="0"/>
              <w:rPr>
                <w:rFonts w:ascii="Arial" w:cs="Arial" w:eastAsia="Arial" w:hAnsi="Arial"/>
                <w:sz w:val="14"/>
                <w:szCs w:val="14"/>
                <w:color w:val="0000EE"/>
              </w:rPr>
            </w:pPr>
            <w:hyperlink w:anchor="page23">
              <w:r>
                <w:rPr>
                  <w:rFonts w:ascii="Arial" w:cs="Arial" w:eastAsia="Arial" w:hAnsi="Arial"/>
                  <w:sz w:val="14"/>
                  <w:szCs w:val="14"/>
                  <w:color w:val="0000EE"/>
                </w:rPr>
                <w:t>21</w:t>
              </w:r>
            </w:hyperlink>
          </w:p>
        </w:tc>
      </w:tr>
      <w:tr>
        <w:trPr>
          <w:trHeight w:val="355"/>
        </w:trPr>
        <w:tc>
          <w:tcPr>
            <w:tcW w:w="46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8"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the “Company” and “we” refer to ICON plc and its consolidated subsidiaries, unless the context requires otherwise.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June 30, 2008, we had approximately 6,510 employees worldwide, with operations in 71 locations in 38 countries, including the United States and major markets in Europe and Rest of World. For the six months ended June 30, 2008 we derived approximately 46.1%, 47.3% and 6.6% of our net revenue in the United States, Europe and Rest of World,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February 11, 2008, the Company acquired 100% of the common stock of Healthcare Discoveries Inc. (“Healthcare Discoveries”) for an initial cash consideration of approximately $11.1 million, excluding costs of acquisition. Healthcare Discoveries, located in San Antonio, Texas, USA, is engaged in the provision of Phase I clinical trials management activities. Further consideration of up to $10.0 million may become payable during the year ended December 31, 2008, if certain performance milestones are achieved.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February 4, 2008, an uncommitted credit facility was negotiated with Citibank N.A, for $30 million. Interest is calculated at the London Interbank Market rate plus a margin. On June 30, 2008, $12.0 million of this facility was drawn, primarily to fund the acquisition of Healthcare Discoveries.</w:t>
      </w:r>
    </w:p>
    <w:p>
      <w:pPr>
        <w:spacing w:after="0" w:line="201" w:lineRule="exact"/>
        <w:rPr>
          <w:sz w:val="20"/>
          <w:szCs w:val="20"/>
          <w:color w:val="auto"/>
        </w:rPr>
      </w:pPr>
    </w:p>
    <w:p>
      <w:pPr>
        <w:ind w:right="320"/>
        <w:spacing w:after="0" w:line="238" w:lineRule="auto"/>
        <w:rPr>
          <w:sz w:val="20"/>
          <w:szCs w:val="20"/>
          <w:color w:val="auto"/>
        </w:rPr>
      </w:pPr>
      <w:r>
        <w:rPr>
          <w:rFonts w:ascii="Arial" w:cs="Arial" w:eastAsia="Arial" w:hAnsi="Arial"/>
          <w:sz w:val="14"/>
          <w:szCs w:val="14"/>
          <w:color w:val="auto"/>
        </w:rPr>
        <w:t>On July 12, 2007, the Company acquired 100% of the common stock of DOCS International, a European based clinical research staffing organization, for a cash consideration of approximately €29.5 million ($40.6 million). DOCS International operates in eight European countries and focuses on the training and supply of contract and permanent clinical research personnel to the pharmaceutical and biotech industry.</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($55.3 million) with The Governor and Company of the Bank of Ireland. The facility bears interest at an annual rate equal to the reference rate of EURIBOR plus a margin. Our obligations under the facility are secured by certain composite guarantees and indemnities and pledges in favour of the bank. On July 10, 2007, the Company drew down €29.5 million ($46.6 million) of the facility to fund the acquisition of DOCS International. On October 15, 2007, the remaining €5.5 million ($8.7 million) of the facility was drawn down to cover head office expansion in Ireland.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October 17, 2007, an uncommitted credit facility was negotiated with Allied Irish Banks plc, for €30 million ($47.4 million). Interest is calculated at the EUR Interbank rate plus a margin. The facility is secured by the same composite guarantees and indemnities in place for the Bank of Ireland committed facility. On December 31, 2007, this facility was fully drawn. The funds were used to refinance overdraft facilities in place to fund expenditure on the head office expansion. On January 8, 2008, the facility with Allied Irish Banks plc was increased to €50 million ($79.0 million). All terms of this facility remain the same. On June 30, 2008, €25.4 million ($40.1 million) of this facility was drawn. The facility is due to be reviewed on October 31, 2008.</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jc w:val="center"/>
              <w:ind w:left="3228"/>
              <w:spacing w:after="0"/>
              <w:rPr>
                <w:sz w:val="20"/>
                <w:szCs w:val="20"/>
                <w:color w:val="auto"/>
              </w:rPr>
            </w:pPr>
            <w:r>
              <w:rPr>
                <w:rFonts w:ascii="Arial" w:cs="Arial" w:eastAsia="Arial" w:hAnsi="Arial"/>
                <w:sz w:val="14"/>
                <w:szCs w:val="14"/>
                <w:b w:val="1"/>
                <w:bCs w:val="1"/>
                <w:color w:val="auto"/>
              </w:rPr>
              <w:t>ICON plc</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jc w:val="center"/>
              <w:ind w:left="3228"/>
              <w:spacing w:after="0" w:line="149" w:lineRule="exact"/>
              <w:rPr>
                <w:sz w:val="20"/>
                <w:szCs w:val="20"/>
                <w:color w:val="auto"/>
              </w:rPr>
            </w:pPr>
            <w:r>
              <w:rPr>
                <w:rFonts w:ascii="Arial" w:cs="Arial" w:eastAsia="Arial" w:hAnsi="Arial"/>
                <w:sz w:val="14"/>
                <w:szCs w:val="14"/>
                <w:b w:val="1"/>
                <w:bCs w:val="1"/>
                <w:color w:val="auto"/>
              </w:rPr>
              <w:t>CONDENSED CONSOLIDATED BALANCE SHEETS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100" w:type="dxa"/>
            <w:vAlign w:val="bottom"/>
          </w:tcPr>
          <w:p>
            <w:pPr>
              <w:jc w:val="center"/>
              <w:ind w:left="3208"/>
              <w:spacing w:after="0"/>
              <w:rPr>
                <w:sz w:val="20"/>
                <w:szCs w:val="20"/>
                <w:color w:val="auto"/>
              </w:rPr>
            </w:pPr>
            <w:r>
              <w:rPr>
                <w:rFonts w:ascii="Arial" w:cs="Arial" w:eastAsia="Arial" w:hAnsi="Arial"/>
                <w:sz w:val="14"/>
                <w:szCs w:val="14"/>
                <w:b w:val="1"/>
                <w:bCs w:val="1"/>
                <w:color w:val="auto"/>
                <w:w w:val="97"/>
              </w:rPr>
              <w:t>AS AT JUNE 30, 2008 AND DECEMBER 31, 2007</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4"/>
          </w:tcPr>
          <w:p>
            <w:pPr>
              <w:jc w:val="center"/>
              <w:ind w:right="748"/>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12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and cash equivalents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71,663</w:t>
            </w:r>
          </w:p>
        </w:tc>
        <w:tc>
          <w:tcPr>
            <w:tcW w:w="3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Short term investments - available for sale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42,726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221,480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Unbilled revenue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146,152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receivables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9,779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Deferred tax asset</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8,911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Prepayments and other current assets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21,778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Income taxes receivable</w:t>
            </w: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Total current assets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523,295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423,146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Property, plant and equipment, net</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165,183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Goodwill</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141,199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other assets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2,347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receivable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3,299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asset</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7,150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Intangible asset</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1,495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843,968</w:t>
            </w:r>
          </w:p>
        </w:tc>
        <w:tc>
          <w:tcPr>
            <w:tcW w:w="3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LIABILITIES AND SHAREHOLDERS’ EQUITY</w:t>
            </w:r>
          </w:p>
        </w:tc>
        <w:tc>
          <w:tcPr>
            <w:tcW w:w="7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13,233</w:t>
            </w:r>
          </w:p>
        </w:tc>
        <w:tc>
          <w:tcPr>
            <w:tcW w:w="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Payments on account</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165,218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78,098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 liability</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Bank credit lines and loan facilities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59,029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5,018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Total current liabilities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321,433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Long term government grants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1,210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Long term finance leases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payable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15,268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liability</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7,088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Non-current other liabilities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1,570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bank credit lines &amp; loan facilities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48,371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ind w:left="320"/>
              <w:spacing w:after="0" w:line="149" w:lineRule="exact"/>
              <w:rPr>
                <w:sz w:val="20"/>
                <w:szCs w:val="20"/>
                <w:color w:val="auto"/>
              </w:rPr>
            </w:pPr>
            <w:r>
              <w:rPr>
                <w:rFonts w:ascii="Arial" w:cs="Arial" w:eastAsia="Arial" w:hAnsi="Arial"/>
                <w:sz w:val="14"/>
                <w:szCs w:val="14"/>
                <w:color w:val="auto"/>
              </w:rPr>
              <w:t>Minority interest</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1,841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Shareholders' Equity:</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8120" w:type="dxa"/>
            <w:vAlign w:val="bottom"/>
            <w:gridSpan w:val="2"/>
          </w:tcPr>
          <w:p>
            <w:pPr>
              <w:spacing w:after="0"/>
              <w:rPr>
                <w:sz w:val="20"/>
                <w:szCs w:val="20"/>
                <w:color w:val="auto"/>
              </w:rPr>
            </w:pPr>
            <w:r>
              <w:rPr>
                <w:rFonts w:ascii="Arial" w:cs="Arial" w:eastAsia="Arial" w:hAnsi="Arial"/>
                <w:sz w:val="14"/>
                <w:szCs w:val="14"/>
                <w:color w:val="auto"/>
              </w:rPr>
              <w:t>Ordinary shares, par value 6 euro cents per share; 40,000,000 shares authorized,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120" w:type="dxa"/>
            <w:vAlign w:val="bottom"/>
            <w:gridSpan w:val="2"/>
          </w:tcPr>
          <w:p>
            <w:pPr>
              <w:spacing w:after="0"/>
              <w:rPr>
                <w:sz w:val="20"/>
                <w:szCs w:val="20"/>
                <w:color w:val="auto"/>
              </w:rPr>
            </w:pPr>
            <w:r>
              <w:rPr>
                <w:rFonts w:ascii="Arial" w:cs="Arial" w:eastAsia="Arial" w:hAnsi="Arial"/>
                <w:sz w:val="14"/>
                <w:szCs w:val="14"/>
                <w:color w:val="auto"/>
              </w:rPr>
              <w:t>29,186,116 shares issued and outstanding at June 30, 2008 and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120" w:type="dxa"/>
            <w:vAlign w:val="bottom"/>
            <w:gridSpan w:val="2"/>
          </w:tcPr>
          <w:p>
            <w:pPr>
              <w:spacing w:after="0"/>
              <w:rPr>
                <w:sz w:val="20"/>
                <w:szCs w:val="20"/>
                <w:color w:val="auto"/>
              </w:rPr>
            </w:pPr>
            <w:r>
              <w:rPr>
                <w:rFonts w:ascii="Arial" w:cs="Arial" w:eastAsia="Arial" w:hAnsi="Arial"/>
                <w:sz w:val="14"/>
                <w:szCs w:val="14"/>
                <w:color w:val="auto"/>
              </w:rPr>
              <w:t>28,835,244 shares issued and outstanding at December 31, 2007</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159,957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41,237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243,805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208,090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Total Shareholders' Equity</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447,157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388,400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843,968</w:t>
            </w:r>
          </w:p>
        </w:tc>
        <w:tc>
          <w:tcPr>
            <w:tcW w:w="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vMerge w:val="restart"/>
          </w:tcPr>
          <w:p>
            <w:pPr>
              <w:ind w:left="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20" w:type="dxa"/>
            <w:vAlign w:val="bottom"/>
            <w:gridSpan w:val="2"/>
          </w:tcPr>
          <w:p>
            <w:pPr>
              <w:jc w:val="center"/>
              <w:ind w:left="3228"/>
              <w:spacing w:after="0"/>
              <w:rPr>
                <w:sz w:val="20"/>
                <w:szCs w:val="20"/>
                <w:color w:val="auto"/>
              </w:rPr>
            </w:pPr>
            <w:r>
              <w:rPr>
                <w:rFonts w:ascii="Arial" w:cs="Arial" w:eastAsia="Arial" w:hAnsi="Arial"/>
                <w:sz w:val="14"/>
                <w:szCs w:val="14"/>
                <w:color w:val="auto"/>
                <w:w w:val="76"/>
              </w:rPr>
              <w:t>3</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40" w:type="dxa"/>
            <w:vAlign w:val="bottom"/>
            <w:gridSpan w:val="2"/>
          </w:tcPr>
          <w:p>
            <w:pPr>
              <w:jc w:val="center"/>
              <w:ind w:left="2328"/>
              <w:spacing w:after="0"/>
              <w:rPr>
                <w:sz w:val="20"/>
                <w:szCs w:val="20"/>
                <w:color w:val="auto"/>
              </w:rPr>
            </w:pPr>
            <w:r>
              <w:rPr>
                <w:rFonts w:ascii="Arial" w:cs="Arial" w:eastAsia="Arial" w:hAnsi="Arial"/>
                <w:sz w:val="14"/>
                <w:szCs w:val="14"/>
                <w:b w:val="1"/>
                <w:bCs w:val="1"/>
                <w:color w:val="auto"/>
              </w:rPr>
              <w:t>ICON plc</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920" w:type="dxa"/>
            <w:vAlign w:val="bottom"/>
            <w:gridSpan w:val="7"/>
          </w:tcPr>
          <w:p>
            <w:pPr>
              <w:jc w:val="center"/>
              <w:ind w:right="28"/>
              <w:spacing w:after="0"/>
              <w:rPr>
                <w:sz w:val="20"/>
                <w:szCs w:val="20"/>
                <w:color w:val="auto"/>
              </w:rPr>
            </w:pPr>
            <w:r>
              <w:rPr>
                <w:rFonts w:ascii="Arial" w:cs="Arial" w:eastAsia="Arial" w:hAnsi="Arial"/>
                <w:sz w:val="14"/>
                <w:szCs w:val="14"/>
                <w:b w:val="1"/>
                <w:bCs w:val="1"/>
                <w:color w:val="auto"/>
              </w:rPr>
              <w:t>CONDENSED CONSOLIDATED STATEMENTS OF OPERATIONS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920" w:type="dxa"/>
            <w:vAlign w:val="bottom"/>
            <w:gridSpan w:val="7"/>
          </w:tcPr>
          <w:p>
            <w:pPr>
              <w:jc w:val="center"/>
              <w:ind w:right="28"/>
              <w:spacing w:after="0" w:line="149" w:lineRule="exact"/>
              <w:rPr>
                <w:sz w:val="20"/>
                <w:szCs w:val="20"/>
                <w:color w:val="auto"/>
              </w:rPr>
            </w:pPr>
            <w:r>
              <w:rPr>
                <w:rFonts w:ascii="Arial" w:cs="Arial" w:eastAsia="Arial" w:hAnsi="Arial"/>
                <w:sz w:val="14"/>
                <w:szCs w:val="14"/>
                <w:b w:val="1"/>
                <w:bCs w:val="1"/>
                <w:color w:val="auto"/>
              </w:rPr>
              <w:t>FOR THE THREE AND SIX MONTHS ENDED JUNE 30, 2008 AND JUNE 30, 2007</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40" w:type="dxa"/>
            <w:vAlign w:val="bottom"/>
            <w:gridSpan w:val="2"/>
          </w:tcPr>
          <w:p>
            <w:pPr>
              <w:jc w:val="center"/>
              <w:ind w:left="2328"/>
              <w:spacing w:after="0"/>
              <w:rPr>
                <w:sz w:val="20"/>
                <w:szCs w:val="20"/>
                <w:color w:val="auto"/>
              </w:rPr>
            </w:pPr>
            <w:r>
              <w:rPr>
                <w:rFonts w:ascii="Arial" w:cs="Arial" w:eastAsia="Arial" w:hAnsi="Arial"/>
                <w:sz w:val="14"/>
                <w:szCs w:val="14"/>
                <w:b w:val="1"/>
                <w:bCs w:val="1"/>
                <w:color w:val="auto"/>
              </w:rPr>
              <w:t>(UNAUDITED)</w:t>
            </w:r>
          </w:p>
        </w:tc>
        <w:tc>
          <w:tcPr>
            <w:tcW w:w="2480" w:type="dxa"/>
            <w:vAlign w:val="bottom"/>
            <w:gridSpan w:val="5"/>
            <w:vMerge w:val="restart"/>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480" w:type="dxa"/>
            <w:vAlign w:val="bottom"/>
            <w:gridSpan w:val="7"/>
            <w:vMerge w:val="restart"/>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28"/>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108"/>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ind w:left="140"/>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28"/>
              <w:spacing w:after="0" w:line="14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108"/>
              <w:spacing w:after="0" w:line="149"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8"/>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00" w:type="dxa"/>
            <w:vAlign w:val="bottom"/>
            <w:gridSpan w:val="2"/>
            <w:vMerge w:val="restart"/>
          </w:tcPr>
          <w:p>
            <w:pPr>
              <w:spacing w:after="0"/>
              <w:rPr>
                <w:sz w:val="20"/>
                <w:szCs w:val="20"/>
                <w:color w:val="auto"/>
              </w:rPr>
            </w:pPr>
            <w:r>
              <w:rPr>
                <w:rFonts w:ascii="Arial" w:cs="Arial" w:eastAsia="Arial" w:hAnsi="Arial"/>
                <w:sz w:val="14"/>
                <w:szCs w:val="14"/>
                <w:color w:val="auto"/>
              </w:rPr>
              <w:t>Revenue:</w:t>
            </w:r>
          </w:p>
        </w:tc>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w w:val="81"/>
              </w:rPr>
              <w:t>(in</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thousands except</w:t>
            </w: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w w:val="90"/>
              </w:rPr>
              <w:t>share and per share data)</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800" w:type="dxa"/>
            <w:vAlign w:val="bottom"/>
            <w:gridSpan w:val="2"/>
            <w:vMerge w:val="continue"/>
          </w:tcPr>
          <w:p>
            <w:pPr>
              <w:spacing w:after="0"/>
              <w:rPr>
                <w:sz w:val="9"/>
                <w:szCs w:val="9"/>
                <w:color w:val="auto"/>
              </w:rPr>
            </w:pPr>
          </w:p>
        </w:tc>
        <w:tc>
          <w:tcPr>
            <w:tcW w:w="3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3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316,592</w:t>
            </w:r>
          </w:p>
        </w:tc>
        <w:tc>
          <w:tcPr>
            <w:tcW w:w="3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207,383</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600,445</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394,123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Subcontractor costs</w:t>
            </w:r>
          </w:p>
        </w:tc>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(98,292)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(60,336)</w:t>
            </w:r>
          </w:p>
        </w:tc>
        <w:tc>
          <w:tcPr>
            <w:tcW w:w="220" w:type="dxa"/>
            <w:vAlign w:val="bottom"/>
          </w:tcPr>
          <w:p>
            <w:pPr>
              <w:spacing w:after="0"/>
              <w:rPr>
                <w:sz w:val="13"/>
                <w:szCs w:val="13"/>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(180,801)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(110,987)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Net revenue</w:t>
            </w: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218,300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147,047</w:t>
            </w:r>
          </w:p>
        </w:tc>
        <w:tc>
          <w:tcPr>
            <w:tcW w:w="2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419,644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283,136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122,976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83,875</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236,165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162,432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64,289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42,662</w:t>
            </w:r>
          </w:p>
        </w:tc>
        <w:tc>
          <w:tcPr>
            <w:tcW w:w="2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124,834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81,346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6,641</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4,450</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Borders>
              <w:top w:val="single" w:sz="8" w:color="CCEEFF"/>
            </w:tcBorders>
          </w:tcPr>
          <w:p>
            <w:pPr>
              <w:spacing w:after="0"/>
              <w:rPr>
                <w:sz w:val="12"/>
                <w:szCs w:val="12"/>
                <w:color w:val="auto"/>
              </w:rPr>
            </w:pPr>
          </w:p>
        </w:tc>
        <w:tc>
          <w:tcPr>
            <w:tcW w:w="31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costs and expenses</w:t>
            </w:r>
          </w:p>
        </w:tc>
        <w:tc>
          <w:tcPr>
            <w:tcW w:w="3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193,906</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130,987</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373,738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252,384</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Borders>
              <w:top w:val="single" w:sz="8" w:color="CCEEFF"/>
            </w:tcBorders>
          </w:tcPr>
          <w:p>
            <w:pPr>
              <w:spacing w:after="0"/>
              <w:rPr>
                <w:sz w:val="12"/>
                <w:szCs w:val="12"/>
                <w:color w:val="auto"/>
              </w:rPr>
            </w:pPr>
          </w:p>
        </w:tc>
        <w:tc>
          <w:tcPr>
            <w:tcW w:w="31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3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24,394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16,060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45,906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30,752</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610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1,100</w:t>
            </w:r>
          </w:p>
        </w:tc>
        <w:tc>
          <w:tcPr>
            <w:tcW w:w="2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3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(1,086)</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(81)</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Borders>
              <w:top w:val="single" w:sz="8" w:color="CCEEFF"/>
            </w:tcBorders>
          </w:tcPr>
          <w:p>
            <w:pPr>
              <w:spacing w:after="0"/>
              <w:rPr>
                <w:sz w:val="12"/>
                <w:szCs w:val="12"/>
                <w:color w:val="auto"/>
              </w:rPr>
            </w:pPr>
          </w:p>
        </w:tc>
        <w:tc>
          <w:tcPr>
            <w:tcW w:w="31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provision for income taxes</w:t>
            </w:r>
          </w:p>
        </w:tc>
        <w:tc>
          <w:tcPr>
            <w:tcW w:w="3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23,918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17,079</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45,387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32,815</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(4,891)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(3,758)</w:t>
            </w:r>
          </w:p>
        </w:tc>
        <w:tc>
          <w:tcPr>
            <w:tcW w:w="2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(7,186)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3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Borders>
              <w:top w:val="single" w:sz="8" w:color="CCEEFF"/>
            </w:tcBorders>
          </w:tcPr>
          <w:p>
            <w:pPr>
              <w:spacing w:after="0"/>
              <w:rPr>
                <w:sz w:val="12"/>
                <w:szCs w:val="12"/>
                <w:color w:val="auto"/>
              </w:rPr>
            </w:pPr>
          </w:p>
        </w:tc>
        <w:tc>
          <w:tcPr>
            <w:tcW w:w="31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18,821</w:t>
            </w:r>
          </w:p>
        </w:tc>
        <w:tc>
          <w:tcPr>
            <w:tcW w:w="3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13,315</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35,715</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25,581</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Net income per Ordinary Share:</w:t>
            </w:r>
          </w:p>
        </w:tc>
        <w:tc>
          <w:tcPr>
            <w:tcW w:w="31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Basic</w:t>
            </w:r>
          </w:p>
        </w:tc>
        <w:tc>
          <w:tcPr>
            <w:tcW w:w="3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3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0.46</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ind w:left="140"/>
              <w:spacing w:after="0" w:line="142" w:lineRule="exact"/>
              <w:rPr>
                <w:sz w:val="20"/>
                <w:szCs w:val="20"/>
                <w:color w:val="auto"/>
              </w:rPr>
            </w:pPr>
            <w:r>
              <w:rPr>
                <w:rFonts w:ascii="Arial" w:cs="Arial" w:eastAsia="Arial" w:hAnsi="Arial"/>
                <w:sz w:val="14"/>
                <w:szCs w:val="14"/>
                <w:color w:val="auto"/>
              </w:rPr>
              <w:t>Diluted</w:t>
            </w:r>
          </w:p>
        </w:tc>
        <w:tc>
          <w:tcPr>
            <w:tcW w:w="344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0.62</w:t>
            </w:r>
          </w:p>
        </w:tc>
        <w:tc>
          <w:tcPr>
            <w:tcW w:w="36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8"/>
              <w:spacing w:after="0" w:line="142" w:lineRule="exact"/>
              <w:rPr>
                <w:sz w:val="20"/>
                <w:szCs w:val="20"/>
                <w:color w:val="auto"/>
              </w:rPr>
            </w:pPr>
            <w:r>
              <w:rPr>
                <w:rFonts w:ascii="Arial" w:cs="Arial" w:eastAsia="Arial" w:hAnsi="Arial"/>
                <w:sz w:val="14"/>
                <w:szCs w:val="14"/>
                <w:color w:val="auto"/>
              </w:rPr>
              <w:t>0.45</w:t>
            </w:r>
          </w:p>
        </w:tc>
        <w:tc>
          <w:tcPr>
            <w:tcW w:w="22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2"/>
                <w:szCs w:val="12"/>
                <w:color w:val="auto"/>
              </w:rPr>
            </w:pPr>
          </w:p>
        </w:tc>
        <w:tc>
          <w:tcPr>
            <w:tcW w:w="2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0.86</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40" w:type="dxa"/>
            <w:vAlign w:val="bottom"/>
            <w:gridSpan w:val="2"/>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gridSpan w:val="3"/>
          </w:tcPr>
          <w:p>
            <w:pPr>
              <w:spacing w:after="0" w:line="149" w:lineRule="exact"/>
              <w:rPr>
                <w:sz w:val="20"/>
                <w:szCs w:val="20"/>
                <w:color w:val="auto"/>
              </w:rPr>
            </w:pPr>
            <w:r>
              <w:rPr>
                <w:rFonts w:ascii="Arial" w:cs="Arial" w:eastAsia="Arial" w:hAnsi="Arial"/>
                <w:sz w:val="14"/>
                <w:szCs w:val="14"/>
                <w:color w:val="auto"/>
              </w:rPr>
              <w:t>Weighted average number of Ordinary Shares outstanding:</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tcBorders>
              <w:bottom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Basic</w:t>
            </w:r>
          </w:p>
        </w:tc>
        <w:tc>
          <w:tcPr>
            <w:tcW w:w="3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29,106,694</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28,684,201</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29,004,662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28,624,350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ind w:left="160"/>
              <w:spacing w:after="0" w:line="142" w:lineRule="exact"/>
              <w:rPr>
                <w:sz w:val="20"/>
                <w:szCs w:val="20"/>
                <w:color w:val="auto"/>
              </w:rPr>
            </w:pPr>
            <w:r>
              <w:rPr>
                <w:rFonts w:ascii="Arial" w:cs="Arial" w:eastAsia="Arial" w:hAnsi="Arial"/>
                <w:sz w:val="14"/>
                <w:szCs w:val="14"/>
                <w:color w:val="auto"/>
              </w:rPr>
              <w:t>Diluted</w:t>
            </w: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30,156,563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29,685,489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30,083,989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29,597,671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680" w:right="5680" w:hanging="5669"/>
        <w:spacing w:after="0" w:line="499" w:lineRule="auto"/>
        <w:rPr>
          <w:sz w:val="20"/>
          <w:szCs w:val="20"/>
          <w:color w:val="auto"/>
        </w:rPr>
      </w:pPr>
      <w:r>
        <w:rPr>
          <w:rFonts w:ascii="Arial" w:cs="Arial" w:eastAsia="Arial" w:hAnsi="Arial"/>
          <w:sz w:val="12"/>
          <w:szCs w:val="12"/>
          <w:color w:val="auto"/>
        </w:rPr>
        <w:t>The accompanying notes are an integral part of these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40" w:type="dxa"/>
            <w:vAlign w:val="bottom"/>
          </w:tcPr>
          <w:p>
            <w:pPr>
              <w:jc w:val="center"/>
              <w:ind w:left="2988"/>
              <w:spacing w:after="0"/>
              <w:rPr>
                <w:sz w:val="20"/>
                <w:szCs w:val="20"/>
                <w:color w:val="auto"/>
              </w:rPr>
            </w:pPr>
            <w:r>
              <w:rPr>
                <w:rFonts w:ascii="Arial" w:cs="Arial" w:eastAsia="Arial" w:hAnsi="Arial"/>
                <w:sz w:val="14"/>
                <w:szCs w:val="14"/>
                <w:b w:val="1"/>
                <w:bCs w:val="1"/>
                <w:color w:val="auto"/>
              </w:rPr>
              <w:t>ICON plc</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340" w:type="dxa"/>
            <w:vAlign w:val="bottom"/>
          </w:tcPr>
          <w:p>
            <w:pPr>
              <w:jc w:val="center"/>
              <w:ind w:left="2988"/>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9"/>
              </w:rPr>
              <w:t>FOR THE SIX MONTHS ENDED JUNE 30, 2008 AND JUNE 30, 2007</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340" w:type="dxa"/>
            <w:vAlign w:val="bottom"/>
          </w:tcPr>
          <w:p>
            <w:pPr>
              <w:jc w:val="center"/>
              <w:ind w:left="2988"/>
              <w:spacing w:after="0"/>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8"/>
              </w:rPr>
              <w:t>Six Months Ended</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71"/>
              </w:rPr>
              <w:t>thousands)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36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35,715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grants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60"/>
              <w:spacing w:after="0" w:line="149" w:lineRule="exact"/>
              <w:rPr>
                <w:sz w:val="20"/>
                <w:szCs w:val="20"/>
                <w:color w:val="auto"/>
              </w:rPr>
            </w:pPr>
            <w:r>
              <w:rPr>
                <w:rFonts w:ascii="Arial" w:cs="Arial" w:eastAsia="Arial" w:hAnsi="Arial"/>
                <w:sz w:val="14"/>
                <w:szCs w:val="14"/>
                <w:color w:val="auto"/>
              </w:rPr>
              <w:t>Share compensation expense</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taxes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(3,797)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(Increase)/decrease in accounts receivable</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(85,819)</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unbilled revenue</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(Increase)/decrease in other receivables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(2,574)</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prepayments and other current assets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(4,711)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60"/>
              <w:spacing w:after="0" w:line="149" w:lineRule="exact"/>
              <w:rPr>
                <w:sz w:val="20"/>
                <w:szCs w:val="20"/>
                <w:color w:val="auto"/>
              </w:rPr>
            </w:pPr>
            <w:r>
              <w:rPr>
                <w:rFonts w:ascii="Arial" w:cs="Arial" w:eastAsia="Arial" w:hAnsi="Arial"/>
                <w:sz w:val="14"/>
                <w:szCs w:val="14"/>
                <w:color w:val="auto"/>
              </w:rPr>
              <w:t>Increase in other non current assets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(207)</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payments on account</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Increase/(decrease) in other current liabilities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other non current liabilities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Increase in income taxes payable</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(Decrease)/increase in accounts payable</w:t>
            </w: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(1,950)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Purchase of property, plant and equipment</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(35,486)</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of subsidiary undertakings &amp; acquisition costs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(11,977)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60"/>
              <w:spacing w:after="0" w:line="149" w:lineRule="exact"/>
              <w:rPr>
                <w:sz w:val="20"/>
                <w:szCs w:val="20"/>
                <w:color w:val="auto"/>
              </w:rPr>
            </w:pPr>
            <w:r>
              <w:rPr>
                <w:rFonts w:ascii="Arial" w:cs="Arial" w:eastAsia="Arial" w:hAnsi="Arial"/>
                <w:sz w:val="14"/>
                <w:szCs w:val="14"/>
                <w:color w:val="auto"/>
              </w:rPr>
              <w:t>Purchase of short term investments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acquired with subsidiary undertaking</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ind w:left="160"/>
              <w:spacing w:after="0" w:line="149" w:lineRule="exact"/>
              <w:rPr>
                <w:sz w:val="20"/>
                <w:szCs w:val="20"/>
                <w:color w:val="auto"/>
              </w:rPr>
            </w:pPr>
            <w:r>
              <w:rPr>
                <w:rFonts w:ascii="Arial" w:cs="Arial" w:eastAsia="Arial" w:hAnsi="Arial"/>
                <w:sz w:val="14"/>
                <w:szCs w:val="14"/>
                <w:color w:val="auto"/>
              </w:rPr>
              <w:t>Sale of short term investments</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14,026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(48,432)</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(19,278)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Drawdown of bank credit lines and loan facilities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Proceeds from exercise of share options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issuance costs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Tax benefit from the exercise of share options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other liabilities</w:t>
            </w: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46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14,728</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14,836</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movements on cash</w:t>
            </w: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(decrease)/increase in cash and cash equivalents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(5,218)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76,881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Cash and cash equivalents at end of period</w:t>
            </w:r>
          </w:p>
        </w:tc>
        <w:tc>
          <w:tcPr>
            <w:tcW w:w="800" w:type="dxa"/>
            <w:vAlign w:val="bottom"/>
            <w:gridSpan w:val="2"/>
          </w:tcPr>
          <w:p>
            <w:pPr>
              <w:jc w:val="right"/>
              <w:ind w:right="280"/>
              <w:spacing w:after="0" w:line="12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71,663</w:t>
            </w:r>
          </w:p>
        </w:tc>
        <w:tc>
          <w:tcPr>
            <w:tcW w:w="140" w:type="dxa"/>
            <w:vAlign w:val="bottom"/>
          </w:tcPr>
          <w:p>
            <w:pPr>
              <w:spacing w:after="0"/>
              <w:rPr>
                <w:sz w:val="12"/>
                <w:szCs w:val="12"/>
                <w:color w:val="auto"/>
              </w:rPr>
            </w:pPr>
          </w:p>
        </w:tc>
        <w:tc>
          <w:tcPr>
            <w:tcW w:w="620" w:type="dxa"/>
            <w:vAlign w:val="bottom"/>
            <w:gridSpan w:val="2"/>
          </w:tcPr>
          <w:p>
            <w:pPr>
              <w:jc w:val="center"/>
              <w:ind w:right="400"/>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78,335</w:t>
            </w:r>
          </w:p>
        </w:tc>
        <w:tc>
          <w:tcPr>
            <w:tcW w:w="0" w:type="dxa"/>
            <w:vAlign w:val="bottom"/>
          </w:tcPr>
          <w:p>
            <w:pPr>
              <w:spacing w:after="0"/>
              <w:rPr>
                <w:sz w:val="1"/>
                <w:szCs w:val="1"/>
                <w:color w:val="auto"/>
              </w:rPr>
            </w:pPr>
          </w:p>
        </w:tc>
      </w:tr>
      <w:tr>
        <w:trPr>
          <w:trHeight w:val="21"/>
        </w:trPr>
        <w:tc>
          <w:tcPr>
            <w:tcW w:w="8360" w:type="dxa"/>
            <w:vAlign w:val="bottom"/>
            <w:gridSpan w:val="2"/>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83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gridSpan w:val="2"/>
          </w:tcPr>
          <w:p>
            <w:pPr>
              <w:jc w:val="center"/>
              <w:ind w:left="2988"/>
              <w:spacing w:after="0"/>
              <w:rPr>
                <w:sz w:val="20"/>
                <w:szCs w:val="20"/>
                <w:color w:val="auto"/>
              </w:rPr>
            </w:pPr>
            <w:r>
              <w:rPr>
                <w:rFonts w:ascii="Arial" w:cs="Arial" w:eastAsia="Arial" w:hAnsi="Arial"/>
                <w:sz w:val="14"/>
                <w:szCs w:val="14"/>
                <w:color w:val="auto"/>
                <w:w w:val="76"/>
              </w:rPr>
              <w:t>5</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3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Income</w:t>
            </w:r>
          </w:p>
        </w:tc>
        <w:tc>
          <w:tcPr>
            <w:tcW w:w="3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8"/>
          </w:tcPr>
          <w:p>
            <w:pPr>
              <w:ind w:left="100"/>
              <w:spacing w:after="0"/>
              <w:rPr>
                <w:sz w:val="20"/>
                <w:szCs w:val="20"/>
                <w:color w:val="auto"/>
              </w:rPr>
            </w:pPr>
            <w:r>
              <w:rPr>
                <w:rFonts w:ascii="Arial" w:cs="Arial" w:eastAsia="Arial" w:hAnsi="Arial"/>
                <w:sz w:val="14"/>
                <w:szCs w:val="14"/>
                <w:b w:val="1"/>
                <w:bCs w:val="1"/>
                <w:color w:val="auto"/>
                <w:w w:val="99"/>
              </w:rPr>
              <w:t>(dollars in thousands, except share data)</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vMerge w:val="restart"/>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2007</w:t>
            </w: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28,835,244</w:t>
            </w:r>
          </w:p>
        </w:tc>
        <w:tc>
          <w:tcPr>
            <w:tcW w:w="4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2,127</w:t>
            </w: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146,355</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31,828</w:t>
            </w: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208,090</w:t>
            </w:r>
          </w:p>
        </w:tc>
        <w:tc>
          <w:tcPr>
            <w:tcW w:w="4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388,400</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35,715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Currency translation adjustment (net of tax)</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9,409</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comprehensive income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Share issuance costs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Exercise of share options</w:t>
            </w: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350,872</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Non-cash stock compensation expense</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Tax benefit on exercise of share options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June 30, 2008</w:t>
            </w:r>
          </w:p>
        </w:tc>
        <w:tc>
          <w:tcPr>
            <w:tcW w:w="12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29,186,116</w:t>
            </w:r>
          </w:p>
        </w:tc>
        <w:tc>
          <w:tcPr>
            <w:tcW w:w="480" w:type="dxa"/>
            <w:vAlign w:val="bottom"/>
            <w:tcBorders>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2,158</w:t>
            </w:r>
          </w:p>
        </w:tc>
        <w:tc>
          <w:tcPr>
            <w:tcW w:w="42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159,957</w:t>
            </w:r>
          </w:p>
        </w:tc>
        <w:tc>
          <w:tcPr>
            <w:tcW w:w="20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41,237</w:t>
            </w:r>
          </w:p>
        </w:tc>
        <w:tc>
          <w:tcPr>
            <w:tcW w:w="3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243,805</w:t>
            </w:r>
          </w:p>
        </w:tc>
        <w:tc>
          <w:tcPr>
            <w:tcW w:w="480" w:type="dxa"/>
            <w:vAlign w:val="bottom"/>
            <w:tcBorders>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447,157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5980" w:type="dxa"/>
            <w:vAlign w:val="bottom"/>
            <w:gridSpan w:val="8"/>
          </w:tcPr>
          <w:p>
            <w:pPr>
              <w:spacing w:after="0"/>
              <w:rPr>
                <w:sz w:val="20"/>
                <w:szCs w:val="20"/>
                <w:color w:val="auto"/>
              </w:rPr>
            </w:pPr>
            <w:r>
              <w:rPr>
                <w:rFonts w:ascii="Arial" w:cs="Arial" w:eastAsia="Arial" w:hAnsi="Arial"/>
                <w:sz w:val="14"/>
                <w:szCs w:val="14"/>
                <w:color w:val="auto"/>
                <w:w w:val="96"/>
              </w:rPr>
              <w:t>The accompanying notes are an integral part of these condensed consolidated financial statements.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ind w:left="5240"/>
        <w:spacing w:after="0" w:line="22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JUNE 30, 2008</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condensed consolidated financial statements should be read in conjunction with the accounting policies and notes to the consolidated financial statements included in ICON’s Form 20-F for the year ended December 31, 2007. Operating results for the six months ended June 30, 2008, are not necessarily indicative of the results that may be expected for the fiscal period ending December 31,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2. Goodwill</w:t>
            </w:r>
          </w:p>
        </w:tc>
        <w:tc>
          <w:tcPr>
            <w:tcW w:w="1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71"/>
              </w:rPr>
              <w:t>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Opening balance</w:t>
            </w:r>
          </w:p>
        </w:tc>
        <w:tc>
          <w:tcPr>
            <w:tcW w:w="23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123,879</w:t>
            </w:r>
          </w:p>
        </w:tc>
        <w:tc>
          <w:tcPr>
            <w:tcW w:w="6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Arial" w:cs="Arial" w:eastAsia="Arial" w:hAnsi="Arial"/>
                <w:sz w:val="14"/>
                <w:szCs w:val="14"/>
                <w:color w:val="auto"/>
              </w:rPr>
              <w:t>Payments made in respect of current period acquisitions</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13,385</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42,081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3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Foreign exchange movement</w:t>
            </w:r>
          </w:p>
        </w:tc>
        <w:tc>
          <w:tcPr>
            <w:tcW w:w="19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3,935</w:t>
            </w:r>
          </w:p>
        </w:tc>
        <w:tc>
          <w:tcPr>
            <w:tcW w:w="2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3,081</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5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Closing balance</w:t>
            </w:r>
          </w:p>
        </w:tc>
        <w:tc>
          <w:tcPr>
            <w:tcW w:w="23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141,199</w:t>
            </w:r>
          </w:p>
        </w:tc>
        <w:tc>
          <w:tcPr>
            <w:tcW w:w="6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960" w:type="dxa"/>
            <w:vAlign w:val="bottom"/>
            <w:gridSpan w:val="2"/>
          </w:tcPr>
          <w:p>
            <w:pPr>
              <w:spacing w:after="0"/>
              <w:rPr>
                <w:sz w:val="20"/>
                <w:szCs w:val="20"/>
                <w:color w:val="auto"/>
              </w:rPr>
            </w:pPr>
            <w:r>
              <w:rPr>
                <w:rFonts w:ascii="Arial" w:cs="Arial" w:eastAsia="Arial" w:hAnsi="Arial"/>
                <w:sz w:val="14"/>
                <w:szCs w:val="14"/>
                <w:color w:val="auto"/>
              </w:rPr>
              <w:t>The goodwill balance relates entirely to the clinical research segment.</w:t>
            </w: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Healthcare Discoveries Inc.</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February 11, 2008, the Company acquired 100% of the common stock of Healthcare Discoveries Inc. (“Healthcare Discoveries”) for an initial cash consideration of approximately $11.1 million, excluding costs of acquisition. Healthcare Discoveries, located in San Antonio, Texas, USA, is engaged in the provision of Phase I clinical trial management activities. Further consideration of up to $10.0 million may become payable during the year ended December 31, 2008, if certain performance milestones are achieved.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Healthcare Discoveries has been accounted for as a purchase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At February 11,</w:t>
            </w:r>
          </w:p>
        </w:tc>
        <w:tc>
          <w:tcPr>
            <w:tcW w:w="17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4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13,385</w:t>
            </w:r>
          </w:p>
        </w:tc>
        <w:tc>
          <w:tcPr>
            <w:tcW w:w="1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4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4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(2,158)</w:t>
            </w:r>
          </w:p>
        </w:tc>
        <w:tc>
          <w:tcPr>
            <w:tcW w:w="17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Purchase price</w:t>
            </w:r>
          </w:p>
        </w:tc>
        <w:tc>
          <w:tcPr>
            <w:tcW w:w="4680" w:type="dxa"/>
            <w:vAlign w:val="bottom"/>
            <w:tcBorders>
              <w:top w:val="single" w:sz="8" w:color="auto"/>
              <w:bottom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11,977</w:t>
            </w:r>
          </w:p>
        </w:tc>
        <w:tc>
          <w:tcPr>
            <w:tcW w:w="80" w:type="dxa"/>
            <w:vAlign w:val="bottom"/>
            <w:tcBorders>
              <w:top w:val="single" w:sz="8" w:color="CCEEFF"/>
            </w:tcBorders>
          </w:tcPr>
          <w:p>
            <w:pPr>
              <w:spacing w:after="0"/>
              <w:rPr>
                <w:sz w:val="12"/>
                <w:szCs w:val="12"/>
                <w:color w:val="auto"/>
              </w:rPr>
            </w:pPr>
          </w:p>
        </w:tc>
        <w:tc>
          <w:tcPr>
            <w:tcW w:w="17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380" w:type="dxa"/>
            <w:vAlign w:val="bottom"/>
          </w:tcPr>
          <w:p>
            <w:pPr>
              <w:jc w:val="right"/>
              <w:ind w:right="2268"/>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auto"/>
        </w:rPr>
        <w:t>Prior Period Acquisitions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July 12, 2007 the Company acquired 100% of the common stock of DOCS International (“DOCS”), a European based clinical research staffing organization, for a cash consideration of approximately $40.6 million (€29.5 million), excluding costs of acquisition.</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DOCS has been accounted for as a purchase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At July 12,</w:t>
            </w: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35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Intangible asset</w:t>
            </w:r>
          </w:p>
        </w:tc>
        <w:tc>
          <w:tcPr>
            <w:tcW w:w="3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2,035</w:t>
            </w: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42,081</w:t>
            </w: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Bank overdraft</w:t>
            </w:r>
          </w:p>
        </w:tc>
        <w:tc>
          <w:tcPr>
            <w:tcW w:w="3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(2,400)</w:t>
            </w: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3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7,960</w:t>
            </w:r>
          </w:p>
        </w:tc>
      </w:tr>
      <w:tr>
        <w:trPr>
          <w:trHeight w:val="156"/>
        </w:trPr>
        <w:tc>
          <w:tcPr>
            <w:tcW w:w="20" w:type="dxa"/>
            <w:vAlign w:val="bottom"/>
          </w:tcPr>
          <w:p>
            <w:pPr>
              <w:spacing w:after="0"/>
              <w:rPr>
                <w:sz w:val="13"/>
                <w:szCs w:val="13"/>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3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(9,510)</w:t>
            </w:r>
          </w:p>
        </w:tc>
      </w:tr>
      <w:tr>
        <w:trPr>
          <w:trHeight w:val="189"/>
        </w:trPr>
        <w:tc>
          <w:tcPr>
            <w:tcW w:w="20" w:type="dxa"/>
            <w:vAlign w:val="bottom"/>
          </w:tcPr>
          <w:p>
            <w:pPr>
              <w:spacing w:after="0"/>
              <w:rPr>
                <w:sz w:val="16"/>
                <w:szCs w:val="16"/>
                <w:color w:val="auto"/>
              </w:rPr>
            </w:pPr>
          </w:p>
        </w:tc>
        <w:tc>
          <w:tcPr>
            <w:tcW w:w="48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Purchase price</w:t>
            </w:r>
          </w:p>
        </w:tc>
        <w:tc>
          <w:tcPr>
            <w:tcW w:w="3540" w:type="dxa"/>
            <w:vAlign w:val="bottom"/>
            <w:tcBorders>
              <w:top w:val="single" w:sz="8" w:color="auto"/>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41,150</w:t>
            </w:r>
          </w:p>
        </w:tc>
        <w:tc>
          <w:tcPr>
            <w:tcW w:w="80" w:type="dxa"/>
            <w:vAlign w:val="bottom"/>
            <w:tcBorders>
              <w:bottom w:val="single" w:sz="8" w:color="CCEEFF"/>
            </w:tcBorders>
            <w:shd w:val="clear" w:color="auto" w:fill="CCEEFF"/>
          </w:tcPr>
          <w:p>
            <w:pPr>
              <w:spacing w:after="0"/>
              <w:rPr>
                <w:sz w:val="16"/>
                <w:szCs w:val="16"/>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 Adoption of the provisions of FASB Interpretation No. 48 </w:t>
      </w:r>
      <w:r>
        <w:rPr>
          <w:rFonts w:ascii="Arial" w:cs="Arial" w:eastAsia="Arial" w:hAnsi="Arial"/>
          <w:sz w:val="14"/>
          <w:szCs w:val="14"/>
          <w:b w:val="1"/>
          <w:bCs w:val="1"/>
          <w:i w:val="1"/>
          <w:iCs w:val="1"/>
          <w:color w:val="auto"/>
        </w:rPr>
        <w:t>Accounting for Uncertainty in Income Taxes</w:t>
      </w:r>
    </w:p>
    <w:p>
      <w:pPr>
        <w:spacing w:after="0" w:line="4" w:lineRule="exact"/>
        <w:rPr>
          <w:sz w:val="20"/>
          <w:szCs w:val="20"/>
          <w:color w:val="auto"/>
        </w:rPr>
      </w:pPr>
    </w:p>
    <w:p>
      <w:pPr>
        <w:jc w:val="both"/>
        <w:ind w:right="20"/>
        <w:spacing w:after="0" w:line="237" w:lineRule="auto"/>
        <w:rPr>
          <w:sz w:val="20"/>
          <w:szCs w:val="20"/>
          <w:color w:val="auto"/>
        </w:rPr>
      </w:pPr>
      <w:r>
        <w:rPr>
          <w:rFonts w:ascii="Arial" w:cs="Arial" w:eastAsia="Arial" w:hAnsi="Arial"/>
          <w:sz w:val="14"/>
          <w:szCs w:val="14"/>
          <w:color w:val="auto"/>
        </w:rPr>
        <w:t xml:space="preserve">In June 2006, the FASB issued FIN 48, </w:t>
      </w:r>
      <w:r>
        <w:rPr>
          <w:rFonts w:ascii="Arial" w:cs="Arial" w:eastAsia="Arial" w:hAnsi="Arial"/>
          <w:sz w:val="14"/>
          <w:szCs w:val="14"/>
          <w:i w:val="1"/>
          <w:iCs w:val="1"/>
          <w:color w:val="auto"/>
        </w:rPr>
        <w:t>Accounting for Uncertainty in Income Taxes – an Interpretation of FASB Statement No. 109, Accounting for Income Taxes</w:t>
      </w:r>
      <w:r>
        <w:rPr>
          <w:rFonts w:ascii="Arial" w:cs="Arial" w:eastAsia="Arial" w:hAnsi="Arial"/>
          <w:sz w:val="14"/>
          <w:szCs w:val="14"/>
          <w:color w:val="auto"/>
        </w:rPr>
        <w:t>. The Interpretation addresses the determination of whether tax benefits claimed or expected to be claimed on a tax return should be recorded in the financial statements.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Under FIN 48, the Company may recognize the tax benefits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recognized upon ultimate settlement.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FIN 48 also provides guidance on derecognition, classification, interest and penalties on income taxes, accounting in interim periods and requires increased disclosures.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adopted the provisions of FIN 48 effective January 1, 2007. As at June 30, 2008, the Company maintains a $12.0 million liability for unrecognized tax benefit, which is comprised of $10.1 million related to items generating unrecognized tax benefits and $1.9 million for interest and related penalties to such items. The Company recognizes interest accrued on unrecognized tax benefits as an additional income tax expense.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2003 through 2007 tax years. The Company does not believe that the outcome of any examination will have a material impact on its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4. Net income per ordinary share</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 of the number of shares used in the computation of basic and diluted net income per ordinary share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74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1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840" w:type="dxa"/>
            <w:vAlign w:val="bottom"/>
            <w:tcBorders>
              <w:top w:val="single" w:sz="8" w:color="auto"/>
            </w:tcBorders>
            <w:gridSpan w:val="3"/>
          </w:tcPr>
          <w:p>
            <w:pPr>
              <w:ind w:left="620"/>
              <w:spacing w:after="0" w:line="149" w:lineRule="exact"/>
              <w:rPr>
                <w:sz w:val="20"/>
                <w:szCs w:val="20"/>
                <w:color w:val="auto"/>
              </w:rPr>
            </w:pPr>
            <w:r>
              <w:rPr>
                <w:rFonts w:ascii="Arial" w:cs="Arial" w:eastAsia="Arial" w:hAnsi="Arial"/>
                <w:sz w:val="14"/>
                <w:szCs w:val="14"/>
                <w:b w:val="1"/>
                <w:bCs w:val="1"/>
                <w:color w:val="auto"/>
              </w:rPr>
              <w:t>June 30,</w:t>
            </w: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outstanding for basic net income per ordinary share</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29,106,694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28,684,201</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29,004,662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28,624,350</w:t>
            </w:r>
          </w:p>
        </w:tc>
      </w:tr>
      <w:tr>
        <w:trPr>
          <w:trHeight w:val="156"/>
        </w:trPr>
        <w:tc>
          <w:tcPr>
            <w:tcW w:w="20" w:type="dxa"/>
            <w:vAlign w:val="bottom"/>
          </w:tcPr>
          <w:p>
            <w:pPr>
              <w:spacing w:after="0"/>
              <w:rPr>
                <w:sz w:val="13"/>
                <w:szCs w:val="13"/>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Effect of dilutive share options outstanding</w:t>
            </w: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1,049,869</w:t>
            </w:r>
          </w:p>
        </w:tc>
        <w:tc>
          <w:tcPr>
            <w:tcW w:w="13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1,001,288</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1,079,327</w:t>
            </w: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973,321</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for diluted net income per ordinary share</w:t>
            </w: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30,156,563</w:t>
            </w:r>
          </w:p>
        </w:tc>
        <w:tc>
          <w:tcPr>
            <w:tcW w:w="13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29,685,489</w:t>
            </w: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30,083,989</w:t>
            </w:r>
          </w:p>
        </w:tc>
        <w:tc>
          <w:tcPr>
            <w:tcW w:w="4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29,597,671</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Stock Options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An aggregate of 3.0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200,000 ordinary shares.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No options can be granted after January 17, 2013.</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 xml:space="preserve">In December 2004, the FASB issued FASB Statement No. 123R (revised 2004), </w:t>
      </w:r>
      <w:r>
        <w:rPr>
          <w:rFonts w:ascii="Arial" w:cs="Arial" w:eastAsia="Arial" w:hAnsi="Arial"/>
          <w:sz w:val="14"/>
          <w:szCs w:val="14"/>
          <w:i w:val="1"/>
          <w:iCs w:val="1"/>
          <w:color w:val="auto"/>
        </w:rPr>
        <w:t>Share Based Payment</w:t>
      </w:r>
      <w:r>
        <w:rPr>
          <w:rFonts w:ascii="Arial" w:cs="Arial" w:eastAsia="Arial" w:hAnsi="Arial"/>
          <w:sz w:val="14"/>
          <w:szCs w:val="14"/>
          <w:color w:val="auto"/>
        </w:rPr>
        <w:t xml:space="preserve"> (“SFAS 123R”) which replaced FASB Statement No. 123 </w:t>
      </w:r>
      <w:r>
        <w:rPr>
          <w:rFonts w:ascii="Arial" w:cs="Arial" w:eastAsia="Arial" w:hAnsi="Arial"/>
          <w:sz w:val="14"/>
          <w:szCs w:val="14"/>
          <w:i w:val="1"/>
          <w:iCs w:val="1"/>
          <w:color w:val="auto"/>
        </w:rPr>
        <w:t>Accounting for Stock-Based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(“SFAS 123”) and supersedes Accounting Principles Board Opinion No. 25</w:t>
      </w:r>
      <w:r>
        <w:rPr>
          <w:rFonts w:ascii="Arial" w:cs="Arial" w:eastAsia="Arial" w:hAnsi="Arial"/>
          <w:sz w:val="14"/>
          <w:szCs w:val="14"/>
          <w:i w:val="1"/>
          <w:iCs w:val="1"/>
          <w:color w:val="auto"/>
        </w:rPr>
        <w:t xml:space="preserve"> Accounting for Stock Issued to Employees </w:t>
      </w:r>
      <w:r>
        <w:rPr>
          <w:rFonts w:ascii="Arial" w:cs="Arial" w:eastAsia="Arial" w:hAnsi="Arial"/>
          <w:sz w:val="14"/>
          <w:szCs w:val="14"/>
          <w:color w:val="auto"/>
        </w:rPr>
        <w:t>(“APB No. 25”). SFAS 123R requires, with effect from</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periods beginning after June 15, 2005, that all share based payments to employees, including stock options granted, be recognized in the financial statements based on their grant date fair values.</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three months ended June 30, 2008, and June 30, 2007,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The following table summarizes option activity for the six months ended June 30, 2008:</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Weighted</w:t>
            </w: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Options Outstanding</w:t>
            </w:r>
          </w:p>
        </w:tc>
        <w:tc>
          <w:tcPr>
            <w:tcW w:w="70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Average</w:t>
            </w:r>
          </w:p>
        </w:tc>
        <w:tc>
          <w:tcPr>
            <w:tcW w:w="6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Exercise</w:t>
            </w:r>
          </w:p>
        </w:tc>
        <w:tc>
          <w:tcPr>
            <w:tcW w:w="680" w:type="dxa"/>
            <w:vAlign w:val="bottom"/>
          </w:tcPr>
          <w:p>
            <w:pPr>
              <w:spacing w:after="0"/>
              <w:rPr>
                <w:sz w:val="12"/>
                <w:szCs w:val="12"/>
                <w:color w:val="auto"/>
              </w:rPr>
            </w:pPr>
          </w:p>
        </w:tc>
        <w:tc>
          <w:tcPr>
            <w:tcW w:w="172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880" w:type="dxa"/>
            <w:vAlign w:val="bottom"/>
          </w:tcPr>
          <w:p>
            <w:pPr>
              <w:jc w:val="right"/>
              <w:ind w:right="68"/>
              <w:spacing w:after="0"/>
              <w:rPr>
                <w:sz w:val="20"/>
                <w:szCs w:val="20"/>
                <w:color w:val="auto"/>
              </w:rPr>
            </w:pPr>
            <w:r>
              <w:rPr>
                <w:rFonts w:ascii="Arial" w:cs="Arial" w:eastAsia="Arial" w:hAnsi="Arial"/>
                <w:sz w:val="14"/>
                <w:szCs w:val="14"/>
                <w:b w:val="1"/>
                <w:bCs w:val="1"/>
                <w:color w:val="auto"/>
              </w:rPr>
              <w:t>Number of Shares</w:t>
            </w:r>
          </w:p>
        </w:tc>
        <w:tc>
          <w:tcPr>
            <w:tcW w:w="70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w:t>
            </w:r>
          </w:p>
        </w:tc>
        <w:tc>
          <w:tcPr>
            <w:tcW w:w="680" w:type="dxa"/>
            <w:vAlign w:val="bottom"/>
          </w:tcPr>
          <w:p>
            <w:pPr>
              <w:spacing w:after="0"/>
              <w:rPr>
                <w:sz w:val="16"/>
                <w:szCs w:val="16"/>
                <w:color w:val="auto"/>
              </w:rPr>
            </w:pPr>
          </w:p>
        </w:tc>
        <w:tc>
          <w:tcPr>
            <w:tcW w:w="1720" w:type="dxa"/>
            <w:vAlign w:val="bottom"/>
          </w:tcPr>
          <w:p>
            <w:pPr>
              <w:jc w:val="right"/>
              <w:ind w:right="508"/>
              <w:spacing w:after="0"/>
              <w:rPr>
                <w:sz w:val="20"/>
                <w:szCs w:val="20"/>
                <w:color w:val="auto"/>
              </w:rPr>
            </w:pPr>
            <w:r>
              <w:rPr>
                <w:rFonts w:ascii="Arial" w:cs="Arial" w:eastAsia="Arial" w:hAnsi="Arial"/>
                <w:sz w:val="14"/>
                <w:szCs w:val="14"/>
                <w:b w:val="1"/>
                <w:bCs w:val="1"/>
                <w:color w:val="auto"/>
              </w:rPr>
              <w:t>Fair Value</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7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2007</w:t>
            </w:r>
          </w:p>
        </w:tc>
        <w:tc>
          <w:tcPr>
            <w:tcW w:w="18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2,488,063</w:t>
            </w:r>
          </w:p>
        </w:tc>
        <w:tc>
          <w:tcPr>
            <w:tcW w:w="70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24.53</w:t>
            </w:r>
          </w:p>
        </w:tc>
        <w:tc>
          <w:tcPr>
            <w:tcW w:w="6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10.70</w:t>
            </w:r>
          </w:p>
        </w:tc>
        <w:tc>
          <w:tcPr>
            <w:tcW w:w="13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8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621,095</w:t>
            </w:r>
          </w:p>
        </w:tc>
        <w:tc>
          <w:tcPr>
            <w:tcW w:w="70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70.66</w:t>
            </w:r>
          </w:p>
        </w:tc>
        <w:tc>
          <w:tcPr>
            <w:tcW w:w="6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25.84</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(350,872)</w:t>
            </w:r>
          </w:p>
        </w:tc>
        <w:tc>
          <w:tcPr>
            <w:tcW w:w="70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20.36</w:t>
            </w:r>
          </w:p>
        </w:tc>
        <w:tc>
          <w:tcPr>
            <w:tcW w:w="6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8.96</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(41,877)</w:t>
            </w:r>
          </w:p>
        </w:tc>
        <w:tc>
          <w:tcPr>
            <w:tcW w:w="70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29.03</w:t>
            </w:r>
          </w:p>
        </w:tc>
        <w:tc>
          <w:tcPr>
            <w:tcW w:w="6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12.27</w:t>
            </w:r>
          </w:p>
        </w:tc>
        <w:tc>
          <w:tcPr>
            <w:tcW w:w="13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June 30, 2008</w:t>
            </w:r>
          </w:p>
        </w:tc>
        <w:tc>
          <w:tcPr>
            <w:tcW w:w="18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2,716,409</w:t>
            </w:r>
          </w:p>
        </w:tc>
        <w:tc>
          <w:tcPr>
            <w:tcW w:w="70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35.55</w:t>
            </w:r>
          </w:p>
        </w:tc>
        <w:tc>
          <w:tcPr>
            <w:tcW w:w="6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14.36</w:t>
            </w:r>
          </w:p>
        </w:tc>
        <w:tc>
          <w:tcPr>
            <w:tcW w:w="1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Borders>
              <w:top w:val="single" w:sz="8" w:color="CCEEFF"/>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Exercisable at June 30, 2008</w:t>
            </w:r>
          </w:p>
        </w:tc>
        <w:tc>
          <w:tcPr>
            <w:tcW w:w="18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790,838</w:t>
            </w:r>
          </w:p>
        </w:tc>
        <w:tc>
          <w:tcPr>
            <w:tcW w:w="70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21.47</w:t>
            </w:r>
          </w:p>
        </w:tc>
        <w:tc>
          <w:tcPr>
            <w:tcW w:w="6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9.26</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2008, is eight years.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weighted average fair value of stock options granted during the six months ended June 30, 2008, calculated using the Black-Scholes option pricing model, was $25.84 based on the following assumptions; dividend yield - 0%, risk free interest rate – 3.2%, expected volatility - 35% and weighted average expected life – 5.11 years.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gilts zero-coupon yield curve in effect at time of grant for periods corresponding with the expected life of the option.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Income from operations for the six months ended June 30, 2008, is stated after charging $2.8 million in respect of non-cash stock compensation expense. Basic and diluted earnings per share for the six months ended June 30, 2008, had SFAS 123R not been introduced would have been $1.33 and $1.27 respectively. Non-cash stock compensation expense for the six months ended June 30, 2008, has been allocated to direct costs and selling, general and administrative expenses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6"/>
        </w:trPr>
        <w:tc>
          <w:tcPr>
            <w:tcW w:w="4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33"/>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6"/>
        </w:trPr>
        <w:tc>
          <w:tcPr>
            <w:tcW w:w="400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49"/>
        </w:trPr>
        <w:tc>
          <w:tcPr>
            <w:tcW w:w="4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71"/>
              </w:rPr>
              <w:t>thousands</w:t>
            </w:r>
            <w:r>
              <w:rPr>
                <w:rFonts w:ascii="Arial" w:cs="Arial" w:eastAsia="Arial" w:hAnsi="Arial"/>
                <w:sz w:val="13"/>
                <w:szCs w:val="13"/>
                <w:color w:val="auto"/>
                <w:w w:val="71"/>
              </w:rPr>
              <w: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74"/>
              </w:rPr>
              <w:t>thousands</w:t>
            </w:r>
            <w:r>
              <w:rPr>
                <w:rFonts w:ascii="Arial" w:cs="Arial" w:eastAsia="Arial" w:hAnsi="Arial"/>
                <w:sz w:val="13"/>
                <w:szCs w:val="13"/>
                <w:color w:val="auto"/>
                <w:w w:val="74"/>
              </w:rPr>
              <w: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4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w:t>
            </w:r>
          </w:p>
        </w:tc>
        <w:tc>
          <w:tcPr>
            <w:tcW w:w="8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760</w:t>
            </w:r>
          </w:p>
        </w:tc>
        <w:tc>
          <w:tcPr>
            <w:tcW w:w="5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1,538</w:t>
            </w:r>
          </w:p>
        </w:tc>
        <w:tc>
          <w:tcPr>
            <w:tcW w:w="7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1,410</w:t>
            </w:r>
          </w:p>
        </w:tc>
        <w:tc>
          <w:tcPr>
            <w:tcW w:w="1720" w:type="dxa"/>
            <w:vAlign w:val="bottom"/>
          </w:tcPr>
          <w:p>
            <w:pPr>
              <w:spacing w:after="0"/>
              <w:rPr>
                <w:sz w:val="12"/>
                <w:szCs w:val="12"/>
                <w:color w:val="auto"/>
              </w:rPr>
            </w:pPr>
          </w:p>
        </w:tc>
      </w:tr>
      <w:tr>
        <w:trPr>
          <w:trHeight w:val="156"/>
        </w:trPr>
        <w:tc>
          <w:tcPr>
            <w:tcW w:w="40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40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707</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1,291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1,149</w:t>
            </w:r>
          </w:p>
        </w:tc>
        <w:tc>
          <w:tcPr>
            <w:tcW w:w="1720" w:type="dxa"/>
            <w:vAlign w:val="bottom"/>
          </w:tcPr>
          <w:p>
            <w:pPr>
              <w:spacing w:after="0"/>
              <w:rPr>
                <w:sz w:val="13"/>
                <w:szCs w:val="13"/>
                <w:color w:val="auto"/>
              </w:rPr>
            </w:pPr>
          </w:p>
        </w:tc>
      </w:tr>
      <w:tr>
        <w:trPr>
          <w:trHeight w:val="149"/>
        </w:trPr>
        <w:tc>
          <w:tcPr>
            <w:tcW w:w="400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400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1,575</w:t>
            </w: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1,379</w:t>
            </w:r>
          </w:p>
        </w:tc>
        <w:tc>
          <w:tcPr>
            <w:tcW w:w="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2,829</w:t>
            </w:r>
          </w:p>
        </w:tc>
        <w:tc>
          <w:tcPr>
            <w:tcW w:w="7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2,559</w:t>
            </w:r>
          </w:p>
        </w:tc>
        <w:tc>
          <w:tcPr>
            <w:tcW w:w="1720" w:type="dxa"/>
            <w:vAlign w:val="bottom"/>
          </w:tcPr>
          <w:p>
            <w:pPr>
              <w:spacing w:after="0"/>
              <w:rPr>
                <w:sz w:val="12"/>
                <w:szCs w:val="12"/>
                <w:color w:val="auto"/>
              </w:rPr>
            </w:pPr>
          </w:p>
        </w:tc>
      </w:tr>
      <w:tr>
        <w:trPr>
          <w:trHeight w:val="21"/>
        </w:trPr>
        <w:tc>
          <w:tcPr>
            <w:tcW w:w="4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00"/>
        </w:trPr>
        <w:tc>
          <w:tcPr>
            <w:tcW w:w="4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10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3"/>
        </w:trPr>
        <w:tc>
          <w:tcPr>
            <w:tcW w:w="40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2"/>
        </w:trPr>
        <w:tc>
          <w:tcPr>
            <w:tcW w:w="5740" w:type="dxa"/>
            <w:vAlign w:val="bottom"/>
            <w:gridSpan w:val="2"/>
          </w:tcPr>
          <w:p>
            <w:pPr>
              <w:spacing w:after="0"/>
              <w:rPr>
                <w:sz w:val="20"/>
                <w:szCs w:val="20"/>
                <w:color w:val="auto"/>
              </w:rPr>
            </w:pPr>
            <w:r>
              <w:rPr>
                <w:rFonts w:ascii="Arial" w:cs="Arial" w:eastAsia="Arial" w:hAnsi="Arial"/>
                <w:sz w:val="14"/>
                <w:szCs w:val="14"/>
                <w:color w:val="auto"/>
              </w:rPr>
              <w:t>Non vested shares outstanding as at June 30, 2008, are as follows:</w:t>
            </w:r>
          </w:p>
        </w:tc>
        <w:tc>
          <w:tcPr>
            <w:tcW w:w="1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544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Weighted Average</w:t>
            </w:r>
          </w:p>
        </w:tc>
        <w:tc>
          <w:tcPr>
            <w:tcW w:w="380" w:type="dxa"/>
            <w:vAlign w:val="bottom"/>
          </w:tcPr>
          <w:p>
            <w:pPr>
              <w:spacing w:after="0"/>
              <w:rPr>
                <w:sz w:val="9"/>
                <w:szCs w:val="9"/>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7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Outstanding</w:t>
            </w:r>
          </w:p>
        </w:tc>
        <w:tc>
          <w:tcPr>
            <w:tcW w:w="3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b w:val="1"/>
                <w:bCs w:val="1"/>
                <w:color w:val="auto"/>
              </w:rPr>
              <w:t>Number of Shares</w:t>
            </w:r>
          </w:p>
        </w:tc>
        <w:tc>
          <w:tcPr>
            <w:tcW w:w="360" w:type="dxa"/>
            <w:vAlign w:val="bottom"/>
          </w:tcPr>
          <w:p>
            <w:pPr>
              <w:spacing w:after="0"/>
              <w:rPr>
                <w:sz w:val="16"/>
                <w:szCs w:val="16"/>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Exercise Price</w:t>
            </w:r>
          </w:p>
        </w:tc>
        <w:tc>
          <w:tcPr>
            <w:tcW w:w="38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4"/>
        </w:trPr>
        <w:tc>
          <w:tcPr>
            <w:tcW w:w="300" w:type="dxa"/>
            <w:vAlign w:val="bottom"/>
            <w:vMerge w:val="restart"/>
          </w:tcPr>
          <w:p>
            <w:pPr>
              <w:spacing w:after="0"/>
              <w:rPr>
                <w:sz w:val="11"/>
                <w:szCs w:val="11"/>
                <w:color w:val="auto"/>
              </w:rPr>
            </w:pPr>
          </w:p>
        </w:tc>
        <w:tc>
          <w:tcPr>
            <w:tcW w:w="5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00" w:type="dxa"/>
            <w:vAlign w:val="bottom"/>
            <w:vMerge w:val="continue"/>
          </w:tcPr>
          <w:p>
            <w:pPr>
              <w:spacing w:after="0"/>
              <w:rPr>
                <w:sz w:val="13"/>
                <w:szCs w:val="13"/>
                <w:color w:val="auto"/>
              </w:rPr>
            </w:pPr>
          </w:p>
        </w:tc>
        <w:tc>
          <w:tcPr>
            <w:tcW w:w="54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December 31, 2007</w:t>
            </w:r>
          </w:p>
        </w:tc>
        <w:tc>
          <w:tcPr>
            <w:tcW w:w="1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1,808,949</w:t>
            </w:r>
          </w:p>
        </w:tc>
        <w:tc>
          <w:tcPr>
            <w:tcW w:w="3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26.47</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11.62</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12"/>
                <w:szCs w:val="12"/>
                <w:color w:val="auto"/>
              </w:rPr>
            </w:pPr>
          </w:p>
        </w:tc>
        <w:tc>
          <w:tcPr>
            <w:tcW w:w="5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621,095</w:t>
            </w:r>
          </w:p>
        </w:tc>
        <w:tc>
          <w:tcPr>
            <w:tcW w:w="3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70.66</w:t>
            </w:r>
          </w:p>
        </w:tc>
        <w:tc>
          <w:tcPr>
            <w:tcW w:w="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Vested</w:t>
            </w:r>
          </w:p>
        </w:tc>
        <w:tc>
          <w:tcPr>
            <w:tcW w:w="1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(467,399)</w:t>
            </w:r>
          </w:p>
        </w:tc>
        <w:tc>
          <w:tcPr>
            <w:tcW w:w="3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23.77</w:t>
            </w:r>
          </w:p>
        </w:tc>
        <w:tc>
          <w:tcPr>
            <w:tcW w:w="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10.52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54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7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(37,074)</w:t>
            </w:r>
          </w:p>
        </w:tc>
        <w:tc>
          <w:tcPr>
            <w:tcW w:w="3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29.10</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12.49</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12"/>
                <w:szCs w:val="12"/>
                <w:color w:val="auto"/>
              </w:rPr>
            </w:pPr>
          </w:p>
        </w:tc>
        <w:tc>
          <w:tcPr>
            <w:tcW w:w="5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0" w:type="dxa"/>
            <w:vAlign w:val="bottom"/>
            <w:vMerge w:val="continue"/>
          </w:tcPr>
          <w:p>
            <w:pPr>
              <w:spacing w:after="0"/>
              <w:rPr>
                <w:sz w:val="16"/>
                <w:szCs w:val="16"/>
                <w:color w:val="auto"/>
              </w:rPr>
            </w:pPr>
          </w:p>
        </w:tc>
        <w:tc>
          <w:tcPr>
            <w:tcW w:w="54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June 30, 2008</w:t>
            </w:r>
          </w:p>
        </w:tc>
        <w:tc>
          <w:tcPr>
            <w:tcW w:w="1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1,925,571</w:t>
            </w:r>
          </w:p>
        </w:tc>
        <w:tc>
          <w:tcPr>
            <w:tcW w:w="3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41.33</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16.46</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at June 30, 2008, total unrecognized compensation cost related to unvested options, which the Company expects to recognize over a weighted average period of 2.4 years, amounted to $20 million. The Company has granted options with fair values ranging from $6.34 to $25.84 per option or a weighted average fair value of $11.52 per option. The Company issues new ordinary shares for all options exercised. The total amount of fully vested share options which remained outstanding at June 30, 2008, was 790,838. The fully vested options have an average remaining contractual term of 4.38 years, an average exercise price of $21.47 and a total intrinsic value of $42.7 million. The total intrinsic value of options exercised during the six month period ended June 30, 2008, was $19.4 million (2007: $7.8 million). The total intrinsic value of options exercised during the three month period ended June 30, 2008, was $10.1 million (2007: $2.8 million).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Business Segment Information</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operates predominantly in the contract clinical research industry providing a broad range of clinical research and integrated product development services on a global basis for the pharmaceutical and biotechnology industries. The Company also has a central laboratory segment primarily based in New York, USA. This, together with laboratory services based in Dublin, form the central laboratory segment information disclosed below.</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 Company's areas of operation outside of Ireland principally include the United States, England, Scotland, France, Germany, Spain, Italy, The Netherlands, Denmark, Sweden, Finland, Russia, Latvia, Lithuania, Ukraine, Poland, Romania, Czech Republic, Hungary, Israel, Australia, New Zealand, Japan, South Korea, China, Taiwan, Hong Kong, Thailand, Singapore, India, South Africa, Canada, Columbia, Mexico, Brazil, Peru, Argentina and Chile. Segment information for the three and six months ended June 30, 2008, the three and six months ended June 30, 2007, and as at June 30, 2008, and December 31, 2007, is as follows:</w:t>
      </w: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The distribution of net revenue by geographical area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74"/>
              </w:rPr>
              <w:t>thousands)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74"/>
              </w:rPr>
              <w:t>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36,955</w:t>
            </w:r>
          </w:p>
        </w:tc>
        <w:tc>
          <w:tcPr>
            <w:tcW w:w="8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27,685</w:t>
            </w:r>
          </w:p>
        </w:tc>
        <w:tc>
          <w:tcPr>
            <w:tcW w:w="6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72,393</w:t>
            </w:r>
          </w:p>
        </w:tc>
        <w:tc>
          <w:tcPr>
            <w:tcW w:w="8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50,388</w:t>
            </w:r>
          </w:p>
        </w:tc>
        <w:tc>
          <w:tcPr>
            <w:tcW w:w="10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66,322</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35,453</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124,028</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67,549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100,537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76,023</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192,635</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148,993</w:t>
            </w:r>
          </w:p>
        </w:tc>
        <w:tc>
          <w:tcPr>
            <w:tcW w:w="10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14,486</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7,886</w:t>
            </w: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30,588</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16,206</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34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218,300</w:t>
            </w:r>
          </w:p>
        </w:tc>
        <w:tc>
          <w:tcPr>
            <w:tcW w:w="880" w:type="dxa"/>
            <w:vAlign w:val="bottom"/>
            <w:tcBorders>
              <w:bottom w:val="single" w:sz="8" w:color="auto"/>
            </w:tcBorders>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147,047</w:t>
            </w:r>
          </w:p>
        </w:tc>
        <w:tc>
          <w:tcPr>
            <w:tcW w:w="620" w:type="dxa"/>
            <w:vAlign w:val="bottom"/>
            <w:tcBorders>
              <w:bottom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419,644</w:t>
            </w:r>
          </w:p>
        </w:tc>
        <w:tc>
          <w:tcPr>
            <w:tcW w:w="840" w:type="dxa"/>
            <w:vAlign w:val="bottom"/>
            <w:tcBorders>
              <w:bottom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283,136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 All sales shown for Ireland are export sales.</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4420" w:type="dxa"/>
            <w:vAlign w:val="bottom"/>
            <w:gridSpan w:val="2"/>
          </w:tcPr>
          <w:p>
            <w:pPr>
              <w:spacing w:after="0"/>
              <w:rPr>
                <w:sz w:val="20"/>
                <w:szCs w:val="20"/>
                <w:color w:val="auto"/>
              </w:rPr>
            </w:pPr>
            <w:r>
              <w:rPr>
                <w:rFonts w:ascii="Arial" w:cs="Arial" w:eastAsia="Arial" w:hAnsi="Arial"/>
                <w:sz w:val="14"/>
                <w:szCs w:val="14"/>
                <w:color w:val="auto"/>
              </w:rPr>
              <w:t>b) The distribution of net revenue by business segment was as follows:</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16,630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12,880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33,038</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25,957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Clinical research</w:t>
            </w:r>
          </w:p>
        </w:tc>
        <w:tc>
          <w:tcPr>
            <w:tcW w:w="400" w:type="dxa"/>
            <w:vAlign w:val="bottom"/>
          </w:tcPr>
          <w:p>
            <w:pPr>
              <w:spacing w:after="0"/>
              <w:rPr>
                <w:sz w:val="13"/>
                <w:szCs w:val="13"/>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201,670</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134,167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386,606</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257,179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218,300</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147,047</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419,644</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283,136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c) The distribution of income from operations by geographical area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8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10,561</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9,106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22,466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19,938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19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746</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1,738</w:t>
            </w:r>
          </w:p>
        </w:tc>
        <w:tc>
          <w:tcPr>
            <w:tcW w:w="200" w:type="dxa"/>
            <w:vAlign w:val="bottom"/>
          </w:tcPr>
          <w:p>
            <w:pPr>
              <w:spacing w:after="0"/>
              <w:rPr>
                <w:sz w:val="12"/>
                <w:szCs w:val="12"/>
                <w:color w:val="auto"/>
              </w:rPr>
            </w:pPr>
          </w:p>
        </w:tc>
        <w:tc>
          <w:tcPr>
            <w:tcW w:w="14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4,503</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9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12,923</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5,268</w:t>
            </w: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18,427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19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510</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vMerge w:val="continue"/>
          </w:tcPr>
          <w:p>
            <w:pPr>
              <w:spacing w:after="0"/>
              <w:rPr>
                <w:sz w:val="12"/>
                <w:szCs w:val="12"/>
                <w:color w:val="auto"/>
              </w:rPr>
            </w:pPr>
          </w:p>
        </w:tc>
        <w:tc>
          <w:tcPr>
            <w:tcW w:w="2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1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24,394</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16,060</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45,906</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30,752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d) The distribution of income from operations by business segment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w w:val="97"/>
              </w:rPr>
              <w:t>Six Months Ended</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1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19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23,093</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15,215</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43,375</w:t>
            </w: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28,959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24,394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16,060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45,906</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30,752</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20" w:type="dxa"/>
            <w:vAlign w:val="bottom"/>
            <w:tcBorders>
              <w:top w:val="single" w:sz="8" w:color="auto"/>
              <w:bottom w:val="single" w:sz="8" w:color="auto"/>
            </w:tcBorders>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540" w:type="dxa"/>
            <w:vAlign w:val="bottom"/>
            <w:gridSpan w:val="4"/>
          </w:tcPr>
          <w:p>
            <w:pPr>
              <w:spacing w:after="0"/>
              <w:rPr>
                <w:sz w:val="20"/>
                <w:szCs w:val="20"/>
                <w:color w:val="auto"/>
              </w:rPr>
            </w:pPr>
            <w:r>
              <w:rPr>
                <w:rFonts w:ascii="Arial" w:cs="Arial" w:eastAsia="Arial" w:hAnsi="Arial"/>
                <w:sz w:val="14"/>
                <w:szCs w:val="14"/>
                <w:color w:val="auto"/>
                <w:w w:val="94"/>
              </w:rPr>
              <w:t>e) The distribution of property, plant and equipment, net, by geographical area was as follows: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100,766</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21,546</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34,736</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19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8,135</w:t>
            </w: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165,183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133,426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ind w:right="348"/>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f) The distribution of property, plant and equipment, net, by business segment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19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10,035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19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155,148</w:t>
            </w: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126,378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165,183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133,426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80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420" w:type="dxa"/>
            <w:vAlign w:val="bottom"/>
            <w:gridSpan w:val="4"/>
          </w:tcPr>
          <w:p>
            <w:pPr>
              <w:spacing w:after="0"/>
              <w:rPr>
                <w:sz w:val="20"/>
                <w:szCs w:val="20"/>
                <w:color w:val="auto"/>
              </w:rPr>
            </w:pPr>
            <w:r>
              <w:rPr>
                <w:rFonts w:ascii="Arial" w:cs="Arial" w:eastAsia="Arial" w:hAnsi="Arial"/>
                <w:sz w:val="14"/>
                <w:szCs w:val="14"/>
                <w:color w:val="auto"/>
                <w:w w:val="98"/>
              </w:rPr>
              <w:t>g) The distribution of depreciation and amortization by geographical area was as follows: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w w:val="97"/>
              </w:rPr>
              <w:t>Six Months Ended</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4,073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1,665</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747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3,014</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9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1,929</w:t>
            </w:r>
          </w:p>
        </w:tc>
        <w:tc>
          <w:tcPr>
            <w:tcW w:w="20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4,579</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19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565</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345</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1,073</w:t>
            </w: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vMerge w:val="continue"/>
          </w:tcPr>
          <w:p>
            <w:pPr>
              <w:spacing w:after="0"/>
              <w:rPr>
                <w:sz w:val="12"/>
                <w:szCs w:val="12"/>
                <w:color w:val="auto"/>
              </w:rPr>
            </w:pPr>
          </w:p>
        </w:tc>
        <w:tc>
          <w:tcPr>
            <w:tcW w:w="2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1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6,641</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4,450</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12,739</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8,606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h) The distribution of depreciation and amortization by business segment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97"/>
              </w:rPr>
              <w:t>Six Months Ended</w:t>
            </w: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jc w:val="right"/>
              <w:ind w:right="8"/>
              <w:spacing w:after="0" w:line="130"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rPr>
              <w:t>thousands)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28"/>
              <w:spacing w:after="0" w:line="130"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5"/>
          </w:tcPr>
          <w:p>
            <w:pPr>
              <w:spacing w:after="0" w:line="130" w:lineRule="exact"/>
              <w:rPr>
                <w:sz w:val="20"/>
                <w:szCs w:val="20"/>
                <w:color w:val="auto"/>
              </w:rPr>
            </w:pPr>
            <w:r>
              <w:rPr>
                <w:rFonts w:ascii="Arial" w:cs="Arial" w:eastAsia="Arial" w:hAnsi="Arial"/>
                <w:sz w:val="14"/>
                <w:szCs w:val="14"/>
                <w:b w:val="1"/>
                <w:bCs w:val="1"/>
                <w:color w:val="auto"/>
              </w:rPr>
              <w:t>thousands)</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Central laboratory</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1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843</w:t>
            </w:r>
          </w:p>
        </w:tc>
        <w:tc>
          <w:tcPr>
            <w:tcW w:w="80" w:type="dxa"/>
            <w:vAlign w:val="bottom"/>
          </w:tcPr>
          <w:p>
            <w:pPr>
              <w:spacing w:after="0"/>
              <w:rPr>
                <w:sz w:val="12"/>
                <w:szCs w:val="12"/>
                <w:color w:val="auto"/>
              </w:rPr>
            </w:pPr>
          </w:p>
        </w:tc>
      </w:tr>
      <w:tr>
        <w:trPr>
          <w:trHeight w:val="174"/>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Clinical research</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6,112</w:t>
            </w: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4,036</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11,702</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7,763</w:t>
            </w:r>
          </w:p>
        </w:tc>
        <w:tc>
          <w:tcPr>
            <w:tcW w:w="80" w:type="dxa"/>
            <w:vAlign w:val="bottom"/>
          </w:tcPr>
          <w:p>
            <w:pPr>
              <w:spacing w:after="0"/>
              <w:rPr>
                <w:sz w:val="15"/>
                <w:szCs w:val="15"/>
                <w:color w:val="auto"/>
              </w:rPr>
            </w:pPr>
          </w:p>
        </w:tc>
      </w:tr>
      <w:tr>
        <w:trPr>
          <w:trHeight w:val="297"/>
        </w:trPr>
        <w:tc>
          <w:tcPr>
            <w:tcW w:w="4380" w:type="dxa"/>
            <w:vAlign w:val="bottom"/>
            <w:gridSpan w:val="2"/>
          </w:tcPr>
          <w:p>
            <w:pPr>
              <w:spacing w:after="0"/>
              <w:rPr>
                <w:sz w:val="20"/>
                <w:szCs w:val="20"/>
                <w:color w:val="auto"/>
              </w:rPr>
            </w:pPr>
            <w:r>
              <w:rPr>
                <w:rFonts w:ascii="Arial" w:cs="Arial" w:eastAsia="Arial" w:hAnsi="Arial"/>
                <w:sz w:val="14"/>
                <w:szCs w:val="14"/>
                <w:color w:val="auto"/>
              </w:rPr>
              <w:t>Total</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6,641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4,450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12,739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8,606</w:t>
            </w:r>
          </w:p>
        </w:tc>
        <w:tc>
          <w:tcPr>
            <w:tcW w:w="80" w:type="dxa"/>
            <w:vAlign w:val="bottom"/>
          </w:tcPr>
          <w:p>
            <w:pPr>
              <w:spacing w:after="0"/>
              <w:rPr>
                <w:sz w:val="24"/>
                <w:szCs w:val="2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0"/>
        </w:trPr>
        <w:tc>
          <w:tcPr>
            <w:tcW w:w="4380" w:type="dxa"/>
            <w:vAlign w:val="bottom"/>
            <w:gridSpan w:val="2"/>
          </w:tcPr>
          <w:p>
            <w:pPr>
              <w:spacing w:after="0"/>
              <w:rPr>
                <w:sz w:val="20"/>
                <w:szCs w:val="20"/>
                <w:color w:val="auto"/>
              </w:rPr>
            </w:pPr>
            <w:r>
              <w:rPr>
                <w:rFonts w:ascii="Arial" w:cs="Arial" w:eastAsia="Arial" w:hAnsi="Arial"/>
                <w:sz w:val="14"/>
                <w:szCs w:val="14"/>
                <w:color w:val="auto"/>
              </w:rPr>
              <w:t>i) The distribution of total assets by geographical area was as follows:</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4"/>
          </w:tcPr>
          <w:p>
            <w:pPr>
              <w:jc w:val="center"/>
              <w:ind w:right="748"/>
              <w:spacing w:after="0" w:line="149"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290,517</w:t>
            </w:r>
          </w:p>
        </w:tc>
        <w:tc>
          <w:tcPr>
            <w:tcW w:w="3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202,293</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170,027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161,746</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353,622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301,183</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ind w:right="28"/>
              <w:spacing w:after="0" w:line="149" w:lineRule="exact"/>
              <w:rPr>
                <w:sz w:val="20"/>
                <w:szCs w:val="20"/>
                <w:color w:val="auto"/>
              </w:rPr>
            </w:pPr>
            <w:r>
              <w:rPr>
                <w:rFonts w:ascii="Arial" w:cs="Arial" w:eastAsia="Arial" w:hAnsi="Arial"/>
                <w:sz w:val="14"/>
                <w:szCs w:val="14"/>
                <w:color w:val="auto"/>
              </w:rPr>
              <w:t>29,802</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27,916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843,968</w:t>
            </w:r>
          </w:p>
        </w:tc>
        <w:tc>
          <w:tcPr>
            <w:tcW w:w="3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693,138</w:t>
            </w:r>
          </w:p>
        </w:tc>
        <w:tc>
          <w:tcPr>
            <w:tcW w:w="80" w:type="dxa"/>
            <w:vAlign w:val="bottom"/>
            <w:shd w:val="clear" w:color="auto" w:fill="CCEEFF"/>
          </w:tcPr>
          <w:p>
            <w:pPr>
              <w:spacing w:after="0"/>
              <w:rPr>
                <w:sz w:val="16"/>
                <w:szCs w:val="16"/>
                <w:color w:val="auto"/>
              </w:rPr>
            </w:pPr>
          </w:p>
        </w:tc>
      </w:tr>
      <w:tr>
        <w:trPr>
          <w:trHeight w:val="400"/>
        </w:trPr>
        <w:tc>
          <w:tcPr>
            <w:tcW w:w="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13</w:t>
            </w:r>
          </w:p>
        </w:tc>
        <w:tc>
          <w:tcPr>
            <w:tcW w:w="3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4820" w:type="dxa"/>
            <w:vAlign w:val="bottom"/>
            <w:gridSpan w:val="2"/>
          </w:tcPr>
          <w:p>
            <w:pPr>
              <w:spacing w:after="0"/>
              <w:rPr>
                <w:sz w:val="20"/>
                <w:szCs w:val="20"/>
                <w:color w:val="auto"/>
              </w:rPr>
            </w:pPr>
            <w:r>
              <w:rPr>
                <w:rFonts w:ascii="Arial" w:cs="Arial" w:eastAsia="Arial" w:hAnsi="Arial"/>
                <w:sz w:val="14"/>
                <w:szCs w:val="14"/>
                <w:color w:val="auto"/>
              </w:rPr>
              <w:t>j) The distribution of total assets by business segment was as follows:</w:t>
            </w:r>
          </w:p>
        </w:tc>
        <w:tc>
          <w:tcPr>
            <w:tcW w:w="4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3"/>
          </w:tcPr>
          <w:p>
            <w:pPr>
              <w:jc w:val="center"/>
              <w:ind w:right="748"/>
              <w:spacing w:after="0" w:line="14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4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41,893</w:t>
            </w:r>
          </w:p>
        </w:tc>
        <w:tc>
          <w:tcPr>
            <w:tcW w:w="40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40,562</w:t>
            </w:r>
          </w:p>
        </w:tc>
      </w:tr>
      <w:tr>
        <w:trPr>
          <w:trHeight w:val="156"/>
        </w:trPr>
        <w:tc>
          <w:tcPr>
            <w:tcW w:w="20" w:type="dxa"/>
            <w:vAlign w:val="bottom"/>
          </w:tcPr>
          <w:p>
            <w:pPr>
              <w:spacing w:after="0"/>
              <w:rPr>
                <w:sz w:val="13"/>
                <w:szCs w:val="13"/>
                <w:color w:val="auto"/>
              </w:rPr>
            </w:pPr>
          </w:p>
        </w:tc>
        <w:tc>
          <w:tcPr>
            <w:tcW w:w="48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40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802,075</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652,576</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843,968</w:t>
            </w:r>
          </w:p>
        </w:tc>
        <w:tc>
          <w:tcPr>
            <w:tcW w:w="40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693,138</w:t>
            </w:r>
          </w:p>
        </w:tc>
      </w:tr>
      <w:tr>
        <w:trPr>
          <w:trHeight w:val="400"/>
        </w:trPr>
        <w:tc>
          <w:tcPr>
            <w:tcW w:w="20" w:type="dxa"/>
            <w:vAlign w:val="bottom"/>
          </w:tcPr>
          <w:p>
            <w:pPr>
              <w:spacing w:after="0"/>
              <w:rPr>
                <w:sz w:val="24"/>
                <w:szCs w:val="24"/>
                <w:color w:val="auto"/>
              </w:rPr>
            </w:pPr>
          </w:p>
        </w:tc>
        <w:tc>
          <w:tcPr>
            <w:tcW w:w="480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tcPr>
          <w:p>
            <w:pPr>
              <w:jc w:val="right"/>
              <w:ind w:right="2968"/>
              <w:spacing w:after="0"/>
              <w:rPr>
                <w:sz w:val="20"/>
                <w:szCs w:val="20"/>
                <w:color w:val="auto"/>
              </w:rPr>
            </w:pPr>
            <w:r>
              <w:rPr>
                <w:rFonts w:ascii="Arial" w:cs="Arial" w:eastAsia="Arial" w:hAnsi="Arial"/>
                <w:sz w:val="14"/>
                <w:szCs w:val="14"/>
                <w:color w:val="auto"/>
              </w:rPr>
              <w:t>14</w:t>
            </w: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2007. The Consolidated Financial Statements have been prepared in accordance with accounting principles generally accepted in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primary approach is to use dedicated teams to achieve optimum results, but we can implement a range of resourcing models to suit client requirements.</w:t>
      </w: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In a highly fragmented industry, we are one of a small number of companies with the capability and expertise to conduct clinical trials in all major therapeutic areas on a global basis. Currently, we have approximately 6,510 employees, in 71 locations in 38 countries, providing Phase I - IV Clinical Trial Management, Drug Development Support Services, Data Management and Biostatistics and Central Laboratory and Imaging Services. For the six months ended June 30, 2008, we derived approximately 46.1%, 47.3% and 6.6% of our net revenue in the United States, Europe and Rest of World, respectively.</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Direct costs consist primarily of compensation, associated fringe benefits and share based compensation expense for project-related employees and other direct project driven costs. Selling, general and administrative expenses consist of compensation, related fringe benefits and share based compensation expense for selling and administrative employees, professional services, advertising costs and all costs related to facilities and information systems.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We have 19 operations operating in U.S. dollars, 11 trading in Euros, 6 in pounds Sterling, 3 in Indian Rupee, 2 each in Russian Rouble, Japanese Yen, Swedish Krona and Polish Zloty, and 1 each in Australian dollars, Singapore dollars, Israeli New Shekels, Latvian Lats, Argentine Peso, South African Rand, Canadian dollar, Hungarian Forint, Danish Krone, Czech Koruna, Ukraine Hryvnia, Romanian New Leu, Hong Kong dollar, Taiwan dollar, Mexican Peso, Brazilian Real, Chilean Peso, South Korean Won, Thai Baht, Chinese Yuan Renminbi, Lithuanian Litas, Peruvian Neuvo Sol, Columbian Peso &amp; New Zealand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This risk is partially mitigated by clauses in certain of our contracts which allow for price renegotiation with our clients if changes in the relative value of those currencies exceed predetermined tolerances. We regularly review our currency exposures and hedge a portion of these, using forward exchange contracts, where they are not covered by natural hedges.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 w:name="page18"/>
    <w:bookmarkEnd w:id="17"/>
    <w:p>
      <w:pPr>
        <w:jc w:val="both"/>
        <w:ind w:right="20"/>
        <w:spacing w:after="0" w:line="237"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June 30, 2008 compared with Three Months Ended June 30, 2007</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34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340" w:type="dxa"/>
            <w:vAlign w:val="bottom"/>
            <w:gridSpan w:val="3"/>
          </w:tcPr>
          <w:p>
            <w:pPr>
              <w:ind w:left="760"/>
              <w:spacing w:after="0" w:line="149" w:lineRule="exact"/>
              <w:rPr>
                <w:sz w:val="20"/>
                <w:szCs w:val="20"/>
                <w:color w:val="auto"/>
              </w:rPr>
            </w:pPr>
            <w:r>
              <w:rPr>
                <w:rFonts w:ascii="Arial" w:cs="Arial" w:eastAsia="Arial" w:hAnsi="Arial"/>
                <w:sz w:val="14"/>
                <w:szCs w:val="14"/>
                <w:b w:val="1"/>
                <w:bCs w:val="1"/>
                <w:color w:val="auto"/>
              </w:rPr>
              <w:t>June 30,</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June 30,</w:t>
            </w:r>
          </w:p>
        </w:tc>
        <w:tc>
          <w:tcPr>
            <w:tcW w:w="3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to 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340" w:type="dxa"/>
            <w:vAlign w:val="bottom"/>
            <w:gridSpan w:val="3"/>
            <w:vMerge w:val="restart"/>
          </w:tcPr>
          <w:p>
            <w:pPr>
              <w:jc w:val="center"/>
              <w:ind w:left="488"/>
              <w:spacing w:after="0"/>
              <w:rPr>
                <w:sz w:val="20"/>
                <w:szCs w:val="20"/>
                <w:color w:val="auto"/>
              </w:rPr>
            </w:pPr>
            <w:r>
              <w:rPr>
                <w:rFonts w:ascii="Arial" w:cs="Arial" w:eastAsia="Arial" w:hAnsi="Arial"/>
                <w:sz w:val="14"/>
                <w:szCs w:val="14"/>
                <w:b w:val="1"/>
                <w:bCs w:val="1"/>
                <w:color w:val="auto"/>
                <w:w w:val="91"/>
              </w:rPr>
              <w:t>Percentage of Net Revenue</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340" w:type="dxa"/>
            <w:vAlign w:val="bottom"/>
            <w:tcBorders>
              <w:bottom w:val="single" w:sz="8" w:color="auto"/>
            </w:tcBorders>
            <w:gridSpan w:val="3"/>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1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7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1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56.3%</w:t>
            </w:r>
          </w:p>
        </w:tc>
        <w:tc>
          <w:tcPr>
            <w:tcW w:w="7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57.0%</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w:t>
            </w:r>
          </w:p>
        </w:tc>
        <w:tc>
          <w:tcPr>
            <w:tcW w:w="7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w:t>
            </w:r>
          </w:p>
        </w:tc>
        <w:tc>
          <w:tcPr>
            <w:tcW w:w="1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7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4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11.2%</w:t>
            </w:r>
          </w:p>
        </w:tc>
        <w:tc>
          <w:tcPr>
            <w:tcW w:w="7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10.9%</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Net revenue increased by $71.3 million, or 48.5%, from $147.0 million for the three months ended June 30, 2007, to $218.3 million for the three months ended June 30, 2008. In the three months ended June 30, 2008, net revenue from our central laboratory business increased by 28.7%, from $12.9 million, to $16.6 million, while our clinical research segment grew by 50.3%, from $134.2 million, to $201.7 million, over the period ended June 30, 2007. This increase in net revenue has resulted from a combination of increased business from existing clients, business won from new clients, increased use of outsourcing by the pharmaceutical, biotechnology and medical device industries and an underlying increase in research and development spending.</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Direct costs increased by $39.1 million, or 46.6%, from $83.9 million for the three months ended June 30, 2007, to $123.0 million for the three months ended June 30, 2008, primarily due to increased personnel related costs of $37.5 million resulting from a higher number of project-related employees. The remainder of the movement resulted primarily from increased laboratory and consulting expenses. Direct costs as a percentage of net revenue decreased from 57.0% for the three months ended June 30, 2007, to 56.3% for three months ended June 30, 2008.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13"/>
          <w:szCs w:val="13"/>
          <w:color w:val="auto"/>
        </w:rPr>
        <w:t>Selling, general and administrative expenses increased by $21.6 million, or 50.7%, from $42.7 million for the three months ended June 30, 2007, to $64.3 million for the three months ended June 30, 2008. The increase in SG&amp;A costs is primarily driven by increased personnel related costs of $12.5 million resulting from increased levels of selling and administrative employees to support the continued expansion of the business. In addition to these personnel costs there were additional rent and utility charges of $4.3 million, arising from further office openings since the three months ended June 30, 2007, increased professional, legal and accounting costs of $2.0 million and increased information technology costs of $1.2 million. As a percentage of net revenue, selling, general and administrative expenses, increased from 29.0% in the three months ended June 30, 2007, to 29.4% in the three months ended June 30, 2008.</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Depreciation and amortization expense increased by $2.1 million, or 49.2%, from $4.5 million for the three months ended June 30, 2007, to $6.6 million for the three months ended June 30, 2008. As a percentage of net revenue, depreciation and amortization remained constant at 3.0% in the three months ended June 30, 2008, compared with the three months ended June 30, 2007. The increase in absolute terms arises primarily from construction of the Company’s new headquarter building in Dublin, Republic of Ireland, and the ongoing investment in global infrastructure and information technology to support the Company’s current and future growth.</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Income from operations increased by $8.3 million, or 51.9%, from $16.1 million for the three months ended June 30, 2007, to $24.4 million for the three months ended June 30, 2008. As a percentage of net revenue, income from operations increased from 10.9% for the three months ended June 30, 2007, to 11.2% of net revenues for the three months ended June 30, 2008. The operating income for the quarter is derived after the recognition of the non cash stock compensation charge of $1.6 million.</w:t>
      </w:r>
    </w:p>
    <w:p>
      <w:pPr>
        <w:spacing w:after="0" w:line="210"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The three months ended June 30, 2008, saw a continued improvement in the performance of the central laboratory business, with results improving from an operating profit of 6.6% for the three months ended June 30, 2007, to an operating profit of 7.8% for the three months ended June 30, 2008. The central laboratory constitutes approximately 7.6% of our business revenues for the three months ended June 30, 2008. Operating margins for our clinical research segment increased to 11.5% in the three months ended June 30, 2008, from 11.3% for the three months ended June 30, 2007.</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interest expense for the three months ended June 30, 2008, was $0.5 million, a decrease of $1.5 million on net interest income of $1.0 million from the three months ended June 30, 2007. The Company entered into a number of significant banking facilities in the period since June 30, 2007, to fund the acquisition of DOCS International in July 2007, ($40.6 million), the acquisition of Healthcare Discoveries in February 2008, ($11.1 million), and the construction of the Company’s new headquarter building in Dublin, Republic of Ireland.</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Our provision for income taxes increased from $3.8 million for the three months ended June 30, 2007, to $4.9 million for the three months ended June 30, 2008. ICON plc’s effective tax rate for the three months ended June 30, 2008, was 20.4% compared with 22.0% for the three months ended June 30, 2007. The effective tax rate is principally a function of the distribution of pre-tax profits in the territories in which the Group operates.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Six Months Ended June 30, 2008 Compared with Six Months Ended June 30, 2007</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91"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32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vMerge w:val="restart"/>
          </w:tcPr>
          <w:p>
            <w:pPr>
              <w:ind w:left="1000"/>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320" w:type="dxa"/>
            <w:vAlign w:val="bottom"/>
            <w:gridSpan w:val="3"/>
          </w:tcPr>
          <w:p>
            <w:pPr>
              <w:jc w:val="right"/>
              <w:ind w:right="1040"/>
              <w:spacing w:after="0" w:line="149" w:lineRule="exact"/>
              <w:rPr>
                <w:sz w:val="20"/>
                <w:szCs w:val="20"/>
                <w:color w:val="auto"/>
              </w:rPr>
            </w:pPr>
            <w:r>
              <w:rPr>
                <w:rFonts w:ascii="Arial" w:cs="Arial" w:eastAsia="Arial" w:hAnsi="Arial"/>
                <w:sz w:val="14"/>
                <w:szCs w:val="14"/>
                <w:b w:val="1"/>
                <w:bCs w:val="1"/>
                <w:color w:val="auto"/>
              </w:rPr>
              <w:t>June 30,</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June 30,</w:t>
            </w:r>
          </w:p>
        </w:tc>
        <w:tc>
          <w:tcPr>
            <w:tcW w:w="3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to 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320" w:type="dxa"/>
            <w:vAlign w:val="bottom"/>
            <w:gridSpan w:val="3"/>
            <w:vMerge w:val="restart"/>
          </w:tcPr>
          <w:p>
            <w:pPr>
              <w:jc w:val="center"/>
              <w:ind w:left="488"/>
              <w:spacing w:after="0"/>
              <w:rPr>
                <w:sz w:val="20"/>
                <w:szCs w:val="20"/>
                <w:color w:val="auto"/>
              </w:rPr>
            </w:pPr>
            <w:r>
              <w:rPr>
                <w:rFonts w:ascii="Arial" w:cs="Arial" w:eastAsia="Arial" w:hAnsi="Arial"/>
                <w:sz w:val="14"/>
                <w:szCs w:val="14"/>
                <w:b w:val="1"/>
                <w:bCs w:val="1"/>
                <w:color w:val="auto"/>
                <w:w w:val="90"/>
              </w:rPr>
              <w:t>Percentage of Net Revenue</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1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140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4"/>
                <w:szCs w:val="14"/>
                <w:color w:val="auto"/>
                <w:w w:val="90"/>
              </w:rPr>
              <w:t>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1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56.3%</w:t>
            </w: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57.4%</w:t>
            </w:r>
          </w:p>
        </w:tc>
        <w:tc>
          <w:tcPr>
            <w:tcW w:w="140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4"/>
                <w:szCs w:val="14"/>
                <w:color w:val="auto"/>
                <w:w w:val="90"/>
              </w:rPr>
              <w:t>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29.7%</w:t>
            </w:r>
          </w:p>
        </w:tc>
        <w:tc>
          <w:tcPr>
            <w:tcW w:w="7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28.7%</w:t>
            </w:r>
          </w:p>
        </w:tc>
        <w:tc>
          <w:tcPr>
            <w:tcW w:w="1400" w:type="dxa"/>
            <w:vAlign w:val="bottom"/>
            <w:gridSpan w:val="2"/>
          </w:tcPr>
          <w:p>
            <w:pPr>
              <w:ind w:left="1020"/>
              <w:spacing w:after="0" w:line="149" w:lineRule="exact"/>
              <w:rPr>
                <w:sz w:val="20"/>
                <w:szCs w:val="20"/>
                <w:color w:val="auto"/>
              </w:rPr>
            </w:pPr>
            <w:r>
              <w:rPr>
                <w:rFonts w:ascii="Arial" w:cs="Arial" w:eastAsia="Arial" w:hAnsi="Arial"/>
                <w:sz w:val="14"/>
                <w:szCs w:val="14"/>
                <w:color w:val="auto"/>
                <w:w w:val="90"/>
              </w:rPr>
              <w:t>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w:t>
            </w: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140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4"/>
                <w:szCs w:val="14"/>
                <w:color w:val="auto"/>
                <w:w w:val="90"/>
              </w:rPr>
              <w:t>48.0%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10.9%</w:t>
            </w:r>
          </w:p>
        </w:tc>
        <w:tc>
          <w:tcPr>
            <w:tcW w:w="7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10.9%</w:t>
            </w:r>
          </w:p>
        </w:tc>
        <w:tc>
          <w:tcPr>
            <w:tcW w:w="1400" w:type="dxa"/>
            <w:vAlign w:val="bottom"/>
            <w:gridSpan w:val="2"/>
          </w:tcPr>
          <w:p>
            <w:pPr>
              <w:ind w:left="1020"/>
              <w:spacing w:after="0"/>
              <w:rPr>
                <w:sz w:val="20"/>
                <w:szCs w:val="20"/>
                <w:color w:val="auto"/>
              </w:rPr>
            </w:pPr>
            <w:r>
              <w:rPr>
                <w:rFonts w:ascii="Arial" w:cs="Arial" w:eastAsia="Arial" w:hAnsi="Arial"/>
                <w:sz w:val="14"/>
                <w:szCs w:val="14"/>
                <w:color w:val="auto"/>
                <w:w w:val="90"/>
              </w:rPr>
              <w:t>49.3%</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Net revenue increased by $136.5 million, or 48.2%, from $283.1 million for the six months ended June 30, 2007, to $419.6 million for the six months ended June 30, 2008. During the six months ended June 30, 2008, net revenue from our central laboratory business increased by 26.9% from $26.0 million to $33.0 million, while our clinical research segment grew by 50.3% from $257.2 million to $386.6 million over the prior period. This increase in net revenue has resulted from a combination of increased business from existing clients, business won from new clients, increased use of outsourcing by the pharmaceutical, biotechnology and medical device industries and an underlying increase in research and development spending.</w:t>
      </w:r>
    </w:p>
    <w:p>
      <w:pPr>
        <w:spacing w:after="0" w:line="199"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Direct costs increased by $73.8 million, or 45.4%, from $162.4 million for the six months ended June 30, 2007, to $236.2 million for the six months ended June 30, 2008, primarily due to increased personnel related costs of $71.2 million resulting from a higher number of project related employees. The remainder of the movement resulted from an increase in general overhead costs. Direct costs as a percentage of net revenue decreased from 57.4% for the six months ended June 30, 2007, to 56.3% for the six months ended June 30, 2008.</w:t>
      </w:r>
    </w:p>
    <w:p>
      <w:pPr>
        <w:spacing w:after="0" w:line="210"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Selling, general and administrative expenses increased by $43.5 million, or 53.5%, from $81.3 million for the six months ended June 30, 2007, to $124.8 million for the six months ended June 30, 2008. As a percentage of net revenue, selling, general and administrative expenses, increased from 28.7% for the six months ended June 30, 2007, to 29.7% for the six months ended June 30, 2008. The movement in SG&amp;A costs is primarily attributable to increased personnel related costs of $24.7 million resulting from higher levels of selling and administrative employees to support the continued expansion of the business, increased rent and utility charges of $8.2 million, from further office openings, increased IT expenses of $2.5 million and increased professional, legal and accounting costs of $3.2 million.</w:t>
      </w: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Depreciation and amortization expense increased by $4.1 million, or 48.0%, from $8.6 million for the six months ended June 30, 2007 to $12.7 million for the six months ended June 30, 2008. As a percentage of net revenue, depreciation and amortization, remained constant at 3.0% for the six months ended June 30, 2008, compared to the six months ended June 30, 2007. The increase in absolute terms arises primarily from construction of the Company’s new headquarter building in Dublin, Republic of Ireland, and the ongoing investment in global infrastructure and information technology to support the Company’s current and future growth.</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Income from operations increased by $15.1 million, or 49.3%, from $30.8 million for the six months ended June 30, 2007, to $45.9 million for the six months ended June 30, 2008. As a percentage of net revenue, income from operations remained constant at 10.9% for the six months ended June 30, 2008, compared to the six months ended June 30, 2007. The operating income for the six months is derived after the recognition of the non cash stock compensation charge of $2.8 million. As a percentage of net revenue, the central laboratory business generated operating profits of 7.7% for the six months ended June 30, 2008, compared to 6.9% for the six months ended June 30, 2007, due to the efficiencies gained from higher testing volumes in fiscal 2008. For the six months ended June 30, 2008, the central laboratory constituted approximately 7.9% of our business revenues.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both"/>
        <w:spacing w:after="0" w:line="238" w:lineRule="auto"/>
        <w:rPr>
          <w:sz w:val="20"/>
          <w:szCs w:val="20"/>
          <w:color w:val="auto"/>
        </w:rPr>
      </w:pPr>
      <w:r>
        <w:rPr>
          <w:rFonts w:ascii="Arial" w:cs="Arial" w:eastAsia="Arial" w:hAnsi="Arial"/>
          <w:sz w:val="14"/>
          <w:szCs w:val="14"/>
          <w:color w:val="auto"/>
        </w:rPr>
        <w:t>Net interest expense for the six months ended June 30, 2008, was $0.5 million, a decrease of $2.6 million on net interest income of $2.1 million for the six months ended June 30, 2007. The Company entered into a number of significant banking facilities in the period since June 30, 2007, to fund the acquisition of DOCS International in July 2007, ($40.6 million), the acquisition of Healthcare Discoveries in February 2008, ($11.1 million), and the construction of the Company’s new headquarter building in Dublin, Republic of Ireland.</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ICON's effective tax rate for the six months ended June 30, 2008, was 20.1% compared with 21.9% for the six months ended June 30, 2007.</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CRO industry generally is not capital intensive. Since our inception, we have financed our operations and growth primarily with cash flows from operations, net proceeds of $49.1 million raised in our initial public offering in May 1998, net proceeds of $44.3 million raised in our public offering in August 2003 and net borrowings of $107.4 million used to finance the acquisitions of DOCS International and Healthcare Discoveries, and expenditure on our head office expansion. Our principal operating cash needs are payment of salaries, office rents, travel expenditures and payments to subcontractors. The aggregate amount of employee compensation paid in the six months ended June 30, 2008, amounted to $259.9 million, compared to $172.1 million for the six months ended June 30, 2007. Investing activities primarily reflect capital expenditures for facilities and information systems enhancements, the sale and purchase of short-term investments and acquisitions.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As of June 30, 2008, our working capital amounted to $201.9 million, compared to $193.3 million at December 31, 2007.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58 days at June 30, 2008, compared to 66 days at December 31, 2007.</w:t>
      </w:r>
    </w:p>
    <w:p>
      <w:pPr>
        <w:spacing w:after="0" w:line="209"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Net cash provided by operating activities was $28.4 million for the six months ended June 30, 2008, compared to $19.4 million for the six months ended June 30, 2007. The increase in net cash from operating activities is primarily due to the timing of cash receipts on billed revenue.</w:t>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Net cash used in investing activities was $48.4 million for the six months ended June 30, 2008, compared to $19.3 million for the six months ended June 30, 2007. The increase in net cash used in investing activities is primarily due to the acquisition of Healthcare Discoveries in February 2008 for $12.0 million including the costs of acquisition of $0.9 million, the construction of the new head office building located in Dublin, Republic of Ireland and the ongoing investment in global infrastructure and information technology to support the Company’s current and future growth, and the purchase of short term investments.</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Net cash provided by financing activities was $14.7 million for the six months ended June 30, 2008, compared to $14.8 million provided for the six months ended June 30, 2007. The decrease in net cash provided by financing activities was primarily due to the $23.4 million repayment of bank overdrafts during the six months. This was offset by proceeds received from the exercise of share options of $7.1 million, the corporate tax benefit associated with the exercise of share options of $3.7 million and the additional drawdown of $27.3 million to fund the acquisition of Healthcare Discoveries in February 2008, the construction of the new head office building located in Dublin, Republic of Ireland and the ongoing investment in global infrastructure and information technology to support the Company’s current and future growth.</w:t>
      </w: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As a result of these cash flows, cash and cash equivalents decreased by $5.2 million for the six months ended June 30, 2008, compared to an increase of $15.3 million for the six months ended June 30, 2007.</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jc w:val="both"/>
        <w:spacing w:after="0" w:line="234"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($55.3 million) with The Governor and Company of the Bank of Ireland. The facility bears interest at an annual rate equal to the reference rate of EURIBOR plus a margin. Our obligations under the facility are secured by certain composite guarantees and indemnities and pledges in favour of the bank. On July 10, 2007, the Company drew down €29.5 million ($46.6 million) of the facility to fund the acquisition of DOCS International. On October 15, 2007, the remaining €5.5 million ($8.7 million) of the facility was drawn down to cover head office expansion in Ireland.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October 17, 2007, an uncommitted credit facility was negotiated with Allied Irish Banks plc, for €30 million ($47.4 million). Interest is calculated at the EUR Interbank rate plus a margin. The facility is secured by the same composite guarantees and indemnities in place for the Bank of Ireland committed facility. On December 31, 2007, this facility was fully drawn. The funds were used to refinance overdraft facilities in place to fund expenditure on the head office expansion. On January 8, 2008, the facility with Allied Irish Banks plc was increased to €50 million ($79.0 million). All terms of this facility remain the same. On June 30, 2008, €25.4 million ($40.1 million) of this facility was drawn. The facility is due to be reviewed on October 31, 2008.</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February 4, 2008, an uncommitted credit facility was negotiated with Citibank N.A, for $30 million. Interest is calculated at the London Interbank Market rate plus a margin. On June 30, 2008, $12.0 million of this facility was drawn, primarily to fund the acquisition of Healthcare Discoveries.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The average margin payable on the above mentioned facilities is 0.61 per cent.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current available overdraft facility with Allied Irish Banks plc is €2 million ($3.2 million). The applicable interest rate when utilised is the bank’s prime rate and is repayable on demand if the Company defaults under its obligations as specified in the loan agreement. As of June 30, 2008, the facility was undrawn and available.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effects of inflation generally do not have a material adverse impact on our operations or financial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color w:val="auto"/>
        </w:rPr>
        <w:t>We are not party to any litigation or other legal proceedings that we believe could reasonably be expected to have a material adverse effect on our business, results of operations and financial condition.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ICON plc</w:t>
            </w:r>
          </w:p>
        </w:tc>
        <w:tc>
          <w:tcPr>
            <w:tcW w:w="0" w:type="dxa"/>
            <w:vAlign w:val="bottom"/>
          </w:tcPr>
          <w:p>
            <w:pPr>
              <w:spacing w:after="0"/>
              <w:rPr>
                <w:sz w:val="1"/>
                <w:szCs w:val="1"/>
                <w:color w:val="auto"/>
              </w:rPr>
            </w:pPr>
          </w:p>
        </w:tc>
      </w:tr>
      <w:tr>
        <w:trPr>
          <w:trHeight w:val="743"/>
        </w:trPr>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/s/ Ciaran Murray</w:t>
            </w:r>
          </w:p>
        </w:tc>
        <w:tc>
          <w:tcPr>
            <w:tcW w:w="0" w:type="dxa"/>
            <w:vAlign w:val="bottom"/>
          </w:tcPr>
          <w:p>
            <w:pPr>
              <w:spacing w:after="0"/>
              <w:rPr>
                <w:sz w:val="1"/>
                <w:szCs w:val="1"/>
                <w:color w:val="auto"/>
              </w:rPr>
            </w:pPr>
          </w:p>
        </w:tc>
      </w:tr>
      <w:tr>
        <w:trPr>
          <w:trHeight w:val="87"/>
        </w:trPr>
        <w:tc>
          <w:tcPr>
            <w:tcW w:w="3400" w:type="dxa"/>
            <w:vAlign w:val="bottom"/>
            <w:gridSpan w:val="3"/>
            <w:vMerge w:val="restart"/>
          </w:tcPr>
          <w:p>
            <w:pPr>
              <w:spacing w:after="0"/>
              <w:rPr>
                <w:sz w:val="20"/>
                <w:szCs w:val="20"/>
                <w:color w:val="auto"/>
              </w:rPr>
            </w:pPr>
            <w:r>
              <w:rPr>
                <w:rFonts w:ascii="Arial" w:cs="Arial" w:eastAsia="Arial" w:hAnsi="Arial"/>
                <w:sz w:val="14"/>
                <w:szCs w:val="14"/>
                <w:color w:val="auto"/>
              </w:rPr>
              <w:t>Date: July 31, 2008</w:t>
            </w:r>
          </w:p>
        </w:tc>
        <w:tc>
          <w:tcPr>
            <w:tcW w:w="2320" w:type="dxa"/>
            <w:vAlign w:val="bottom"/>
          </w:tcPr>
          <w:p>
            <w:pPr>
              <w:spacing w:after="0"/>
              <w:rPr>
                <w:sz w:val="7"/>
                <w:szCs w:val="7"/>
                <w:color w:val="auto"/>
              </w:rPr>
            </w:pPr>
          </w:p>
        </w:tc>
        <w:tc>
          <w:tcPr>
            <w:tcW w:w="5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40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4"/>
                <w:szCs w:val="14"/>
                <w:color w:val="auto"/>
              </w:rPr>
              <w:t>Ciaran Murray</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386"/>
        </w:trPr>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20" w:type="dxa"/>
            <w:vAlign w:val="bottom"/>
            <w:gridSpan w:val="2"/>
          </w:tcPr>
          <w:p>
            <w:pPr>
              <w:jc w:val="right"/>
              <w:ind w:right="55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2019-12-14T20:43:19Z</dcterms:created>
  <dcterms:modified xsi:type="dcterms:W3CDTF">2019-12-14T20:43:19Z</dcterms:modified>
</cp:coreProperties>
</file>