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center"/>
        <w:rPr/>
      </w:pPr>
      <w:r>
        <w:rPr/>
      </w:r>
      <w:bookmarkStart w:id="0" w:name="ef20080314_6k.htm"/>
      <w:bookmarkStart w:id="1" w:name="ksef20080314_6k"/>
      <w:bookmarkStart w:id="2" w:name="ef20080314_6k.htm"/>
      <w:bookmarkStart w:id="3" w:name="ksef20080314_6k"/>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REPORT OF FOREIGN PRIVATE ISSUER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PURSUANT TO RULE 13a-16 OR 15d-16</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UNDER THE SECURITIES EXCHANGE ACT OF 1934</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 the month of August 2026</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Commission File Number: 333-08704</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ICON plc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(Translation of registrant's name into English)</w:t>
      </w:r>
    </w:p>
    <w:p>
      <w:pPr>
        <w:pStyle w:val="TextBody"/>
        <w:bidi w:val="0"/>
        <w:spacing w:before="0" w:after="0"/>
        <w:jc w:val="left"/>
        <w:rPr/>
      </w:pPr>
      <w:r>
        <w:rPr/>
      </w:r>
    </w:p>
    <w:p>
      <w:pPr>
        <w:pStyle w:val="HorizontalLine"/>
        <w:pBdr>
          <w:bottom w:val="single" w:sz="12" w:space="0" w:color="808080"/>
        </w:pBdr>
        <w:bidi w:val="0"/>
        <w:jc w:val="center"/>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South County Business Park, Leopardstown, Dublin 18, D18 X5R3, Ireland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(Address of principal executive office)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 20-F ☒   Form 40-F ☐</w:t>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ICON plc</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report on Form 6-K is hereby incorporated by reference into the registration statements of ICON plc (“</w:t>
      </w:r>
      <w:r>
        <w:rPr>
          <w:rFonts w:ascii="Times New Roman" w:hAnsi="Times New Roman"/>
          <w:b/>
          <w:color w:val="000000"/>
          <w:sz w:val="20"/>
        </w:rPr>
        <w:t>ICON</w:t>
      </w:r>
      <w:r>
        <w:rPr>
          <w:rFonts w:ascii="Times New Roman" w:hAnsi="Times New Roman"/>
          <w:color w:val="000000"/>
          <w:sz w:val="20"/>
        </w:rPr>
        <w:t>”) on Form S-8 (Registration Nos. 333-152802, 333-204153, 333-231527, 333-254891, 333-257578 and 333-282826) and on Form F-3 (Registration No. 333-278943), and this report on Form 6-K shall be deemed a part of each such registration statement from the date on which this report is filed, to the extent not superseded by documents or reports subsequently filed or furnished by ICON plc under the Securities Act of 1933 or the Securities Exchange Act of 1934.</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Senior Notes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On August 13, 2026, ICON Investments Six Designated Activity Company (the “</w:t>
      </w:r>
      <w:r>
        <w:rPr>
          <w:rFonts w:ascii="Times New Roman" w:hAnsi="Times New Roman"/>
          <w:b/>
          <w:color w:val="000000"/>
          <w:sz w:val="20"/>
        </w:rPr>
        <w:t>Issuer</w:t>
      </w:r>
      <w:r>
        <w:rPr>
          <w:rFonts w:ascii="Times New Roman" w:hAnsi="Times New Roman"/>
          <w:color w:val="000000"/>
          <w:sz w:val="20"/>
        </w:rPr>
        <w:t>”), a wholly-owned subsidiary of ICON, sold and issued $2.15 billion of senior unsecured notes (collectively, the “</w:t>
      </w:r>
      <w:r>
        <w:rPr>
          <w:rFonts w:ascii="Times New Roman" w:hAnsi="Times New Roman"/>
          <w:b/>
          <w:color w:val="000000"/>
          <w:sz w:val="20"/>
        </w:rPr>
        <w:t>Notes</w:t>
      </w:r>
      <w:r>
        <w:rPr>
          <w:rFonts w:ascii="Times New Roman" w:hAnsi="Times New Roman"/>
          <w:color w:val="000000"/>
          <w:sz w:val="20"/>
        </w:rPr>
        <w:t>”), consisting of $500 million aggregate principal amount of 5.064% Notes due 2029 (the “</w:t>
      </w:r>
      <w:r>
        <w:rPr>
          <w:rFonts w:ascii="Times New Roman" w:hAnsi="Times New Roman"/>
          <w:b/>
          <w:color w:val="000000"/>
          <w:sz w:val="20"/>
        </w:rPr>
        <w:t>2029 Notes</w:t>
      </w:r>
      <w:r>
        <w:rPr>
          <w:rFonts w:ascii="Times New Roman" w:hAnsi="Times New Roman"/>
          <w:color w:val="000000"/>
          <w:sz w:val="20"/>
        </w:rPr>
        <w:t>”), $1.0 billion aggregate principal amount of 5.421% Notes due 2031 (the “</w:t>
      </w:r>
      <w:r>
        <w:rPr>
          <w:rFonts w:ascii="Times New Roman" w:hAnsi="Times New Roman"/>
          <w:b/>
          <w:color w:val="000000"/>
          <w:sz w:val="20"/>
        </w:rPr>
        <w:t>2031 Notes</w:t>
      </w:r>
      <w:r>
        <w:rPr>
          <w:rFonts w:ascii="Times New Roman" w:hAnsi="Times New Roman"/>
          <w:color w:val="000000"/>
          <w:sz w:val="20"/>
        </w:rPr>
        <w:t>”) and $650 million aggregate principal amount of 5.995% Notes due 2036 (the “</w:t>
      </w:r>
      <w:r>
        <w:rPr>
          <w:rFonts w:ascii="Times New Roman" w:hAnsi="Times New Roman"/>
          <w:b/>
          <w:color w:val="000000"/>
          <w:sz w:val="20"/>
        </w:rPr>
        <w:t>2036 Notes</w:t>
      </w:r>
      <w:r>
        <w:rPr>
          <w:rFonts w:ascii="Times New Roman" w:hAnsi="Times New Roman"/>
          <w:color w:val="000000"/>
          <w:sz w:val="20"/>
        </w:rPr>
        <w:t>”), pursuant to the terms of a purchase agreement, dated August 5, 2026, among the Issuer, ICON and the several initial purchasers named therein (the “</w:t>
      </w:r>
      <w:r>
        <w:rPr>
          <w:rFonts w:ascii="Times New Roman" w:hAnsi="Times New Roman"/>
          <w:b/>
          <w:color w:val="000000"/>
          <w:sz w:val="20"/>
        </w:rPr>
        <w:t>Initial Purchasers</w:t>
      </w:r>
      <w:r>
        <w:rPr>
          <w:rFonts w:ascii="Times New Roman" w:hAnsi="Times New Roman"/>
          <w:color w:val="000000"/>
          <w:sz w:val="20"/>
        </w:rPr>
        <w:t>”). The Notes will be guaranteed on a senior unsecured basis by ICON.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Notes were issued under an indenture, dated August 13, 2026 (the “</w:t>
      </w:r>
      <w:r>
        <w:rPr>
          <w:rFonts w:ascii="Times New Roman" w:hAnsi="Times New Roman"/>
          <w:b/>
          <w:color w:val="000000"/>
          <w:sz w:val="20"/>
        </w:rPr>
        <w:t>Base Indenture</w:t>
      </w:r>
      <w:r>
        <w:rPr>
          <w:rFonts w:ascii="Times New Roman" w:hAnsi="Times New Roman"/>
          <w:color w:val="000000"/>
          <w:sz w:val="20"/>
        </w:rPr>
        <w:t>”), between the Issuer, ICON and Citibank, N.A., as trustee (the “</w:t>
      </w:r>
      <w:r>
        <w:rPr>
          <w:rFonts w:ascii="Times New Roman" w:hAnsi="Times New Roman"/>
          <w:b/>
          <w:color w:val="000000"/>
          <w:sz w:val="20"/>
        </w:rPr>
        <w:t>Trustee</w:t>
      </w:r>
      <w:r>
        <w:rPr>
          <w:rFonts w:ascii="Times New Roman" w:hAnsi="Times New Roman"/>
          <w:color w:val="000000"/>
          <w:sz w:val="20"/>
        </w:rPr>
        <w:t>”), as supplemented by a supplemental indenture, dated August 13, 2026 (the “</w:t>
      </w:r>
      <w:r>
        <w:rPr>
          <w:rFonts w:ascii="Times New Roman" w:hAnsi="Times New Roman"/>
          <w:b/>
          <w:color w:val="000000"/>
          <w:sz w:val="20"/>
        </w:rPr>
        <w:t>Supplemental Indenture</w:t>
      </w:r>
      <w:r>
        <w:rPr>
          <w:rFonts w:ascii="Times New Roman" w:hAnsi="Times New Roman"/>
          <w:color w:val="000000"/>
          <w:sz w:val="20"/>
        </w:rPr>
        <w:t>”), among the Issuer, ICON and the Trustee. The 2029 Notes mature on August 13, 2029 and bear interest at a rate of 5.064% per annum, payable semi-annually in arrears on February 13 and August 13 of each year, commencing on February 13, 2027. The 2031 Notes mature on August 13, 2031 and bear interest at a rate of 5.421% per annum, payable semi-annually in arrears on February 13 and August 13 of each year, commencing on February 13, 2027. The 2036 Notes mature on August 13, 2036 and bear interest at a rate of 5.995% per annum, payable semi-annually in arrears on February 13 and August 13 of each year, commencing on February 13, 2027.</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sale of the Notes was not registered under the Securities Act of 1933, as amended (the “</w:t>
      </w:r>
      <w:r>
        <w:rPr>
          <w:rFonts w:ascii="Times New Roman" w:hAnsi="Times New Roman"/>
          <w:b/>
          <w:color w:val="000000"/>
          <w:sz w:val="20"/>
        </w:rPr>
        <w:t>Securities Act</w:t>
      </w:r>
      <w:r>
        <w:rPr>
          <w:rFonts w:ascii="Times New Roman" w:hAnsi="Times New Roman"/>
          <w:color w:val="000000"/>
          <w:sz w:val="20"/>
        </w:rPr>
        <w:t>”), and the Notes were sold on a private placement basis to persons reasonably believed to be qualified institutional buyers pursuant to Rule 144A promulgated under the Securities Act and outside the United States to non-U.S. persons in compliance with Regulation S promulgated under the Securities Act. In connection with the offering, the Issuer, ICON and the Initial Purchasers entered into the registration rights agreement, dated as of August 13, 2026 (the “</w:t>
      </w:r>
      <w:r>
        <w:rPr>
          <w:rFonts w:ascii="Times New Roman" w:hAnsi="Times New Roman"/>
          <w:b/>
          <w:color w:val="000000"/>
          <w:sz w:val="20"/>
        </w:rPr>
        <w:t>Registration Rights Agreement</w:t>
      </w:r>
      <w:r>
        <w:rPr>
          <w:rFonts w:ascii="Times New Roman" w:hAnsi="Times New Roman"/>
          <w:color w:val="000000"/>
          <w:sz w:val="20"/>
        </w:rPr>
        <w:t>”), pursuant to which the Issuer agreed to use its commercially reasonable efforts (i) to cause to be filed and cause to become effective a registration statement with the Securities and Exchange Commission with respect to a registered offer to exchange the Notes of each series for exchange notes of the same series, which will have terms identical in all material respects to such Notes, except that the exchange notes will not contain transfer restrictions, (ii) to keep such exchange offer registration statement effective until the closing of such exchange offers and (iii) subject to certain limitations, to cause such exchange offers to be consummated not later than November 11, 2027.</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Company applied the net proceeds from the offering to, (i) on August 13, 2026, repay all outstanding term loans under ICON’s senior secured term loan facility (the “</w:t>
      </w:r>
      <w:r>
        <w:rPr>
          <w:rFonts w:ascii="Times New Roman" w:hAnsi="Times New Roman"/>
          <w:b/>
          <w:color w:val="000000"/>
          <w:sz w:val="20"/>
        </w:rPr>
        <w:t>Existing Term Loans</w:t>
      </w:r>
      <w:r>
        <w:rPr>
          <w:rFonts w:ascii="Times New Roman" w:hAnsi="Times New Roman"/>
          <w:color w:val="000000"/>
          <w:sz w:val="20"/>
        </w:rPr>
        <w:t>”), (ii) on August 14, 2026, redeem, in full, the Issuer’s outstanding 5.809% Senior Secured Notes due 2027 (the “</w:t>
      </w:r>
      <w:r>
        <w:rPr>
          <w:rFonts w:ascii="Times New Roman" w:hAnsi="Times New Roman"/>
          <w:b/>
          <w:color w:val="000000"/>
          <w:sz w:val="20"/>
        </w:rPr>
        <w:t>2027 Notes</w:t>
      </w:r>
      <w:r>
        <w:rPr>
          <w:rFonts w:ascii="Times New Roman" w:hAnsi="Times New Roman"/>
          <w:color w:val="000000"/>
          <w:sz w:val="20"/>
        </w:rPr>
        <w:t>”), and (iii) on August 17, 2026, repay all outstanding borrowings under ICON Global Treasury Unlimited Company’s bridge facility credit agreement (the “</w:t>
      </w:r>
      <w:r>
        <w:rPr>
          <w:rFonts w:ascii="Times New Roman" w:hAnsi="Times New Roman"/>
          <w:b/>
          <w:color w:val="000000"/>
          <w:sz w:val="20"/>
        </w:rPr>
        <w:t>Bridge Secured Credit Facility</w:t>
      </w:r>
      <w:r>
        <w:rPr>
          <w:rFonts w:ascii="Times New Roman" w:hAnsi="Times New Roman"/>
          <w:color w:val="000000"/>
          <w:sz w:val="20"/>
        </w:rPr>
        <w:t>”). Upon repayment of the Bridge Secured Credit Facility and the Existing Term Loans, on August 17, 2026, the collateral securing ICON’s revolving credit facility and ICON group’s existing notes were automatically released, and the subsidiary guarantees under the existing notes were automatically released.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foregoing description does not purport to be complete and is qualified in its entirety by reference to the full text of the Base Indenture, the Supplemental Indenture (including the forms of each series of Notes included therein), and the Registration Rights Agreement, copies of which are attached as Exhibits 4.1, 4.2 and 4.3, respectively, to this Current Report on Form 6-K, and are incorporated by reference herein.</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Exhibit List</w:t>
      </w:r>
    </w:p>
    <w:p>
      <w:pPr>
        <w:pStyle w:val="Normal"/>
        <w:bidi w:val="0"/>
        <w:spacing w:before="0" w:after="0"/>
        <w:jc w:val="left"/>
        <w:rPr>
          <w:sz w:val="4"/>
          <w:szCs w:val="4"/>
        </w:rPr>
      </w:pPr>
      <w:r>
        <w:rPr>
          <w:sz w:val="4"/>
          <w:szCs w:val="4"/>
        </w:rPr>
      </w:r>
      <w:bookmarkStart w:id="4" w:name="z56673154eeb940ca9d565940fb0d14d9"/>
      <w:bookmarkStart w:id="5" w:name="z56673154eeb940ca9d565940fb0d14d9"/>
      <w:bookmarkEnd w:id="5"/>
    </w:p>
    <w:tbl>
      <w:tblPr>
        <w:tblW w:w="10205" w:type="dxa"/>
        <w:jc w:val="left"/>
        <w:tblInd w:w="0" w:type="dxa"/>
        <w:tblLayout w:type="fixed"/>
        <w:tblCellMar>
          <w:top w:w="0" w:type="dxa"/>
          <w:left w:w="0" w:type="dxa"/>
          <w:bottom w:w="28" w:type="dxa"/>
          <w:right w:w="0" w:type="dxa"/>
        </w:tblCellMar>
      </w:tblPr>
      <w:tblGrid>
        <w:gridCol w:w="725"/>
        <w:gridCol w:w="9480"/>
      </w:tblGrid>
      <w:tr>
        <w:trPr/>
        <w:tc>
          <w:tcPr>
            <w:tcW w:w="725" w:type="dxa"/>
            <w:tcBorders>
              <w:bottom w:val="single" w:sz="12" w:space="0" w:color="000000"/>
            </w:tcBorders>
            <w:vAlign w:val="center"/>
          </w:tcPr>
          <w:p>
            <w:pPr>
              <w:pStyle w:val="TableContents"/>
              <w:bidi w:val="0"/>
              <w:spacing w:before="0" w:after="0"/>
              <w:jc w:val="left"/>
              <w:rPr>
                <w:color w:val="000000"/>
              </w:rPr>
            </w:pPr>
            <w:r>
              <w:rPr>
                <w:color w:val="000000"/>
              </w:rPr>
              <w:t>Exhibit</w:t>
            </w:r>
          </w:p>
        </w:tc>
        <w:tc>
          <w:tcPr>
            <w:tcW w:w="9480" w:type="dxa"/>
            <w:tcBorders>
              <w:bottom w:val="single" w:sz="12" w:space="0" w:color="000000"/>
            </w:tcBorders>
            <w:vAlign w:val="center"/>
          </w:tcPr>
          <w:p>
            <w:pPr>
              <w:pStyle w:val="TableContents"/>
              <w:bidi w:val="0"/>
              <w:spacing w:before="0" w:after="0"/>
              <w:jc w:val="left"/>
              <w:rPr>
                <w:color w:val="000000"/>
              </w:rPr>
            </w:pPr>
            <w:r>
              <w:rPr>
                <w:color w:val="000000"/>
              </w:rPr>
              <w:t>Description</w:t>
            </w:r>
          </w:p>
        </w:tc>
      </w:tr>
      <w:tr>
        <w:trPr/>
        <w:tc>
          <w:tcPr>
            <w:tcW w:w="725" w:type="dxa"/>
            <w:tcBorders/>
            <w:tcMar>
              <w:bottom w:w="0" w:type="dxa"/>
            </w:tcMar>
            <w:vAlign w:val="center"/>
          </w:tcPr>
          <w:p>
            <w:pPr>
              <w:pStyle w:val="TableContents"/>
              <w:bidi w:val="0"/>
              <w:spacing w:before="0" w:after="0"/>
              <w:jc w:val="both"/>
              <w:rPr/>
            </w:pPr>
            <w:hyperlink w:anchor="ef20080314_ex4-1.htm">
              <w:r>
                <w:rPr>
                  <w:rStyle w:val="InternetLink"/>
                </w:rPr>
                <w:t>4.1</w:t>
              </w:r>
            </w:hyperlink>
          </w:p>
        </w:tc>
        <w:tc>
          <w:tcPr>
            <w:tcW w:w="9480" w:type="dxa"/>
            <w:tcBorders/>
            <w:tcMar>
              <w:bottom w:w="0" w:type="dxa"/>
            </w:tcMar>
            <w:vAlign w:val="center"/>
          </w:tcPr>
          <w:p>
            <w:pPr>
              <w:pStyle w:val="TableContents"/>
              <w:bidi w:val="0"/>
              <w:spacing w:before="0" w:after="0"/>
              <w:jc w:val="both"/>
              <w:rPr/>
            </w:pPr>
            <w:r>
              <w:rPr/>
              <w:t>Indenture, dated as of August 13, 2026, by and among ICON Investments Six Designated Activity Company, ICON plc, and Citibank, N.A., as trustee.</w:t>
            </w:r>
          </w:p>
        </w:tc>
      </w:tr>
      <w:tr>
        <w:trPr/>
        <w:tc>
          <w:tcPr>
            <w:tcW w:w="725" w:type="dxa"/>
            <w:tcBorders/>
            <w:tcMar>
              <w:bottom w:w="0" w:type="dxa"/>
            </w:tcMar>
            <w:vAlign w:val="center"/>
          </w:tcPr>
          <w:p>
            <w:pPr>
              <w:pStyle w:val="TableContents"/>
              <w:bidi w:val="0"/>
              <w:spacing w:before="0" w:after="0"/>
              <w:jc w:val="both"/>
              <w:rPr/>
            </w:pPr>
            <w:hyperlink w:anchor="ef20080314_ex4-2.htm">
              <w:r>
                <w:rPr>
                  <w:rStyle w:val="InternetLink"/>
                </w:rPr>
                <w:t>4.2</w:t>
              </w:r>
            </w:hyperlink>
          </w:p>
        </w:tc>
        <w:tc>
          <w:tcPr>
            <w:tcW w:w="9480" w:type="dxa"/>
            <w:tcBorders/>
            <w:tcMar>
              <w:bottom w:w="0" w:type="dxa"/>
            </w:tcMar>
            <w:vAlign w:val="center"/>
          </w:tcPr>
          <w:p>
            <w:pPr>
              <w:pStyle w:val="TableContents"/>
              <w:bidi w:val="0"/>
              <w:spacing w:before="0" w:after="0"/>
              <w:jc w:val="both"/>
              <w:rPr/>
            </w:pPr>
            <w:r>
              <w:rPr/>
              <w:t>Supplemental Indenture, dated as of August 13, 2026, by and among ICON Investments Six Designated Activity Company, ICON plc, and Citibank, N.A., as trustee (including the forms of 5.064% Note due 2029, 5.421% Note due 2031 and 5.995% Note due 2036).</w:t>
            </w:r>
          </w:p>
        </w:tc>
      </w:tr>
      <w:tr>
        <w:trPr/>
        <w:tc>
          <w:tcPr>
            <w:tcW w:w="725" w:type="dxa"/>
            <w:tcBorders/>
            <w:tcMar>
              <w:bottom w:w="0" w:type="dxa"/>
            </w:tcMar>
            <w:vAlign w:val="center"/>
          </w:tcPr>
          <w:p>
            <w:pPr>
              <w:pStyle w:val="TableContents"/>
              <w:bidi w:val="0"/>
              <w:spacing w:before="0" w:after="0"/>
              <w:jc w:val="both"/>
              <w:rPr/>
            </w:pPr>
            <w:hyperlink w:anchor="ef20080314_ex4-3.htm">
              <w:r>
                <w:rPr>
                  <w:rStyle w:val="InternetLink"/>
                </w:rPr>
                <w:t>4.3</w:t>
              </w:r>
            </w:hyperlink>
          </w:p>
        </w:tc>
        <w:tc>
          <w:tcPr>
            <w:tcW w:w="9480" w:type="dxa"/>
            <w:tcBorders/>
            <w:tcMar>
              <w:bottom w:w="0" w:type="dxa"/>
            </w:tcMar>
            <w:vAlign w:val="center"/>
          </w:tcPr>
          <w:p>
            <w:pPr>
              <w:pStyle w:val="TableContents"/>
              <w:bidi w:val="0"/>
              <w:spacing w:before="0" w:after="0"/>
              <w:jc w:val="both"/>
              <w:rPr/>
            </w:pPr>
            <w:r>
              <w:rPr/>
              <w:t>Registration Rights Agreement, dated as of August 13, 2026, by and among ICON Investments Six Designated Activity Company, ICON plc, BofA Securities, Inc., Citigroup Global Markets Inc., HSBC Securities (USA) Inc., J.P. Morgan Securities LLC and Morgan Stanley &amp; Co.</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09943e76708e4ecf8f89829c89d32dde"/>
      <w:bookmarkStart w:id="7" w:name="z09943e76708e4ecf8f89829c89d32dde"/>
      <w:bookmarkEnd w:id="7"/>
    </w:p>
    <w:tbl>
      <w:tblPr>
        <w:tblW w:w="5160" w:type="dxa"/>
        <w:jc w:val="left"/>
        <w:tblInd w:w="0" w:type="dxa"/>
        <w:tblLayout w:type="fixed"/>
        <w:tblCellMar>
          <w:top w:w="0" w:type="dxa"/>
          <w:left w:w="0" w:type="dxa"/>
          <w:bottom w:w="0" w:type="dxa"/>
          <w:right w:w="0" w:type="dxa"/>
        </w:tblCellMar>
      </w:tblPr>
      <w:tblGrid>
        <w:gridCol w:w="2180"/>
        <w:gridCol w:w="60"/>
        <w:gridCol w:w="650"/>
        <w:gridCol w:w="60"/>
        <w:gridCol w:w="2210"/>
      </w:tblGrid>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0" w:type="dxa"/>
            <w:gridSpan w:val="3"/>
            <w:tcBorders/>
            <w:vAlign w:val="center"/>
          </w:tcPr>
          <w:p>
            <w:pPr>
              <w:pStyle w:val="TableContents"/>
              <w:bidi w:val="0"/>
              <w:spacing w:before="0" w:after="0"/>
              <w:jc w:val="left"/>
              <w:rPr>
                <w:b/>
                <w:color w:val="000000"/>
              </w:rPr>
            </w:pPr>
            <w:r>
              <w:rPr>
                <w:b/>
                <w:color w:val="000000"/>
              </w:rPr>
              <w:t>ICON plc</w:t>
            </w:r>
          </w:p>
        </w:tc>
      </w:tr>
      <w:tr>
        <w:trPr/>
        <w:tc>
          <w:tcPr>
            <w:tcW w:w="218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2270" w:type="dxa"/>
            <w:gridSpan w:val="2"/>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0"/>
              <w:jc w:val="left"/>
              <w:rPr>
                <w:color w:val="000000"/>
              </w:rPr>
            </w:pPr>
            <w:r>
              <w:rPr>
                <w:color w:val="000000"/>
              </w:rPr>
              <w:t>Date: August 17, 2026</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color w:val="000000"/>
              </w:rPr>
            </w:pPr>
            <w:r>
              <w:rPr>
                <w:color w:val="000000"/>
              </w:rPr>
              <w:t>By:</w:t>
            </w:r>
          </w:p>
        </w:tc>
        <w:tc>
          <w:tcPr>
            <w:tcW w:w="60" w:type="dxa"/>
            <w:tcBorders/>
            <w:vAlign w:val="center"/>
          </w:tcPr>
          <w:p>
            <w:pPr>
              <w:pStyle w:val="TableContents"/>
              <w:bidi w:val="0"/>
              <w:spacing w:before="0" w:after="283"/>
              <w:jc w:val="left"/>
              <w:rPr/>
            </w:pPr>
            <w:r>
              <w:rPr/>
              <w:t> </w:t>
            </w:r>
          </w:p>
        </w:tc>
        <w:tc>
          <w:tcPr>
            <w:tcW w:w="2210" w:type="dxa"/>
            <w:tcBorders>
              <w:bottom w:val="single" w:sz="12" w:space="0" w:color="000000"/>
            </w:tcBorders>
            <w:tcMar>
              <w:bottom w:w="28" w:type="dxa"/>
            </w:tcMar>
            <w:vAlign w:val="center"/>
          </w:tcPr>
          <w:p>
            <w:pPr>
              <w:pStyle w:val="TableContents"/>
              <w:bidi w:val="0"/>
              <w:spacing w:before="0" w:after="283"/>
              <w:jc w:val="left"/>
              <w:rPr/>
            </w:pPr>
            <w:r>
              <w:rPr/>
              <w:t>/s/ Nigel Clerkin</w:t>
            </w:r>
          </w:p>
        </w:tc>
      </w:tr>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color w:val="000000"/>
              </w:rPr>
            </w:pPr>
            <w:r>
              <w:rPr>
                <w:color w:val="000000"/>
              </w:rPr>
              <w:t>Name: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left"/>
              <w:rPr>
                <w:color w:val="000000"/>
              </w:rPr>
            </w:pPr>
            <w:r>
              <w:rPr>
                <w:color w:val="000000"/>
              </w:rPr>
              <w:t>Nigel Clerkin</w:t>
            </w:r>
          </w:p>
        </w:tc>
      </w:tr>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color w:val="000000"/>
              </w:rPr>
            </w:pPr>
            <w:r>
              <w:rPr>
                <w:color w:val="000000"/>
              </w:rPr>
              <w:t>Title: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left"/>
              <w:rPr>
                <w:color w:val="000000"/>
              </w:rPr>
            </w:pPr>
            <w:r>
              <w:rPr>
                <w:color w:val="000000"/>
              </w:rPr>
              <w:t>Chief Financial Officer</w:t>
            </w:r>
          </w:p>
        </w:tc>
      </w:tr>
      <w:tr>
        <w:trPr/>
        <w:tc>
          <w:tcPr>
            <w:tcW w:w="218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2270" w:type="dxa"/>
            <w:gridSpan w:val="2"/>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8" w:name="ef20080314_ex4-1.htm"/>
      <w:bookmarkStart w:id="9" w:name="ksef20080314_ex41"/>
      <w:bookmarkStart w:id="10" w:name="ef20080314_ex4-1.htm"/>
      <w:bookmarkStart w:id="11" w:name="ksef20080314_ex41"/>
      <w:bookmarkEnd w:id="10"/>
      <w:bookmarkEnd w:id="11"/>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4.1</w:t>
      </w:r>
    </w:p>
    <w:p>
      <w:pPr>
        <w:pStyle w:val="TextBody"/>
        <w:bidi w:val="0"/>
        <w:spacing w:before="0" w:after="0"/>
        <w:jc w:val="right"/>
        <w:rPr>
          <w:color w:val="000000"/>
        </w:rPr>
      </w:pPr>
      <w:r>
        <w:rPr>
          <w:color w:val="000000"/>
        </w:rPr>
        <w:t> </w:t>
      </w:r>
    </w:p>
    <w:p>
      <w:pPr>
        <w:pStyle w:val="TextBody"/>
        <w:bidi w:val="0"/>
        <w:spacing w:before="0" w:after="0"/>
        <w:jc w:val="right"/>
        <w:rPr>
          <w:rFonts w:ascii="Times New Roman" w:hAnsi="Times New Roman"/>
          <w:b/>
          <w:i/>
          <w:color w:val="000000"/>
          <w:sz w:val="20"/>
        </w:rPr>
      </w:pPr>
      <w:r>
        <w:rPr>
          <w:rFonts w:ascii="Times New Roman" w:hAnsi="Times New Roman"/>
          <w:b/>
          <w:i/>
          <w:color w:val="000000"/>
          <w:sz w:val="20"/>
        </w:rPr>
        <w:t>Execution Version</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ICON INVESTMENTS SIX DESIGNATED ACTIVITY COMPANY</w:t>
      </w:r>
    </w:p>
    <w:p>
      <w:pPr>
        <w:pStyle w:val="TextBody"/>
        <w:bidi w:val="0"/>
        <w:spacing w:before="0" w:after="0"/>
        <w:jc w:val="center"/>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and</w:t>
      </w:r>
    </w:p>
    <w:p>
      <w:pPr>
        <w:pStyle w:val="TextBody"/>
        <w:bidi w:val="0"/>
        <w:spacing w:before="0" w:after="0"/>
        <w:jc w:val="center"/>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ICON PLC</w:t>
      </w:r>
    </w:p>
    <w:p>
      <w:pPr>
        <w:pStyle w:val="TextBody"/>
        <w:bidi w:val="0"/>
        <w:spacing w:before="0" w:after="0"/>
        <w:jc w:val="center"/>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INDENTURE</w:t>
      </w:r>
    </w:p>
    <w:p>
      <w:pPr>
        <w:pStyle w:val="TextBody"/>
        <w:bidi w:val="0"/>
        <w:spacing w:before="0" w:after="0"/>
        <w:jc w:val="center"/>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Dated as of August 13, 2026</w:t>
      </w:r>
    </w:p>
    <w:p>
      <w:pPr>
        <w:pStyle w:val="TextBody"/>
        <w:bidi w:val="0"/>
        <w:spacing w:before="0" w:after="0"/>
        <w:jc w:val="center"/>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CITIBANK, N.A.,</w:t>
      </w:r>
    </w:p>
    <w:p>
      <w:pPr>
        <w:pStyle w:val="TextBody"/>
        <w:bidi w:val="0"/>
        <w:spacing w:before="0" w:after="0"/>
        <w:jc w:val="center"/>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as Trustee</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85552ef8629c4c4a9d30cc93fbf40f3f"/>
      <w:bookmarkStart w:id="13" w:name="z85552ef8629c4c4a9d30cc93fbf40f3f"/>
      <w:bookmarkEnd w:id="13"/>
    </w:p>
    <w:tbl>
      <w:tblPr>
        <w:tblW w:w="7868" w:type="dxa"/>
        <w:jc w:val="left"/>
        <w:tblInd w:w="0" w:type="dxa"/>
        <w:tblLayout w:type="fixed"/>
        <w:tblCellMar>
          <w:top w:w="0" w:type="dxa"/>
          <w:left w:w="0" w:type="dxa"/>
          <w:bottom w:w="0" w:type="dxa"/>
          <w:right w:w="0" w:type="dxa"/>
        </w:tblCellMar>
      </w:tblPr>
      <w:tblGrid>
        <w:gridCol w:w="72"/>
        <w:gridCol w:w="1463"/>
        <w:gridCol w:w="5818"/>
        <w:gridCol w:w="515"/>
      </w:tblGrid>
      <w:tr>
        <w:trPr/>
        <w:tc>
          <w:tcPr>
            <w:tcW w:w="7353" w:type="dxa"/>
            <w:gridSpan w:val="3"/>
            <w:tcBorders/>
            <w:vAlign w:val="center"/>
          </w:tcPr>
          <w:p>
            <w:pPr>
              <w:pStyle w:val="TableContents"/>
              <w:bidi w:val="0"/>
              <w:spacing w:before="0" w:after="283"/>
              <w:jc w:val="both"/>
              <w:rPr/>
            </w:pPr>
            <w:r>
              <w:rPr/>
              <w:t> </w:t>
            </w:r>
          </w:p>
        </w:tc>
        <w:tc>
          <w:tcPr>
            <w:tcW w:w="515" w:type="dxa"/>
            <w:tcBorders/>
            <w:vAlign w:val="center"/>
          </w:tcPr>
          <w:p>
            <w:pPr>
              <w:pStyle w:val="TableContents"/>
              <w:bidi w:val="0"/>
              <w:spacing w:before="0" w:after="0"/>
              <w:jc w:val="right"/>
              <w:rPr>
                <w:b/>
              </w:rPr>
            </w:pPr>
            <w:r>
              <w:rPr>
                <w:b/>
              </w:rPr>
              <w:t>Page</w:t>
            </w:r>
          </w:p>
        </w:tc>
      </w:tr>
      <w:tr>
        <w:trPr/>
        <w:tc>
          <w:tcPr>
            <w:tcW w:w="7353" w:type="dxa"/>
            <w:gridSpan w:val="3"/>
            <w:tcBorders/>
            <w:vAlign w:val="center"/>
          </w:tcPr>
          <w:p>
            <w:pPr>
              <w:pStyle w:val="TableContents"/>
              <w:bidi w:val="0"/>
              <w:spacing w:before="0" w:after="283"/>
              <w:jc w:val="both"/>
              <w:rPr/>
            </w:pPr>
            <w:r>
              <w:rPr/>
              <w:t> </w:t>
            </w:r>
          </w:p>
        </w:tc>
        <w:tc>
          <w:tcPr>
            <w:tcW w:w="515" w:type="dxa"/>
            <w:tcBorders/>
            <w:vAlign w:val="center"/>
          </w:tcPr>
          <w:p>
            <w:pPr>
              <w:pStyle w:val="TableContents"/>
              <w:bidi w:val="0"/>
              <w:spacing w:before="0" w:after="283"/>
              <w:jc w:val="right"/>
              <w:rPr/>
            </w:pPr>
            <w:r>
              <w:rPr/>
              <w:t> </w:t>
            </w:r>
          </w:p>
        </w:tc>
      </w:tr>
      <w:tr>
        <w:trPr/>
        <w:tc>
          <w:tcPr>
            <w:tcW w:w="7353" w:type="dxa"/>
            <w:gridSpan w:val="3"/>
            <w:tcBorders/>
            <w:shd w:fill="CCEEFF" w:val="clear"/>
            <w:vAlign w:val="center"/>
          </w:tcPr>
          <w:p>
            <w:pPr>
              <w:pStyle w:val="TableContents"/>
              <w:bidi w:val="0"/>
              <w:spacing w:before="0" w:after="0"/>
              <w:jc w:val="both"/>
              <w:rPr/>
            </w:pPr>
            <w:r>
              <w:rPr/>
              <w:t>ARTICLE 1 DEFINITIONS AND INCORPORATION BY REFERENCE</w:t>
            </w:r>
          </w:p>
        </w:tc>
        <w:tc>
          <w:tcPr>
            <w:tcW w:w="515" w:type="dxa"/>
            <w:tcBorders/>
            <w:shd w:fill="CCEEFF" w:val="clear"/>
            <w:vAlign w:val="center"/>
          </w:tcPr>
          <w:p>
            <w:pPr>
              <w:pStyle w:val="TableContents"/>
              <w:bidi w:val="0"/>
              <w:spacing w:before="0" w:after="0"/>
              <w:jc w:val="right"/>
              <w:rPr/>
            </w:pPr>
            <w:r>
              <w:rPr/>
              <w:t>1</w:t>
            </w:r>
          </w:p>
        </w:tc>
      </w:tr>
      <w:tr>
        <w:trPr/>
        <w:tc>
          <w:tcPr>
            <w:tcW w:w="7353" w:type="dxa"/>
            <w:gridSpan w:val="3"/>
            <w:tcBorders/>
            <w:vAlign w:val="center"/>
          </w:tcPr>
          <w:p>
            <w:pPr>
              <w:pStyle w:val="TableContents"/>
              <w:bidi w:val="0"/>
              <w:spacing w:before="0" w:after="283"/>
              <w:jc w:val="both"/>
              <w:rPr/>
            </w:pPr>
            <w:r>
              <w:rPr/>
              <w:t> </w:t>
            </w:r>
          </w:p>
        </w:tc>
        <w:tc>
          <w:tcPr>
            <w:tcW w:w="515" w:type="dxa"/>
            <w:tcBorders/>
            <w:vAlign w:val="center"/>
          </w:tcPr>
          <w:p>
            <w:pPr>
              <w:pStyle w:val="TableContents"/>
              <w:bidi w:val="0"/>
              <w:spacing w:before="0" w:after="283"/>
              <w:jc w:val="right"/>
              <w:rPr/>
            </w:pPr>
            <w:r>
              <w:rPr/>
              <w:t> </w:t>
            </w:r>
          </w:p>
        </w:tc>
      </w:tr>
      <w:tr>
        <w:trPr/>
        <w:tc>
          <w:tcPr>
            <w:tcW w:w="72" w:type="dxa"/>
            <w:tcBorders/>
            <w:shd w:fill="CCEEFF" w:val="clear"/>
            <w:vAlign w:val="center"/>
          </w:tcPr>
          <w:p>
            <w:pPr>
              <w:pStyle w:val="TableContents"/>
              <w:bidi w:val="0"/>
              <w:spacing w:before="0" w:after="283"/>
              <w:jc w:val="both"/>
              <w:rPr/>
            </w:pPr>
            <w:r>
              <w:rPr/>
              <w:t> </w:t>
            </w:r>
          </w:p>
        </w:tc>
        <w:tc>
          <w:tcPr>
            <w:tcW w:w="1463" w:type="dxa"/>
            <w:tcBorders/>
            <w:shd w:fill="CCEEFF" w:val="clear"/>
            <w:vAlign w:val="center"/>
          </w:tcPr>
          <w:p>
            <w:pPr>
              <w:pStyle w:val="TableContents"/>
              <w:bidi w:val="0"/>
              <w:spacing w:before="0" w:after="0"/>
              <w:jc w:val="both"/>
              <w:rPr/>
            </w:pPr>
            <w:r>
              <w:rPr/>
              <w:t>Section 1.01</w:t>
            </w:r>
          </w:p>
        </w:tc>
        <w:tc>
          <w:tcPr>
            <w:tcW w:w="5818" w:type="dxa"/>
            <w:tcBorders/>
            <w:shd w:fill="CCEEFF" w:val="clear"/>
            <w:vAlign w:val="center"/>
          </w:tcPr>
          <w:p>
            <w:pPr>
              <w:pStyle w:val="TableContents"/>
              <w:bidi w:val="0"/>
              <w:spacing w:before="0" w:after="0"/>
              <w:jc w:val="both"/>
              <w:rPr/>
            </w:pPr>
            <w:r>
              <w:rPr/>
              <w:t>Definitions</w:t>
            </w:r>
          </w:p>
        </w:tc>
        <w:tc>
          <w:tcPr>
            <w:tcW w:w="515" w:type="dxa"/>
            <w:tcBorders/>
            <w:shd w:fill="CCEEFF" w:val="clear"/>
            <w:vAlign w:val="center"/>
          </w:tcPr>
          <w:p>
            <w:pPr>
              <w:pStyle w:val="TableContents"/>
              <w:bidi w:val="0"/>
              <w:spacing w:before="0" w:after="0"/>
              <w:jc w:val="right"/>
              <w:rPr/>
            </w:pPr>
            <w:r>
              <w:rPr/>
              <w:t>1</w:t>
            </w:r>
          </w:p>
        </w:tc>
      </w:tr>
      <w:tr>
        <w:trPr/>
        <w:tc>
          <w:tcPr>
            <w:tcW w:w="72" w:type="dxa"/>
            <w:tcBorders/>
            <w:vAlign w:val="center"/>
          </w:tcPr>
          <w:p>
            <w:pPr>
              <w:pStyle w:val="TableContents"/>
              <w:bidi w:val="0"/>
              <w:spacing w:before="0" w:after="283"/>
              <w:jc w:val="both"/>
              <w:rPr/>
            </w:pPr>
            <w:r>
              <w:rPr/>
              <w:t> </w:t>
            </w:r>
          </w:p>
        </w:tc>
        <w:tc>
          <w:tcPr>
            <w:tcW w:w="1463" w:type="dxa"/>
            <w:tcBorders/>
            <w:vAlign w:val="center"/>
          </w:tcPr>
          <w:p>
            <w:pPr>
              <w:pStyle w:val="TableContents"/>
              <w:bidi w:val="0"/>
              <w:spacing w:before="0" w:after="0"/>
              <w:jc w:val="both"/>
              <w:rPr/>
            </w:pPr>
            <w:r>
              <w:rPr/>
              <w:t>Section 1.02</w:t>
            </w:r>
          </w:p>
        </w:tc>
        <w:tc>
          <w:tcPr>
            <w:tcW w:w="5818" w:type="dxa"/>
            <w:tcBorders/>
            <w:vAlign w:val="center"/>
          </w:tcPr>
          <w:p>
            <w:pPr>
              <w:pStyle w:val="TableContents"/>
              <w:bidi w:val="0"/>
              <w:spacing w:before="0" w:after="0"/>
              <w:jc w:val="both"/>
              <w:rPr/>
            </w:pPr>
            <w:r>
              <w:rPr/>
              <w:t>Other Definitions</w:t>
            </w:r>
          </w:p>
        </w:tc>
        <w:tc>
          <w:tcPr>
            <w:tcW w:w="515" w:type="dxa"/>
            <w:tcBorders/>
            <w:vAlign w:val="center"/>
          </w:tcPr>
          <w:p>
            <w:pPr>
              <w:pStyle w:val="TableContents"/>
              <w:bidi w:val="0"/>
              <w:spacing w:before="0" w:after="283"/>
              <w:jc w:val="right"/>
              <w:rPr/>
            </w:pPr>
            <w:r>
              <w:rPr/>
              <w:t>6</w:t>
            </w:r>
          </w:p>
        </w:tc>
      </w:tr>
      <w:tr>
        <w:trPr/>
        <w:tc>
          <w:tcPr>
            <w:tcW w:w="72" w:type="dxa"/>
            <w:tcBorders/>
            <w:shd w:fill="CCEEFF" w:val="clear"/>
            <w:vAlign w:val="center"/>
          </w:tcPr>
          <w:p>
            <w:pPr>
              <w:pStyle w:val="TableContents"/>
              <w:bidi w:val="0"/>
              <w:spacing w:before="0" w:after="283"/>
              <w:jc w:val="both"/>
              <w:rPr/>
            </w:pPr>
            <w:r>
              <w:rPr/>
              <w:t> </w:t>
            </w:r>
          </w:p>
        </w:tc>
        <w:tc>
          <w:tcPr>
            <w:tcW w:w="1463" w:type="dxa"/>
            <w:tcBorders/>
            <w:shd w:fill="CCEEFF" w:val="clear"/>
            <w:vAlign w:val="center"/>
          </w:tcPr>
          <w:p>
            <w:pPr>
              <w:pStyle w:val="TableContents"/>
              <w:bidi w:val="0"/>
              <w:spacing w:before="0" w:after="0"/>
              <w:jc w:val="both"/>
              <w:rPr/>
            </w:pPr>
            <w:r>
              <w:rPr/>
              <w:t>Section 1.03</w:t>
            </w:r>
          </w:p>
        </w:tc>
        <w:tc>
          <w:tcPr>
            <w:tcW w:w="5818" w:type="dxa"/>
            <w:tcBorders/>
            <w:shd w:fill="CCEEFF" w:val="clear"/>
            <w:vAlign w:val="center"/>
          </w:tcPr>
          <w:p>
            <w:pPr>
              <w:pStyle w:val="TableContents"/>
              <w:bidi w:val="0"/>
              <w:spacing w:before="0" w:after="0"/>
              <w:jc w:val="both"/>
              <w:rPr/>
            </w:pPr>
            <w:r>
              <w:rPr/>
              <w:t>Rules of Construction</w:t>
            </w:r>
          </w:p>
        </w:tc>
        <w:tc>
          <w:tcPr>
            <w:tcW w:w="515" w:type="dxa"/>
            <w:tcBorders/>
            <w:shd w:fill="CCEEFF" w:val="clear"/>
            <w:vAlign w:val="center"/>
          </w:tcPr>
          <w:p>
            <w:pPr>
              <w:pStyle w:val="TableContents"/>
              <w:bidi w:val="0"/>
              <w:spacing w:before="0" w:after="283"/>
              <w:jc w:val="right"/>
              <w:rPr/>
            </w:pPr>
            <w:r>
              <w:rPr/>
              <w:t>6</w:t>
            </w:r>
          </w:p>
        </w:tc>
      </w:tr>
      <w:tr>
        <w:trPr/>
        <w:tc>
          <w:tcPr>
            <w:tcW w:w="72" w:type="dxa"/>
            <w:tcBorders/>
            <w:vAlign w:val="center"/>
          </w:tcPr>
          <w:p>
            <w:pPr>
              <w:pStyle w:val="TableContents"/>
              <w:bidi w:val="0"/>
              <w:spacing w:before="0" w:after="283"/>
              <w:jc w:val="both"/>
              <w:rPr/>
            </w:pPr>
            <w:r>
              <w:rPr/>
              <w:t> </w:t>
            </w:r>
          </w:p>
        </w:tc>
        <w:tc>
          <w:tcPr>
            <w:tcW w:w="1463" w:type="dxa"/>
            <w:tcBorders/>
            <w:vAlign w:val="center"/>
          </w:tcPr>
          <w:p>
            <w:pPr>
              <w:pStyle w:val="TableContents"/>
              <w:bidi w:val="0"/>
              <w:spacing w:before="0" w:after="0"/>
              <w:jc w:val="both"/>
              <w:rPr/>
            </w:pPr>
            <w:r>
              <w:rPr/>
              <w:t>Section 1.04</w:t>
            </w:r>
          </w:p>
        </w:tc>
        <w:tc>
          <w:tcPr>
            <w:tcW w:w="5818" w:type="dxa"/>
            <w:tcBorders/>
            <w:vAlign w:val="center"/>
          </w:tcPr>
          <w:p>
            <w:pPr>
              <w:pStyle w:val="TableContents"/>
              <w:bidi w:val="0"/>
              <w:spacing w:before="0" w:after="0"/>
              <w:jc w:val="both"/>
              <w:rPr/>
            </w:pPr>
            <w:r>
              <w:rPr/>
              <w:t>Incorporation by Reference of Trust Indenture Act</w:t>
            </w:r>
          </w:p>
        </w:tc>
        <w:tc>
          <w:tcPr>
            <w:tcW w:w="515" w:type="dxa"/>
            <w:tcBorders/>
            <w:vAlign w:val="center"/>
          </w:tcPr>
          <w:p>
            <w:pPr>
              <w:pStyle w:val="TableContents"/>
              <w:bidi w:val="0"/>
              <w:spacing w:before="0" w:after="283"/>
              <w:jc w:val="right"/>
              <w:rPr/>
            </w:pPr>
            <w:r>
              <w:rPr/>
              <w:t>6</w:t>
            </w:r>
          </w:p>
        </w:tc>
      </w:tr>
      <w:tr>
        <w:trPr/>
        <w:tc>
          <w:tcPr>
            <w:tcW w:w="72" w:type="dxa"/>
            <w:tcBorders/>
            <w:shd w:fill="CCEEFF" w:val="clear"/>
            <w:vAlign w:val="center"/>
          </w:tcPr>
          <w:p>
            <w:pPr>
              <w:pStyle w:val="TableContents"/>
              <w:bidi w:val="0"/>
              <w:spacing w:before="0" w:after="283"/>
              <w:jc w:val="both"/>
              <w:rPr/>
            </w:pPr>
            <w:r>
              <w:rPr/>
              <w:t> </w:t>
            </w:r>
          </w:p>
        </w:tc>
        <w:tc>
          <w:tcPr>
            <w:tcW w:w="1463" w:type="dxa"/>
            <w:tcBorders/>
            <w:shd w:fill="CCEEFF" w:val="clear"/>
            <w:vAlign w:val="center"/>
          </w:tcPr>
          <w:p>
            <w:pPr>
              <w:pStyle w:val="TableContents"/>
              <w:bidi w:val="0"/>
              <w:spacing w:before="0" w:after="283"/>
              <w:jc w:val="both"/>
              <w:rPr/>
            </w:pPr>
            <w:r>
              <w:rPr/>
              <w:t> </w:t>
            </w:r>
          </w:p>
        </w:tc>
        <w:tc>
          <w:tcPr>
            <w:tcW w:w="5818" w:type="dxa"/>
            <w:tcBorders/>
            <w:shd w:fill="CCEEFF" w:val="clear"/>
            <w:vAlign w:val="center"/>
          </w:tcPr>
          <w:p>
            <w:pPr>
              <w:pStyle w:val="TableContents"/>
              <w:bidi w:val="0"/>
              <w:spacing w:before="0" w:after="283"/>
              <w:jc w:val="both"/>
              <w:rPr/>
            </w:pPr>
            <w:r>
              <w:rPr/>
              <w:t> </w:t>
            </w:r>
          </w:p>
        </w:tc>
        <w:tc>
          <w:tcPr>
            <w:tcW w:w="515" w:type="dxa"/>
            <w:tcBorders/>
            <w:shd w:fill="CCEEFF" w:val="clear"/>
            <w:vAlign w:val="center"/>
          </w:tcPr>
          <w:p>
            <w:pPr>
              <w:pStyle w:val="TableContents"/>
              <w:bidi w:val="0"/>
              <w:spacing w:before="0" w:after="283"/>
              <w:jc w:val="right"/>
              <w:rPr/>
            </w:pPr>
            <w:r>
              <w:rPr/>
              <w:t> </w:t>
            </w:r>
          </w:p>
        </w:tc>
      </w:tr>
      <w:tr>
        <w:trPr/>
        <w:tc>
          <w:tcPr>
            <w:tcW w:w="7353" w:type="dxa"/>
            <w:gridSpan w:val="3"/>
            <w:tcBorders/>
            <w:vAlign w:val="center"/>
          </w:tcPr>
          <w:p>
            <w:pPr>
              <w:pStyle w:val="TableContents"/>
              <w:bidi w:val="0"/>
              <w:spacing w:before="0" w:after="0"/>
              <w:jc w:val="both"/>
              <w:rPr/>
            </w:pPr>
            <w:r>
              <w:rPr/>
              <w:t>ARTICLE 2 THE NOTES</w:t>
            </w:r>
          </w:p>
        </w:tc>
        <w:tc>
          <w:tcPr>
            <w:tcW w:w="515" w:type="dxa"/>
            <w:tcBorders/>
            <w:vAlign w:val="center"/>
          </w:tcPr>
          <w:p>
            <w:pPr>
              <w:pStyle w:val="TableContents"/>
              <w:bidi w:val="0"/>
              <w:spacing w:before="0" w:after="283"/>
              <w:jc w:val="right"/>
              <w:rPr/>
            </w:pPr>
            <w:r>
              <w:rPr/>
              <w:t>7</w:t>
            </w:r>
          </w:p>
        </w:tc>
      </w:tr>
      <w:tr>
        <w:trPr/>
        <w:tc>
          <w:tcPr>
            <w:tcW w:w="7353" w:type="dxa"/>
            <w:gridSpan w:val="3"/>
            <w:tcBorders/>
            <w:shd w:fill="CCEEFF" w:val="clear"/>
            <w:vAlign w:val="center"/>
          </w:tcPr>
          <w:p>
            <w:pPr>
              <w:pStyle w:val="TableContents"/>
              <w:bidi w:val="0"/>
              <w:spacing w:before="0" w:after="283"/>
              <w:jc w:val="both"/>
              <w:rPr/>
            </w:pPr>
            <w:r>
              <w:rPr/>
              <w:t> </w:t>
            </w:r>
          </w:p>
        </w:tc>
        <w:tc>
          <w:tcPr>
            <w:tcW w:w="515" w:type="dxa"/>
            <w:tcBorders/>
            <w:shd w:fill="CCEEFF" w:val="clear"/>
            <w:vAlign w:val="center"/>
          </w:tcPr>
          <w:p>
            <w:pPr>
              <w:pStyle w:val="TableContents"/>
              <w:bidi w:val="0"/>
              <w:spacing w:before="0" w:after="283"/>
              <w:jc w:val="right"/>
              <w:rPr/>
            </w:pPr>
            <w:r>
              <w:rPr/>
              <w:t> </w:t>
            </w:r>
          </w:p>
        </w:tc>
      </w:tr>
      <w:tr>
        <w:trPr/>
        <w:tc>
          <w:tcPr>
            <w:tcW w:w="72" w:type="dxa"/>
            <w:tcBorders/>
            <w:vAlign w:val="center"/>
          </w:tcPr>
          <w:p>
            <w:pPr>
              <w:pStyle w:val="TableContents"/>
              <w:bidi w:val="0"/>
              <w:spacing w:before="0" w:after="283"/>
              <w:jc w:val="both"/>
              <w:rPr/>
            </w:pPr>
            <w:r>
              <w:rPr/>
              <w:t> </w:t>
            </w:r>
          </w:p>
        </w:tc>
        <w:tc>
          <w:tcPr>
            <w:tcW w:w="1463" w:type="dxa"/>
            <w:tcBorders/>
            <w:vAlign w:val="center"/>
          </w:tcPr>
          <w:p>
            <w:pPr>
              <w:pStyle w:val="TableContents"/>
              <w:bidi w:val="0"/>
              <w:spacing w:before="0" w:after="0"/>
              <w:jc w:val="both"/>
              <w:rPr/>
            </w:pPr>
            <w:r>
              <w:rPr/>
              <w:t>Section 2.01</w:t>
            </w:r>
          </w:p>
        </w:tc>
        <w:tc>
          <w:tcPr>
            <w:tcW w:w="5818" w:type="dxa"/>
            <w:tcBorders/>
            <w:vAlign w:val="center"/>
          </w:tcPr>
          <w:p>
            <w:pPr>
              <w:pStyle w:val="TableContents"/>
              <w:bidi w:val="0"/>
              <w:spacing w:before="0" w:after="0"/>
              <w:jc w:val="both"/>
              <w:rPr/>
            </w:pPr>
            <w:r>
              <w:rPr/>
              <w:t>Issuable in Series</w:t>
            </w:r>
          </w:p>
        </w:tc>
        <w:tc>
          <w:tcPr>
            <w:tcW w:w="515" w:type="dxa"/>
            <w:tcBorders/>
            <w:vAlign w:val="center"/>
          </w:tcPr>
          <w:p>
            <w:pPr>
              <w:pStyle w:val="TableContents"/>
              <w:bidi w:val="0"/>
              <w:spacing w:before="0" w:after="283"/>
              <w:jc w:val="right"/>
              <w:rPr/>
            </w:pPr>
            <w:r>
              <w:rPr/>
              <w:t>7</w:t>
            </w:r>
          </w:p>
        </w:tc>
      </w:tr>
      <w:tr>
        <w:trPr/>
        <w:tc>
          <w:tcPr>
            <w:tcW w:w="72" w:type="dxa"/>
            <w:tcBorders/>
            <w:shd w:fill="CCEEFF" w:val="clear"/>
            <w:vAlign w:val="center"/>
          </w:tcPr>
          <w:p>
            <w:pPr>
              <w:pStyle w:val="TableContents"/>
              <w:bidi w:val="0"/>
              <w:spacing w:before="0" w:after="283"/>
              <w:jc w:val="both"/>
              <w:rPr/>
            </w:pPr>
            <w:r>
              <w:rPr/>
              <w:t> </w:t>
            </w:r>
          </w:p>
        </w:tc>
        <w:tc>
          <w:tcPr>
            <w:tcW w:w="1463" w:type="dxa"/>
            <w:tcBorders/>
            <w:shd w:fill="CCEEFF" w:val="clear"/>
            <w:vAlign w:val="center"/>
          </w:tcPr>
          <w:p>
            <w:pPr>
              <w:pStyle w:val="TableContents"/>
              <w:bidi w:val="0"/>
              <w:spacing w:before="0" w:after="0"/>
              <w:jc w:val="both"/>
              <w:rPr/>
            </w:pPr>
            <w:r>
              <w:rPr/>
              <w:t>Section 2.02</w:t>
            </w:r>
          </w:p>
        </w:tc>
        <w:tc>
          <w:tcPr>
            <w:tcW w:w="5818" w:type="dxa"/>
            <w:tcBorders/>
            <w:shd w:fill="CCEEFF" w:val="clear"/>
            <w:vAlign w:val="center"/>
          </w:tcPr>
          <w:p>
            <w:pPr>
              <w:pStyle w:val="TableContents"/>
              <w:bidi w:val="0"/>
              <w:spacing w:before="0" w:after="0"/>
              <w:jc w:val="both"/>
              <w:rPr/>
            </w:pPr>
            <w:r>
              <w:rPr/>
              <w:t>Establishment of Terms of Series of Notes</w:t>
            </w:r>
          </w:p>
        </w:tc>
        <w:tc>
          <w:tcPr>
            <w:tcW w:w="515" w:type="dxa"/>
            <w:tcBorders/>
            <w:shd w:fill="CCEEFF" w:val="clear"/>
            <w:vAlign w:val="center"/>
          </w:tcPr>
          <w:p>
            <w:pPr>
              <w:pStyle w:val="TableContents"/>
              <w:bidi w:val="0"/>
              <w:spacing w:before="0" w:after="283"/>
              <w:jc w:val="right"/>
              <w:rPr/>
            </w:pPr>
            <w:r>
              <w:rPr/>
              <w:t>7</w:t>
            </w:r>
          </w:p>
        </w:tc>
      </w:tr>
      <w:tr>
        <w:trPr/>
        <w:tc>
          <w:tcPr>
            <w:tcW w:w="72" w:type="dxa"/>
            <w:tcBorders/>
            <w:vAlign w:val="center"/>
          </w:tcPr>
          <w:p>
            <w:pPr>
              <w:pStyle w:val="TableContents"/>
              <w:bidi w:val="0"/>
              <w:spacing w:before="0" w:after="283"/>
              <w:jc w:val="both"/>
              <w:rPr/>
            </w:pPr>
            <w:r>
              <w:rPr/>
              <w:t> </w:t>
            </w:r>
          </w:p>
        </w:tc>
        <w:tc>
          <w:tcPr>
            <w:tcW w:w="1463" w:type="dxa"/>
            <w:tcBorders/>
            <w:vAlign w:val="center"/>
          </w:tcPr>
          <w:p>
            <w:pPr>
              <w:pStyle w:val="TableContents"/>
              <w:bidi w:val="0"/>
              <w:spacing w:before="0" w:after="0"/>
              <w:jc w:val="both"/>
              <w:rPr/>
            </w:pPr>
            <w:r>
              <w:rPr/>
              <w:t>Section 2.03</w:t>
            </w:r>
          </w:p>
        </w:tc>
        <w:tc>
          <w:tcPr>
            <w:tcW w:w="5818" w:type="dxa"/>
            <w:tcBorders/>
            <w:vAlign w:val="center"/>
          </w:tcPr>
          <w:p>
            <w:pPr>
              <w:pStyle w:val="TableContents"/>
              <w:bidi w:val="0"/>
              <w:spacing w:before="0" w:after="0"/>
              <w:jc w:val="both"/>
              <w:rPr/>
            </w:pPr>
            <w:r>
              <w:rPr/>
              <w:t>Execution and Authentication</w:t>
            </w:r>
          </w:p>
        </w:tc>
        <w:tc>
          <w:tcPr>
            <w:tcW w:w="515" w:type="dxa"/>
            <w:tcBorders/>
            <w:vAlign w:val="center"/>
          </w:tcPr>
          <w:p>
            <w:pPr>
              <w:pStyle w:val="TableContents"/>
              <w:bidi w:val="0"/>
              <w:spacing w:before="0" w:after="283"/>
              <w:jc w:val="right"/>
              <w:rPr/>
            </w:pPr>
            <w:r>
              <w:rPr/>
              <w:t>8</w:t>
            </w:r>
          </w:p>
        </w:tc>
      </w:tr>
      <w:tr>
        <w:trPr/>
        <w:tc>
          <w:tcPr>
            <w:tcW w:w="72" w:type="dxa"/>
            <w:tcBorders/>
            <w:shd w:fill="CCEEFF" w:val="clear"/>
            <w:vAlign w:val="center"/>
          </w:tcPr>
          <w:p>
            <w:pPr>
              <w:pStyle w:val="TableContents"/>
              <w:bidi w:val="0"/>
              <w:spacing w:before="0" w:after="283"/>
              <w:jc w:val="both"/>
              <w:rPr/>
            </w:pPr>
            <w:r>
              <w:rPr/>
              <w:t> </w:t>
            </w:r>
          </w:p>
        </w:tc>
        <w:tc>
          <w:tcPr>
            <w:tcW w:w="1463" w:type="dxa"/>
            <w:tcBorders/>
            <w:shd w:fill="CCEEFF" w:val="clear"/>
            <w:vAlign w:val="center"/>
          </w:tcPr>
          <w:p>
            <w:pPr>
              <w:pStyle w:val="TableContents"/>
              <w:bidi w:val="0"/>
              <w:spacing w:before="0" w:after="0"/>
              <w:jc w:val="both"/>
              <w:rPr/>
            </w:pPr>
            <w:r>
              <w:rPr/>
              <w:t>Section 2.04</w:t>
            </w:r>
          </w:p>
        </w:tc>
        <w:tc>
          <w:tcPr>
            <w:tcW w:w="5818" w:type="dxa"/>
            <w:tcBorders/>
            <w:shd w:fill="CCEEFF" w:val="clear"/>
            <w:vAlign w:val="center"/>
          </w:tcPr>
          <w:p>
            <w:pPr>
              <w:pStyle w:val="TableContents"/>
              <w:bidi w:val="0"/>
              <w:spacing w:before="0" w:after="0"/>
              <w:jc w:val="both"/>
              <w:rPr/>
            </w:pPr>
            <w:r>
              <w:rPr/>
              <w:t>Registrar and Paying Agent</w:t>
            </w:r>
          </w:p>
        </w:tc>
        <w:tc>
          <w:tcPr>
            <w:tcW w:w="515" w:type="dxa"/>
            <w:tcBorders/>
            <w:shd w:fill="CCEEFF" w:val="clear"/>
            <w:vAlign w:val="center"/>
          </w:tcPr>
          <w:p>
            <w:pPr>
              <w:pStyle w:val="TableContents"/>
              <w:bidi w:val="0"/>
              <w:spacing w:before="0" w:after="283"/>
              <w:jc w:val="right"/>
              <w:rPr/>
            </w:pPr>
            <w:r>
              <w:rPr/>
              <w:t>9</w:t>
            </w:r>
          </w:p>
        </w:tc>
      </w:tr>
      <w:tr>
        <w:trPr/>
        <w:tc>
          <w:tcPr>
            <w:tcW w:w="72" w:type="dxa"/>
            <w:tcBorders/>
            <w:vAlign w:val="center"/>
          </w:tcPr>
          <w:p>
            <w:pPr>
              <w:pStyle w:val="TableContents"/>
              <w:bidi w:val="0"/>
              <w:spacing w:before="0" w:after="283"/>
              <w:jc w:val="both"/>
              <w:rPr/>
            </w:pPr>
            <w:r>
              <w:rPr/>
              <w:t> </w:t>
            </w:r>
          </w:p>
        </w:tc>
        <w:tc>
          <w:tcPr>
            <w:tcW w:w="1463" w:type="dxa"/>
            <w:tcBorders/>
            <w:vAlign w:val="center"/>
          </w:tcPr>
          <w:p>
            <w:pPr>
              <w:pStyle w:val="TableContents"/>
              <w:bidi w:val="0"/>
              <w:spacing w:before="0" w:after="0"/>
              <w:jc w:val="both"/>
              <w:rPr/>
            </w:pPr>
            <w:r>
              <w:rPr/>
              <w:t>Section 2.05</w:t>
            </w:r>
          </w:p>
        </w:tc>
        <w:tc>
          <w:tcPr>
            <w:tcW w:w="5818" w:type="dxa"/>
            <w:tcBorders/>
            <w:vAlign w:val="center"/>
          </w:tcPr>
          <w:p>
            <w:pPr>
              <w:pStyle w:val="TableContents"/>
              <w:bidi w:val="0"/>
              <w:spacing w:before="0" w:after="0"/>
              <w:jc w:val="both"/>
              <w:rPr/>
            </w:pPr>
            <w:r>
              <w:rPr/>
              <w:t>Paying Agent to Hold Money</w:t>
            </w:r>
          </w:p>
        </w:tc>
        <w:tc>
          <w:tcPr>
            <w:tcW w:w="515" w:type="dxa"/>
            <w:tcBorders/>
            <w:vAlign w:val="center"/>
          </w:tcPr>
          <w:p>
            <w:pPr>
              <w:pStyle w:val="TableContents"/>
              <w:bidi w:val="0"/>
              <w:spacing w:before="0" w:after="283"/>
              <w:jc w:val="right"/>
              <w:rPr/>
            </w:pPr>
            <w:r>
              <w:rPr/>
              <w:t>10</w:t>
            </w:r>
          </w:p>
        </w:tc>
      </w:tr>
      <w:tr>
        <w:trPr/>
        <w:tc>
          <w:tcPr>
            <w:tcW w:w="72" w:type="dxa"/>
            <w:tcBorders/>
            <w:shd w:fill="CCEEFF" w:val="clear"/>
            <w:vAlign w:val="center"/>
          </w:tcPr>
          <w:p>
            <w:pPr>
              <w:pStyle w:val="TableContents"/>
              <w:bidi w:val="0"/>
              <w:spacing w:before="0" w:after="283"/>
              <w:jc w:val="both"/>
              <w:rPr/>
            </w:pPr>
            <w:r>
              <w:rPr/>
              <w:t> </w:t>
            </w:r>
          </w:p>
        </w:tc>
        <w:tc>
          <w:tcPr>
            <w:tcW w:w="1463" w:type="dxa"/>
            <w:tcBorders/>
            <w:shd w:fill="CCEEFF" w:val="clear"/>
            <w:vAlign w:val="center"/>
          </w:tcPr>
          <w:p>
            <w:pPr>
              <w:pStyle w:val="TableContents"/>
              <w:bidi w:val="0"/>
              <w:spacing w:before="0" w:after="0"/>
              <w:jc w:val="both"/>
              <w:rPr/>
            </w:pPr>
            <w:r>
              <w:rPr/>
              <w:t>Section 2.06</w:t>
            </w:r>
          </w:p>
        </w:tc>
        <w:tc>
          <w:tcPr>
            <w:tcW w:w="5818" w:type="dxa"/>
            <w:tcBorders/>
            <w:shd w:fill="CCEEFF" w:val="clear"/>
            <w:vAlign w:val="center"/>
          </w:tcPr>
          <w:p>
            <w:pPr>
              <w:pStyle w:val="TableContents"/>
              <w:bidi w:val="0"/>
              <w:spacing w:before="0" w:after="0"/>
              <w:jc w:val="both"/>
              <w:rPr/>
            </w:pPr>
            <w:r>
              <w:rPr/>
              <w:t>Holder Lists</w:t>
            </w:r>
          </w:p>
        </w:tc>
        <w:tc>
          <w:tcPr>
            <w:tcW w:w="515" w:type="dxa"/>
            <w:tcBorders/>
            <w:shd w:fill="CCEEFF" w:val="clear"/>
            <w:vAlign w:val="center"/>
          </w:tcPr>
          <w:p>
            <w:pPr>
              <w:pStyle w:val="TableContents"/>
              <w:bidi w:val="0"/>
              <w:spacing w:before="0" w:after="0"/>
              <w:jc w:val="right"/>
              <w:rPr/>
            </w:pPr>
            <w:r>
              <w:rPr/>
              <w:t>10</w:t>
            </w:r>
          </w:p>
        </w:tc>
      </w:tr>
      <w:tr>
        <w:trPr/>
        <w:tc>
          <w:tcPr>
            <w:tcW w:w="72" w:type="dxa"/>
            <w:tcBorders/>
            <w:vAlign w:val="center"/>
          </w:tcPr>
          <w:p>
            <w:pPr>
              <w:pStyle w:val="TableContents"/>
              <w:bidi w:val="0"/>
              <w:spacing w:before="0" w:after="283"/>
              <w:jc w:val="both"/>
              <w:rPr/>
            </w:pPr>
            <w:r>
              <w:rPr/>
              <w:t> </w:t>
            </w:r>
          </w:p>
        </w:tc>
        <w:tc>
          <w:tcPr>
            <w:tcW w:w="1463" w:type="dxa"/>
            <w:tcBorders/>
            <w:vAlign w:val="center"/>
          </w:tcPr>
          <w:p>
            <w:pPr>
              <w:pStyle w:val="TableContents"/>
              <w:bidi w:val="0"/>
              <w:spacing w:before="0" w:after="0"/>
              <w:jc w:val="both"/>
              <w:rPr/>
            </w:pPr>
            <w:r>
              <w:rPr/>
              <w:t>Section 2.07</w:t>
            </w:r>
          </w:p>
        </w:tc>
        <w:tc>
          <w:tcPr>
            <w:tcW w:w="5818" w:type="dxa"/>
            <w:tcBorders/>
            <w:vAlign w:val="center"/>
          </w:tcPr>
          <w:p>
            <w:pPr>
              <w:pStyle w:val="TableContents"/>
              <w:bidi w:val="0"/>
              <w:spacing w:before="0" w:after="0"/>
              <w:jc w:val="both"/>
              <w:rPr/>
            </w:pPr>
            <w:r>
              <w:rPr/>
              <w:t>Transfer and Exchange</w:t>
            </w:r>
          </w:p>
        </w:tc>
        <w:tc>
          <w:tcPr>
            <w:tcW w:w="515" w:type="dxa"/>
            <w:tcBorders/>
            <w:vAlign w:val="center"/>
          </w:tcPr>
          <w:p>
            <w:pPr>
              <w:pStyle w:val="TableContents"/>
              <w:bidi w:val="0"/>
              <w:spacing w:before="0" w:after="0"/>
              <w:jc w:val="right"/>
              <w:rPr/>
            </w:pPr>
            <w:r>
              <w:rPr/>
              <w:t>10</w:t>
            </w:r>
          </w:p>
        </w:tc>
      </w:tr>
      <w:tr>
        <w:trPr/>
        <w:tc>
          <w:tcPr>
            <w:tcW w:w="72" w:type="dxa"/>
            <w:tcBorders/>
            <w:shd w:fill="CCEEFF" w:val="clear"/>
            <w:vAlign w:val="center"/>
          </w:tcPr>
          <w:p>
            <w:pPr>
              <w:pStyle w:val="TableContents"/>
              <w:bidi w:val="0"/>
              <w:spacing w:before="0" w:after="283"/>
              <w:jc w:val="both"/>
              <w:rPr/>
            </w:pPr>
            <w:r>
              <w:rPr/>
              <w:t> </w:t>
            </w:r>
          </w:p>
        </w:tc>
        <w:tc>
          <w:tcPr>
            <w:tcW w:w="1463" w:type="dxa"/>
            <w:tcBorders/>
            <w:shd w:fill="CCEEFF" w:val="clear"/>
            <w:vAlign w:val="center"/>
          </w:tcPr>
          <w:p>
            <w:pPr>
              <w:pStyle w:val="TableContents"/>
              <w:bidi w:val="0"/>
              <w:spacing w:before="0" w:after="0"/>
              <w:jc w:val="both"/>
              <w:rPr/>
            </w:pPr>
            <w:r>
              <w:rPr/>
              <w:t>Section 2.08</w:t>
            </w:r>
          </w:p>
        </w:tc>
        <w:tc>
          <w:tcPr>
            <w:tcW w:w="5818" w:type="dxa"/>
            <w:tcBorders/>
            <w:shd w:fill="CCEEFF" w:val="clear"/>
            <w:vAlign w:val="center"/>
          </w:tcPr>
          <w:p>
            <w:pPr>
              <w:pStyle w:val="TableContents"/>
              <w:bidi w:val="0"/>
              <w:spacing w:before="0" w:after="0"/>
              <w:jc w:val="both"/>
              <w:rPr/>
            </w:pPr>
            <w:r>
              <w:rPr/>
              <w:t>Replacement Notes</w:t>
            </w:r>
          </w:p>
        </w:tc>
        <w:tc>
          <w:tcPr>
            <w:tcW w:w="515" w:type="dxa"/>
            <w:tcBorders/>
            <w:shd w:fill="CCEEFF" w:val="clear"/>
            <w:vAlign w:val="center"/>
          </w:tcPr>
          <w:p>
            <w:pPr>
              <w:pStyle w:val="TableContents"/>
              <w:bidi w:val="0"/>
              <w:spacing w:before="0" w:after="283"/>
              <w:jc w:val="right"/>
              <w:rPr/>
            </w:pPr>
            <w:r>
              <w:rPr/>
              <w:t>11</w:t>
            </w:r>
          </w:p>
        </w:tc>
      </w:tr>
      <w:tr>
        <w:trPr/>
        <w:tc>
          <w:tcPr>
            <w:tcW w:w="72" w:type="dxa"/>
            <w:tcBorders/>
            <w:vAlign w:val="center"/>
          </w:tcPr>
          <w:p>
            <w:pPr>
              <w:pStyle w:val="TableContents"/>
              <w:bidi w:val="0"/>
              <w:spacing w:before="0" w:after="283"/>
              <w:jc w:val="both"/>
              <w:rPr/>
            </w:pPr>
            <w:r>
              <w:rPr/>
              <w:t> </w:t>
            </w:r>
          </w:p>
        </w:tc>
        <w:tc>
          <w:tcPr>
            <w:tcW w:w="1463" w:type="dxa"/>
            <w:tcBorders/>
            <w:vAlign w:val="center"/>
          </w:tcPr>
          <w:p>
            <w:pPr>
              <w:pStyle w:val="TableContents"/>
              <w:bidi w:val="0"/>
              <w:spacing w:before="0" w:after="0"/>
              <w:jc w:val="both"/>
              <w:rPr/>
            </w:pPr>
            <w:r>
              <w:rPr/>
              <w:t>Section 2.09</w:t>
            </w:r>
          </w:p>
        </w:tc>
        <w:tc>
          <w:tcPr>
            <w:tcW w:w="5818" w:type="dxa"/>
            <w:tcBorders/>
            <w:vAlign w:val="center"/>
          </w:tcPr>
          <w:p>
            <w:pPr>
              <w:pStyle w:val="TableContents"/>
              <w:bidi w:val="0"/>
              <w:spacing w:before="0" w:after="0"/>
              <w:jc w:val="both"/>
              <w:rPr/>
            </w:pPr>
            <w:r>
              <w:rPr/>
              <w:t>Outstanding Notes</w:t>
            </w:r>
          </w:p>
        </w:tc>
        <w:tc>
          <w:tcPr>
            <w:tcW w:w="515" w:type="dxa"/>
            <w:tcBorders/>
            <w:vAlign w:val="center"/>
          </w:tcPr>
          <w:p>
            <w:pPr>
              <w:pStyle w:val="TableContents"/>
              <w:bidi w:val="0"/>
              <w:spacing w:before="0" w:after="0"/>
              <w:jc w:val="right"/>
              <w:rPr/>
            </w:pPr>
            <w:r>
              <w:rPr/>
              <w:t>11</w:t>
            </w:r>
          </w:p>
        </w:tc>
      </w:tr>
      <w:tr>
        <w:trPr/>
        <w:tc>
          <w:tcPr>
            <w:tcW w:w="72" w:type="dxa"/>
            <w:tcBorders/>
            <w:shd w:fill="CCEEFF" w:val="clear"/>
            <w:vAlign w:val="center"/>
          </w:tcPr>
          <w:p>
            <w:pPr>
              <w:pStyle w:val="TableContents"/>
              <w:bidi w:val="0"/>
              <w:spacing w:before="0" w:after="283"/>
              <w:jc w:val="both"/>
              <w:rPr/>
            </w:pPr>
            <w:r>
              <w:rPr/>
              <w:t> </w:t>
            </w:r>
          </w:p>
        </w:tc>
        <w:tc>
          <w:tcPr>
            <w:tcW w:w="1463" w:type="dxa"/>
            <w:tcBorders/>
            <w:shd w:fill="CCEEFF" w:val="clear"/>
            <w:vAlign w:val="center"/>
          </w:tcPr>
          <w:p>
            <w:pPr>
              <w:pStyle w:val="TableContents"/>
              <w:bidi w:val="0"/>
              <w:spacing w:before="0" w:after="0"/>
              <w:jc w:val="both"/>
              <w:rPr/>
            </w:pPr>
            <w:r>
              <w:rPr/>
              <w:t>Section 2.10</w:t>
            </w:r>
          </w:p>
        </w:tc>
        <w:tc>
          <w:tcPr>
            <w:tcW w:w="5818" w:type="dxa"/>
            <w:tcBorders/>
            <w:shd w:fill="CCEEFF" w:val="clear"/>
            <w:vAlign w:val="center"/>
          </w:tcPr>
          <w:p>
            <w:pPr>
              <w:pStyle w:val="TableContents"/>
              <w:bidi w:val="0"/>
              <w:spacing w:before="0" w:after="0"/>
              <w:jc w:val="both"/>
              <w:rPr/>
            </w:pPr>
            <w:r>
              <w:rPr/>
              <w:t>Treasury Notes</w:t>
            </w:r>
          </w:p>
        </w:tc>
        <w:tc>
          <w:tcPr>
            <w:tcW w:w="515" w:type="dxa"/>
            <w:tcBorders/>
            <w:shd w:fill="CCEEFF" w:val="clear"/>
            <w:vAlign w:val="center"/>
          </w:tcPr>
          <w:p>
            <w:pPr>
              <w:pStyle w:val="TableContents"/>
              <w:bidi w:val="0"/>
              <w:spacing w:before="0" w:after="0"/>
              <w:jc w:val="right"/>
              <w:rPr/>
            </w:pPr>
            <w:r>
              <w:rPr/>
              <w:t>11</w:t>
            </w:r>
          </w:p>
        </w:tc>
      </w:tr>
      <w:tr>
        <w:trPr/>
        <w:tc>
          <w:tcPr>
            <w:tcW w:w="72" w:type="dxa"/>
            <w:tcBorders/>
            <w:vAlign w:val="center"/>
          </w:tcPr>
          <w:p>
            <w:pPr>
              <w:pStyle w:val="TableContents"/>
              <w:bidi w:val="0"/>
              <w:spacing w:before="0" w:after="283"/>
              <w:jc w:val="both"/>
              <w:rPr/>
            </w:pPr>
            <w:r>
              <w:rPr/>
              <w:t> </w:t>
            </w:r>
          </w:p>
        </w:tc>
        <w:tc>
          <w:tcPr>
            <w:tcW w:w="1463" w:type="dxa"/>
            <w:tcBorders/>
            <w:vAlign w:val="center"/>
          </w:tcPr>
          <w:p>
            <w:pPr>
              <w:pStyle w:val="TableContents"/>
              <w:bidi w:val="0"/>
              <w:spacing w:before="0" w:after="0"/>
              <w:jc w:val="both"/>
              <w:rPr/>
            </w:pPr>
            <w:r>
              <w:rPr/>
              <w:t>Section 2.11</w:t>
            </w:r>
          </w:p>
        </w:tc>
        <w:tc>
          <w:tcPr>
            <w:tcW w:w="5818" w:type="dxa"/>
            <w:tcBorders/>
            <w:vAlign w:val="center"/>
          </w:tcPr>
          <w:p>
            <w:pPr>
              <w:pStyle w:val="TableContents"/>
              <w:bidi w:val="0"/>
              <w:spacing w:before="0" w:after="0"/>
              <w:jc w:val="both"/>
              <w:rPr/>
            </w:pPr>
            <w:r>
              <w:rPr/>
              <w:t>Temporary Notes</w:t>
            </w:r>
          </w:p>
        </w:tc>
        <w:tc>
          <w:tcPr>
            <w:tcW w:w="515" w:type="dxa"/>
            <w:tcBorders/>
            <w:vAlign w:val="center"/>
          </w:tcPr>
          <w:p>
            <w:pPr>
              <w:pStyle w:val="TableContents"/>
              <w:bidi w:val="0"/>
              <w:spacing w:before="0" w:after="0"/>
              <w:jc w:val="right"/>
              <w:rPr/>
            </w:pPr>
            <w:r>
              <w:rPr/>
              <w:t>11</w:t>
            </w:r>
          </w:p>
        </w:tc>
      </w:tr>
      <w:tr>
        <w:trPr/>
        <w:tc>
          <w:tcPr>
            <w:tcW w:w="72" w:type="dxa"/>
            <w:tcBorders/>
            <w:shd w:fill="CCEEFF" w:val="clear"/>
            <w:vAlign w:val="center"/>
          </w:tcPr>
          <w:p>
            <w:pPr>
              <w:pStyle w:val="TableContents"/>
              <w:bidi w:val="0"/>
              <w:spacing w:before="0" w:after="283"/>
              <w:jc w:val="both"/>
              <w:rPr/>
            </w:pPr>
            <w:r>
              <w:rPr/>
              <w:t> </w:t>
            </w:r>
          </w:p>
        </w:tc>
        <w:tc>
          <w:tcPr>
            <w:tcW w:w="1463" w:type="dxa"/>
            <w:tcBorders/>
            <w:shd w:fill="CCEEFF" w:val="clear"/>
            <w:vAlign w:val="center"/>
          </w:tcPr>
          <w:p>
            <w:pPr>
              <w:pStyle w:val="TableContents"/>
              <w:bidi w:val="0"/>
              <w:spacing w:before="0" w:after="0"/>
              <w:jc w:val="both"/>
              <w:rPr/>
            </w:pPr>
            <w:r>
              <w:rPr/>
              <w:t>Section 2.12</w:t>
            </w:r>
          </w:p>
        </w:tc>
        <w:tc>
          <w:tcPr>
            <w:tcW w:w="5818" w:type="dxa"/>
            <w:tcBorders/>
            <w:shd w:fill="CCEEFF" w:val="clear"/>
            <w:vAlign w:val="center"/>
          </w:tcPr>
          <w:p>
            <w:pPr>
              <w:pStyle w:val="TableContents"/>
              <w:bidi w:val="0"/>
              <w:spacing w:before="0" w:after="0"/>
              <w:jc w:val="both"/>
              <w:rPr/>
            </w:pPr>
            <w:r>
              <w:rPr/>
              <w:t>Cancellation</w:t>
            </w:r>
          </w:p>
        </w:tc>
        <w:tc>
          <w:tcPr>
            <w:tcW w:w="515" w:type="dxa"/>
            <w:tcBorders/>
            <w:shd w:fill="CCEEFF" w:val="clear"/>
            <w:vAlign w:val="center"/>
          </w:tcPr>
          <w:p>
            <w:pPr>
              <w:pStyle w:val="TableContents"/>
              <w:bidi w:val="0"/>
              <w:spacing w:before="0" w:after="0"/>
              <w:jc w:val="right"/>
              <w:rPr/>
            </w:pPr>
            <w:r>
              <w:rPr/>
              <w:t>12</w:t>
            </w:r>
          </w:p>
        </w:tc>
      </w:tr>
      <w:tr>
        <w:trPr/>
        <w:tc>
          <w:tcPr>
            <w:tcW w:w="72" w:type="dxa"/>
            <w:tcBorders/>
            <w:vAlign w:val="center"/>
          </w:tcPr>
          <w:p>
            <w:pPr>
              <w:pStyle w:val="TableContents"/>
              <w:bidi w:val="0"/>
              <w:spacing w:before="0" w:after="283"/>
              <w:jc w:val="both"/>
              <w:rPr/>
            </w:pPr>
            <w:r>
              <w:rPr/>
              <w:t> </w:t>
            </w:r>
          </w:p>
        </w:tc>
        <w:tc>
          <w:tcPr>
            <w:tcW w:w="1463" w:type="dxa"/>
            <w:tcBorders/>
            <w:vAlign w:val="center"/>
          </w:tcPr>
          <w:p>
            <w:pPr>
              <w:pStyle w:val="TableContents"/>
              <w:bidi w:val="0"/>
              <w:spacing w:before="0" w:after="0"/>
              <w:jc w:val="both"/>
              <w:rPr/>
            </w:pPr>
            <w:r>
              <w:rPr/>
              <w:t>Section 2.13</w:t>
            </w:r>
          </w:p>
        </w:tc>
        <w:tc>
          <w:tcPr>
            <w:tcW w:w="5818" w:type="dxa"/>
            <w:tcBorders/>
            <w:vAlign w:val="center"/>
          </w:tcPr>
          <w:p>
            <w:pPr>
              <w:pStyle w:val="TableContents"/>
              <w:bidi w:val="0"/>
              <w:spacing w:before="0" w:after="0"/>
              <w:jc w:val="both"/>
              <w:rPr/>
            </w:pPr>
            <w:r>
              <w:rPr/>
              <w:t>Persons Deemed Owners</w:t>
            </w:r>
          </w:p>
        </w:tc>
        <w:tc>
          <w:tcPr>
            <w:tcW w:w="515" w:type="dxa"/>
            <w:tcBorders/>
            <w:vAlign w:val="center"/>
          </w:tcPr>
          <w:p>
            <w:pPr>
              <w:pStyle w:val="TableContents"/>
              <w:bidi w:val="0"/>
              <w:spacing w:before="0" w:after="0"/>
              <w:jc w:val="right"/>
              <w:rPr/>
            </w:pPr>
            <w:r>
              <w:rPr/>
              <w:t>12</w:t>
            </w:r>
          </w:p>
        </w:tc>
      </w:tr>
      <w:tr>
        <w:trPr/>
        <w:tc>
          <w:tcPr>
            <w:tcW w:w="72" w:type="dxa"/>
            <w:tcBorders/>
            <w:shd w:fill="CCEEFF" w:val="clear"/>
            <w:vAlign w:val="center"/>
          </w:tcPr>
          <w:p>
            <w:pPr>
              <w:pStyle w:val="TableContents"/>
              <w:bidi w:val="0"/>
              <w:spacing w:before="0" w:after="283"/>
              <w:jc w:val="both"/>
              <w:rPr/>
            </w:pPr>
            <w:r>
              <w:rPr/>
              <w:t> </w:t>
            </w:r>
          </w:p>
        </w:tc>
        <w:tc>
          <w:tcPr>
            <w:tcW w:w="1463" w:type="dxa"/>
            <w:tcBorders/>
            <w:shd w:fill="CCEEFF" w:val="clear"/>
            <w:vAlign w:val="center"/>
          </w:tcPr>
          <w:p>
            <w:pPr>
              <w:pStyle w:val="TableContents"/>
              <w:bidi w:val="0"/>
              <w:spacing w:before="0" w:after="0"/>
              <w:jc w:val="both"/>
              <w:rPr/>
            </w:pPr>
            <w:r>
              <w:rPr/>
              <w:t>Section 2.14</w:t>
            </w:r>
          </w:p>
        </w:tc>
        <w:tc>
          <w:tcPr>
            <w:tcW w:w="5818" w:type="dxa"/>
            <w:tcBorders/>
            <w:shd w:fill="CCEEFF" w:val="clear"/>
            <w:vAlign w:val="center"/>
          </w:tcPr>
          <w:p>
            <w:pPr>
              <w:pStyle w:val="TableContents"/>
              <w:bidi w:val="0"/>
              <w:spacing w:before="0" w:after="0"/>
              <w:jc w:val="both"/>
              <w:rPr/>
            </w:pPr>
            <w:r>
              <w:rPr/>
              <w:t>Defaulted Interest</w:t>
            </w:r>
          </w:p>
        </w:tc>
        <w:tc>
          <w:tcPr>
            <w:tcW w:w="515" w:type="dxa"/>
            <w:tcBorders/>
            <w:shd w:fill="CCEEFF" w:val="clear"/>
            <w:vAlign w:val="center"/>
          </w:tcPr>
          <w:p>
            <w:pPr>
              <w:pStyle w:val="TableContents"/>
              <w:bidi w:val="0"/>
              <w:spacing w:before="0" w:after="0"/>
              <w:jc w:val="right"/>
              <w:rPr/>
            </w:pPr>
            <w:r>
              <w:rPr/>
              <w:t>12</w:t>
            </w:r>
          </w:p>
        </w:tc>
      </w:tr>
      <w:tr>
        <w:trPr/>
        <w:tc>
          <w:tcPr>
            <w:tcW w:w="72" w:type="dxa"/>
            <w:tcBorders/>
            <w:vAlign w:val="center"/>
          </w:tcPr>
          <w:p>
            <w:pPr>
              <w:pStyle w:val="TableContents"/>
              <w:bidi w:val="0"/>
              <w:spacing w:before="0" w:after="283"/>
              <w:jc w:val="both"/>
              <w:rPr/>
            </w:pPr>
            <w:r>
              <w:rPr/>
              <w:t> </w:t>
            </w:r>
          </w:p>
        </w:tc>
        <w:tc>
          <w:tcPr>
            <w:tcW w:w="1463" w:type="dxa"/>
            <w:tcBorders/>
            <w:vAlign w:val="center"/>
          </w:tcPr>
          <w:p>
            <w:pPr>
              <w:pStyle w:val="TableContents"/>
              <w:bidi w:val="0"/>
              <w:spacing w:before="0" w:after="0"/>
              <w:jc w:val="both"/>
              <w:rPr/>
            </w:pPr>
            <w:r>
              <w:rPr/>
              <w:t>Section 2.15</w:t>
            </w:r>
          </w:p>
        </w:tc>
        <w:tc>
          <w:tcPr>
            <w:tcW w:w="5818" w:type="dxa"/>
            <w:tcBorders/>
            <w:vAlign w:val="center"/>
          </w:tcPr>
          <w:p>
            <w:pPr>
              <w:pStyle w:val="TableContents"/>
              <w:bidi w:val="0"/>
              <w:spacing w:before="0" w:after="0"/>
              <w:jc w:val="both"/>
              <w:rPr/>
            </w:pPr>
            <w:r>
              <w:rPr/>
              <w:t>Global Notes</w:t>
            </w:r>
          </w:p>
        </w:tc>
        <w:tc>
          <w:tcPr>
            <w:tcW w:w="515" w:type="dxa"/>
            <w:tcBorders/>
            <w:vAlign w:val="center"/>
          </w:tcPr>
          <w:p>
            <w:pPr>
              <w:pStyle w:val="TableContents"/>
              <w:bidi w:val="0"/>
              <w:spacing w:before="0" w:after="0"/>
              <w:jc w:val="right"/>
              <w:rPr/>
            </w:pPr>
            <w:r>
              <w:rPr/>
              <w:t>12</w:t>
            </w:r>
          </w:p>
        </w:tc>
      </w:tr>
      <w:tr>
        <w:trPr/>
        <w:tc>
          <w:tcPr>
            <w:tcW w:w="72" w:type="dxa"/>
            <w:tcBorders/>
            <w:shd w:fill="CCEEFF" w:val="clear"/>
            <w:vAlign w:val="center"/>
          </w:tcPr>
          <w:p>
            <w:pPr>
              <w:pStyle w:val="TableContents"/>
              <w:bidi w:val="0"/>
              <w:spacing w:before="0" w:after="283"/>
              <w:jc w:val="both"/>
              <w:rPr/>
            </w:pPr>
            <w:r>
              <w:rPr/>
              <w:t> </w:t>
            </w:r>
          </w:p>
        </w:tc>
        <w:tc>
          <w:tcPr>
            <w:tcW w:w="1463" w:type="dxa"/>
            <w:tcBorders/>
            <w:shd w:fill="CCEEFF" w:val="clear"/>
            <w:vAlign w:val="center"/>
          </w:tcPr>
          <w:p>
            <w:pPr>
              <w:pStyle w:val="TableContents"/>
              <w:bidi w:val="0"/>
              <w:spacing w:before="0" w:after="0"/>
              <w:jc w:val="both"/>
              <w:rPr/>
            </w:pPr>
            <w:r>
              <w:rPr/>
              <w:t>Section 2.16</w:t>
            </w:r>
          </w:p>
        </w:tc>
        <w:tc>
          <w:tcPr>
            <w:tcW w:w="5818" w:type="dxa"/>
            <w:tcBorders/>
            <w:shd w:fill="CCEEFF" w:val="clear"/>
            <w:vAlign w:val="center"/>
          </w:tcPr>
          <w:p>
            <w:pPr>
              <w:pStyle w:val="TableContents"/>
              <w:bidi w:val="0"/>
              <w:spacing w:before="0" w:after="0"/>
              <w:jc w:val="both"/>
              <w:rPr/>
            </w:pPr>
            <w:r>
              <w:rPr/>
              <w:t>CUSIP, ISIN and Common Code Numbers</w:t>
            </w:r>
          </w:p>
        </w:tc>
        <w:tc>
          <w:tcPr>
            <w:tcW w:w="515" w:type="dxa"/>
            <w:tcBorders/>
            <w:shd w:fill="CCEEFF" w:val="clear"/>
            <w:vAlign w:val="center"/>
          </w:tcPr>
          <w:p>
            <w:pPr>
              <w:pStyle w:val="TableContents"/>
              <w:bidi w:val="0"/>
              <w:spacing w:before="0" w:after="0"/>
              <w:jc w:val="right"/>
              <w:rPr/>
            </w:pPr>
            <w:r>
              <w:rPr/>
              <w:t>13</w:t>
            </w:r>
          </w:p>
        </w:tc>
      </w:tr>
      <w:tr>
        <w:trPr/>
        <w:tc>
          <w:tcPr>
            <w:tcW w:w="72" w:type="dxa"/>
            <w:tcBorders/>
            <w:vAlign w:val="center"/>
          </w:tcPr>
          <w:p>
            <w:pPr>
              <w:pStyle w:val="TableContents"/>
              <w:bidi w:val="0"/>
              <w:spacing w:before="0" w:after="283"/>
              <w:jc w:val="both"/>
              <w:rPr/>
            </w:pPr>
            <w:r>
              <w:rPr/>
              <w:t> </w:t>
            </w:r>
          </w:p>
        </w:tc>
        <w:tc>
          <w:tcPr>
            <w:tcW w:w="1463" w:type="dxa"/>
            <w:tcBorders/>
            <w:vAlign w:val="center"/>
          </w:tcPr>
          <w:p>
            <w:pPr>
              <w:pStyle w:val="TableContents"/>
              <w:bidi w:val="0"/>
              <w:spacing w:before="0" w:after="0"/>
              <w:jc w:val="both"/>
              <w:rPr/>
            </w:pPr>
            <w:r>
              <w:rPr/>
              <w:t>Section 2.17</w:t>
            </w:r>
          </w:p>
        </w:tc>
        <w:tc>
          <w:tcPr>
            <w:tcW w:w="5818" w:type="dxa"/>
            <w:tcBorders/>
            <w:vAlign w:val="center"/>
          </w:tcPr>
          <w:p>
            <w:pPr>
              <w:pStyle w:val="TableContents"/>
              <w:bidi w:val="0"/>
              <w:spacing w:before="0" w:after="0"/>
              <w:jc w:val="both"/>
              <w:rPr/>
            </w:pPr>
            <w:r>
              <w:rPr/>
              <w:t>Agents</w:t>
            </w:r>
          </w:p>
        </w:tc>
        <w:tc>
          <w:tcPr>
            <w:tcW w:w="515" w:type="dxa"/>
            <w:tcBorders/>
            <w:vAlign w:val="center"/>
          </w:tcPr>
          <w:p>
            <w:pPr>
              <w:pStyle w:val="TableContents"/>
              <w:bidi w:val="0"/>
              <w:spacing w:before="0" w:after="0"/>
              <w:jc w:val="right"/>
              <w:rPr/>
            </w:pPr>
            <w:r>
              <w:rPr/>
              <w:t>13</w:t>
            </w:r>
          </w:p>
        </w:tc>
      </w:tr>
      <w:tr>
        <w:trPr/>
        <w:tc>
          <w:tcPr>
            <w:tcW w:w="72" w:type="dxa"/>
            <w:tcBorders/>
            <w:shd w:fill="CCEEFF" w:val="clear"/>
            <w:vAlign w:val="center"/>
          </w:tcPr>
          <w:p>
            <w:pPr>
              <w:pStyle w:val="TableContents"/>
              <w:bidi w:val="0"/>
              <w:spacing w:before="0" w:after="283"/>
              <w:jc w:val="both"/>
              <w:rPr/>
            </w:pPr>
            <w:r>
              <w:rPr/>
              <w:t> </w:t>
            </w:r>
          </w:p>
        </w:tc>
        <w:tc>
          <w:tcPr>
            <w:tcW w:w="1463" w:type="dxa"/>
            <w:tcBorders/>
            <w:shd w:fill="CCEEFF" w:val="clear"/>
            <w:vAlign w:val="center"/>
          </w:tcPr>
          <w:p>
            <w:pPr>
              <w:pStyle w:val="TableContents"/>
              <w:bidi w:val="0"/>
              <w:spacing w:before="0" w:after="283"/>
              <w:jc w:val="both"/>
              <w:rPr/>
            </w:pPr>
            <w:r>
              <w:rPr/>
              <w:t> </w:t>
            </w:r>
          </w:p>
        </w:tc>
        <w:tc>
          <w:tcPr>
            <w:tcW w:w="5818" w:type="dxa"/>
            <w:tcBorders/>
            <w:shd w:fill="CCEEFF" w:val="clear"/>
            <w:vAlign w:val="center"/>
          </w:tcPr>
          <w:p>
            <w:pPr>
              <w:pStyle w:val="TableContents"/>
              <w:bidi w:val="0"/>
              <w:spacing w:before="0" w:after="283"/>
              <w:jc w:val="both"/>
              <w:rPr/>
            </w:pPr>
            <w:r>
              <w:rPr/>
              <w:t> </w:t>
            </w:r>
          </w:p>
        </w:tc>
        <w:tc>
          <w:tcPr>
            <w:tcW w:w="515" w:type="dxa"/>
            <w:tcBorders/>
            <w:shd w:fill="CCEEFF" w:val="clear"/>
            <w:vAlign w:val="center"/>
          </w:tcPr>
          <w:p>
            <w:pPr>
              <w:pStyle w:val="TableContents"/>
              <w:bidi w:val="0"/>
              <w:spacing w:before="0" w:after="283"/>
              <w:jc w:val="right"/>
              <w:rPr/>
            </w:pPr>
            <w:r>
              <w:rPr/>
              <w:t> </w:t>
            </w:r>
          </w:p>
        </w:tc>
      </w:tr>
      <w:tr>
        <w:trPr/>
        <w:tc>
          <w:tcPr>
            <w:tcW w:w="7353" w:type="dxa"/>
            <w:gridSpan w:val="3"/>
            <w:tcBorders/>
            <w:vAlign w:val="center"/>
          </w:tcPr>
          <w:p>
            <w:pPr>
              <w:pStyle w:val="TableContents"/>
              <w:bidi w:val="0"/>
              <w:spacing w:before="0" w:after="0"/>
              <w:jc w:val="both"/>
              <w:rPr/>
            </w:pPr>
            <w:r>
              <w:rPr/>
              <w:t>ARTICLE 3 REDEMPTION AND PREPAYMENT</w:t>
            </w:r>
          </w:p>
        </w:tc>
        <w:tc>
          <w:tcPr>
            <w:tcW w:w="515" w:type="dxa"/>
            <w:tcBorders/>
            <w:vAlign w:val="center"/>
          </w:tcPr>
          <w:p>
            <w:pPr>
              <w:pStyle w:val="TableContents"/>
              <w:bidi w:val="0"/>
              <w:spacing w:before="0" w:after="283"/>
              <w:jc w:val="right"/>
              <w:rPr/>
            </w:pPr>
            <w:r>
              <w:rPr/>
              <w:t>15</w:t>
            </w:r>
          </w:p>
        </w:tc>
      </w:tr>
      <w:tr>
        <w:trPr/>
        <w:tc>
          <w:tcPr>
            <w:tcW w:w="7353" w:type="dxa"/>
            <w:gridSpan w:val="3"/>
            <w:tcBorders/>
            <w:shd w:fill="CCEEFF" w:val="clear"/>
            <w:vAlign w:val="center"/>
          </w:tcPr>
          <w:p>
            <w:pPr>
              <w:pStyle w:val="TableContents"/>
              <w:bidi w:val="0"/>
              <w:spacing w:before="0" w:after="283"/>
              <w:jc w:val="both"/>
              <w:rPr/>
            </w:pPr>
            <w:r>
              <w:rPr/>
              <w:t> </w:t>
            </w:r>
          </w:p>
        </w:tc>
        <w:tc>
          <w:tcPr>
            <w:tcW w:w="515" w:type="dxa"/>
            <w:tcBorders/>
            <w:shd w:fill="CCEEFF" w:val="clear"/>
            <w:vAlign w:val="center"/>
          </w:tcPr>
          <w:p>
            <w:pPr>
              <w:pStyle w:val="TableContents"/>
              <w:bidi w:val="0"/>
              <w:spacing w:before="0" w:after="283"/>
              <w:jc w:val="right"/>
              <w:rPr/>
            </w:pPr>
            <w:r>
              <w:rPr/>
              <w:t> </w:t>
            </w:r>
          </w:p>
        </w:tc>
      </w:tr>
      <w:tr>
        <w:trPr/>
        <w:tc>
          <w:tcPr>
            <w:tcW w:w="72" w:type="dxa"/>
            <w:tcBorders/>
            <w:vAlign w:val="center"/>
          </w:tcPr>
          <w:p>
            <w:pPr>
              <w:pStyle w:val="TableContents"/>
              <w:bidi w:val="0"/>
              <w:spacing w:before="0" w:after="283"/>
              <w:jc w:val="both"/>
              <w:rPr/>
            </w:pPr>
            <w:r>
              <w:rPr/>
              <w:t> </w:t>
            </w:r>
          </w:p>
        </w:tc>
        <w:tc>
          <w:tcPr>
            <w:tcW w:w="1463" w:type="dxa"/>
            <w:tcBorders/>
            <w:vAlign w:val="center"/>
          </w:tcPr>
          <w:p>
            <w:pPr>
              <w:pStyle w:val="TableContents"/>
              <w:bidi w:val="0"/>
              <w:spacing w:before="0" w:after="0"/>
              <w:jc w:val="both"/>
              <w:rPr/>
            </w:pPr>
            <w:r>
              <w:rPr/>
              <w:t>Section 3.01</w:t>
            </w:r>
          </w:p>
        </w:tc>
        <w:tc>
          <w:tcPr>
            <w:tcW w:w="5818" w:type="dxa"/>
            <w:tcBorders/>
            <w:vAlign w:val="center"/>
          </w:tcPr>
          <w:p>
            <w:pPr>
              <w:pStyle w:val="TableContents"/>
              <w:bidi w:val="0"/>
              <w:spacing w:before="0" w:after="0"/>
              <w:jc w:val="both"/>
              <w:rPr/>
            </w:pPr>
            <w:r>
              <w:rPr/>
              <w:t>Notices to Trustee</w:t>
            </w:r>
          </w:p>
        </w:tc>
        <w:tc>
          <w:tcPr>
            <w:tcW w:w="515" w:type="dxa"/>
            <w:tcBorders/>
            <w:vAlign w:val="center"/>
          </w:tcPr>
          <w:p>
            <w:pPr>
              <w:pStyle w:val="TableContents"/>
              <w:bidi w:val="0"/>
              <w:spacing w:before="0" w:after="0"/>
              <w:jc w:val="right"/>
              <w:rPr/>
            </w:pPr>
            <w:r>
              <w:rPr/>
              <w:t>15</w:t>
            </w:r>
          </w:p>
        </w:tc>
      </w:tr>
      <w:tr>
        <w:trPr/>
        <w:tc>
          <w:tcPr>
            <w:tcW w:w="72" w:type="dxa"/>
            <w:tcBorders/>
            <w:shd w:fill="CCEEFF" w:val="clear"/>
            <w:vAlign w:val="center"/>
          </w:tcPr>
          <w:p>
            <w:pPr>
              <w:pStyle w:val="TableContents"/>
              <w:bidi w:val="0"/>
              <w:spacing w:before="0" w:after="283"/>
              <w:jc w:val="both"/>
              <w:rPr/>
            </w:pPr>
            <w:r>
              <w:rPr/>
              <w:t> </w:t>
            </w:r>
          </w:p>
        </w:tc>
        <w:tc>
          <w:tcPr>
            <w:tcW w:w="1463" w:type="dxa"/>
            <w:tcBorders/>
            <w:shd w:fill="CCEEFF" w:val="clear"/>
            <w:vAlign w:val="center"/>
          </w:tcPr>
          <w:p>
            <w:pPr>
              <w:pStyle w:val="TableContents"/>
              <w:bidi w:val="0"/>
              <w:spacing w:before="0" w:after="0"/>
              <w:jc w:val="both"/>
              <w:rPr/>
            </w:pPr>
            <w:r>
              <w:rPr/>
              <w:t>Section 3.02</w:t>
            </w:r>
          </w:p>
        </w:tc>
        <w:tc>
          <w:tcPr>
            <w:tcW w:w="5818" w:type="dxa"/>
            <w:tcBorders/>
            <w:shd w:fill="CCEEFF" w:val="clear"/>
            <w:vAlign w:val="center"/>
          </w:tcPr>
          <w:p>
            <w:pPr>
              <w:pStyle w:val="TableContents"/>
              <w:bidi w:val="0"/>
              <w:spacing w:before="0" w:after="0"/>
              <w:jc w:val="both"/>
              <w:rPr/>
            </w:pPr>
            <w:r>
              <w:rPr/>
              <w:t>Selection of Notes to Be Redeemed or Purchased</w:t>
            </w:r>
          </w:p>
        </w:tc>
        <w:tc>
          <w:tcPr>
            <w:tcW w:w="515" w:type="dxa"/>
            <w:tcBorders/>
            <w:shd w:fill="CCEEFF" w:val="clear"/>
            <w:vAlign w:val="center"/>
          </w:tcPr>
          <w:p>
            <w:pPr>
              <w:pStyle w:val="TableContents"/>
              <w:bidi w:val="0"/>
              <w:spacing w:before="0" w:after="0"/>
              <w:jc w:val="right"/>
              <w:rPr/>
            </w:pPr>
            <w:r>
              <w:rPr/>
              <w:t>15</w:t>
            </w:r>
          </w:p>
        </w:tc>
      </w:tr>
      <w:tr>
        <w:trPr/>
        <w:tc>
          <w:tcPr>
            <w:tcW w:w="72" w:type="dxa"/>
            <w:tcBorders/>
            <w:vAlign w:val="center"/>
          </w:tcPr>
          <w:p>
            <w:pPr>
              <w:pStyle w:val="TableContents"/>
              <w:bidi w:val="0"/>
              <w:spacing w:before="0" w:after="283"/>
              <w:jc w:val="both"/>
              <w:rPr/>
            </w:pPr>
            <w:r>
              <w:rPr/>
              <w:t> </w:t>
            </w:r>
          </w:p>
        </w:tc>
        <w:tc>
          <w:tcPr>
            <w:tcW w:w="1463" w:type="dxa"/>
            <w:tcBorders/>
            <w:vAlign w:val="center"/>
          </w:tcPr>
          <w:p>
            <w:pPr>
              <w:pStyle w:val="TableContents"/>
              <w:bidi w:val="0"/>
              <w:spacing w:before="0" w:after="0"/>
              <w:jc w:val="both"/>
              <w:rPr/>
            </w:pPr>
            <w:r>
              <w:rPr/>
              <w:t>Section 3.03</w:t>
            </w:r>
          </w:p>
        </w:tc>
        <w:tc>
          <w:tcPr>
            <w:tcW w:w="5818" w:type="dxa"/>
            <w:tcBorders/>
            <w:vAlign w:val="center"/>
          </w:tcPr>
          <w:p>
            <w:pPr>
              <w:pStyle w:val="TableContents"/>
              <w:bidi w:val="0"/>
              <w:spacing w:before="0" w:after="0"/>
              <w:jc w:val="both"/>
              <w:rPr/>
            </w:pPr>
            <w:r>
              <w:rPr/>
              <w:t>Notice of Redemption</w:t>
            </w:r>
          </w:p>
        </w:tc>
        <w:tc>
          <w:tcPr>
            <w:tcW w:w="515" w:type="dxa"/>
            <w:tcBorders/>
            <w:vAlign w:val="center"/>
          </w:tcPr>
          <w:p>
            <w:pPr>
              <w:pStyle w:val="TableContents"/>
              <w:bidi w:val="0"/>
              <w:spacing w:before="0" w:after="0"/>
              <w:jc w:val="right"/>
              <w:rPr/>
            </w:pPr>
            <w:r>
              <w:rPr/>
              <w:t>16</w:t>
            </w:r>
          </w:p>
        </w:tc>
      </w:tr>
      <w:tr>
        <w:trPr/>
        <w:tc>
          <w:tcPr>
            <w:tcW w:w="72" w:type="dxa"/>
            <w:tcBorders/>
            <w:shd w:fill="CCEEFF" w:val="clear"/>
            <w:vAlign w:val="center"/>
          </w:tcPr>
          <w:p>
            <w:pPr>
              <w:pStyle w:val="TableContents"/>
              <w:bidi w:val="0"/>
              <w:spacing w:before="0" w:after="283"/>
              <w:jc w:val="both"/>
              <w:rPr/>
            </w:pPr>
            <w:r>
              <w:rPr/>
              <w:t> </w:t>
            </w:r>
          </w:p>
        </w:tc>
        <w:tc>
          <w:tcPr>
            <w:tcW w:w="1463" w:type="dxa"/>
            <w:tcBorders/>
            <w:shd w:fill="CCEEFF" w:val="clear"/>
            <w:vAlign w:val="center"/>
          </w:tcPr>
          <w:p>
            <w:pPr>
              <w:pStyle w:val="TableContents"/>
              <w:bidi w:val="0"/>
              <w:spacing w:before="0" w:after="0"/>
              <w:jc w:val="both"/>
              <w:rPr/>
            </w:pPr>
            <w:r>
              <w:rPr/>
              <w:t>Section 3.04</w:t>
            </w:r>
          </w:p>
        </w:tc>
        <w:tc>
          <w:tcPr>
            <w:tcW w:w="5818" w:type="dxa"/>
            <w:tcBorders/>
            <w:shd w:fill="CCEEFF" w:val="clear"/>
            <w:vAlign w:val="center"/>
          </w:tcPr>
          <w:p>
            <w:pPr>
              <w:pStyle w:val="TableContents"/>
              <w:bidi w:val="0"/>
              <w:spacing w:before="0" w:after="0"/>
              <w:jc w:val="both"/>
              <w:rPr/>
            </w:pPr>
            <w:r>
              <w:rPr/>
              <w:t>Effect of Notice of Redemption</w:t>
            </w:r>
          </w:p>
        </w:tc>
        <w:tc>
          <w:tcPr>
            <w:tcW w:w="515" w:type="dxa"/>
            <w:tcBorders/>
            <w:shd w:fill="CCEEFF" w:val="clear"/>
            <w:vAlign w:val="center"/>
          </w:tcPr>
          <w:p>
            <w:pPr>
              <w:pStyle w:val="TableContents"/>
              <w:bidi w:val="0"/>
              <w:spacing w:before="0" w:after="0"/>
              <w:jc w:val="right"/>
              <w:rPr/>
            </w:pPr>
            <w:r>
              <w:rPr/>
              <w:t>17</w:t>
            </w:r>
          </w:p>
        </w:tc>
      </w:tr>
      <w:tr>
        <w:trPr/>
        <w:tc>
          <w:tcPr>
            <w:tcW w:w="72" w:type="dxa"/>
            <w:tcBorders/>
            <w:vAlign w:val="center"/>
          </w:tcPr>
          <w:p>
            <w:pPr>
              <w:pStyle w:val="TableContents"/>
              <w:bidi w:val="0"/>
              <w:spacing w:before="0" w:after="283"/>
              <w:jc w:val="both"/>
              <w:rPr/>
            </w:pPr>
            <w:r>
              <w:rPr/>
              <w:t> </w:t>
            </w:r>
          </w:p>
        </w:tc>
        <w:tc>
          <w:tcPr>
            <w:tcW w:w="1463" w:type="dxa"/>
            <w:tcBorders/>
            <w:vAlign w:val="center"/>
          </w:tcPr>
          <w:p>
            <w:pPr>
              <w:pStyle w:val="TableContents"/>
              <w:bidi w:val="0"/>
              <w:spacing w:before="0" w:after="0"/>
              <w:jc w:val="both"/>
              <w:rPr/>
            </w:pPr>
            <w:r>
              <w:rPr/>
              <w:t>Section 3.05</w:t>
            </w:r>
          </w:p>
        </w:tc>
        <w:tc>
          <w:tcPr>
            <w:tcW w:w="5818" w:type="dxa"/>
            <w:tcBorders/>
            <w:vAlign w:val="center"/>
          </w:tcPr>
          <w:p>
            <w:pPr>
              <w:pStyle w:val="TableContents"/>
              <w:bidi w:val="0"/>
              <w:spacing w:before="0" w:after="0"/>
              <w:jc w:val="both"/>
              <w:rPr/>
            </w:pPr>
            <w:r>
              <w:rPr/>
              <w:t>Deposit of Redemption or Purchase Price</w:t>
            </w:r>
          </w:p>
        </w:tc>
        <w:tc>
          <w:tcPr>
            <w:tcW w:w="515" w:type="dxa"/>
            <w:tcBorders/>
            <w:vAlign w:val="center"/>
          </w:tcPr>
          <w:p>
            <w:pPr>
              <w:pStyle w:val="TableContents"/>
              <w:bidi w:val="0"/>
              <w:spacing w:before="0" w:after="0"/>
              <w:jc w:val="right"/>
              <w:rPr/>
            </w:pPr>
            <w:r>
              <w:rPr/>
              <w:t>17</w:t>
            </w:r>
          </w:p>
        </w:tc>
      </w:tr>
      <w:tr>
        <w:trPr/>
        <w:tc>
          <w:tcPr>
            <w:tcW w:w="72" w:type="dxa"/>
            <w:tcBorders/>
            <w:shd w:fill="CCEEFF" w:val="clear"/>
            <w:vAlign w:val="center"/>
          </w:tcPr>
          <w:p>
            <w:pPr>
              <w:pStyle w:val="TableContents"/>
              <w:bidi w:val="0"/>
              <w:spacing w:before="0" w:after="283"/>
              <w:jc w:val="both"/>
              <w:rPr/>
            </w:pPr>
            <w:r>
              <w:rPr/>
              <w:t> </w:t>
            </w:r>
          </w:p>
        </w:tc>
        <w:tc>
          <w:tcPr>
            <w:tcW w:w="1463" w:type="dxa"/>
            <w:tcBorders/>
            <w:shd w:fill="CCEEFF" w:val="clear"/>
            <w:vAlign w:val="center"/>
          </w:tcPr>
          <w:p>
            <w:pPr>
              <w:pStyle w:val="TableContents"/>
              <w:bidi w:val="0"/>
              <w:spacing w:before="0" w:after="0"/>
              <w:jc w:val="both"/>
              <w:rPr/>
            </w:pPr>
            <w:r>
              <w:rPr/>
              <w:t>Section 3.06</w:t>
            </w:r>
          </w:p>
        </w:tc>
        <w:tc>
          <w:tcPr>
            <w:tcW w:w="5818" w:type="dxa"/>
            <w:tcBorders/>
            <w:shd w:fill="CCEEFF" w:val="clear"/>
            <w:vAlign w:val="center"/>
          </w:tcPr>
          <w:p>
            <w:pPr>
              <w:pStyle w:val="TableContents"/>
              <w:bidi w:val="0"/>
              <w:spacing w:before="0" w:after="0"/>
              <w:jc w:val="both"/>
              <w:rPr/>
            </w:pPr>
            <w:r>
              <w:rPr/>
              <w:t>Notes Redeemed or Purchased in Part</w:t>
            </w:r>
          </w:p>
        </w:tc>
        <w:tc>
          <w:tcPr>
            <w:tcW w:w="515" w:type="dxa"/>
            <w:tcBorders/>
            <w:shd w:fill="CCEEFF" w:val="clear"/>
            <w:vAlign w:val="center"/>
          </w:tcPr>
          <w:p>
            <w:pPr>
              <w:pStyle w:val="TableContents"/>
              <w:bidi w:val="0"/>
              <w:spacing w:before="0" w:after="0"/>
              <w:jc w:val="right"/>
              <w:rPr/>
            </w:pPr>
            <w:r>
              <w:rPr/>
              <w:t>17</w:t>
            </w:r>
          </w:p>
        </w:tc>
      </w:tr>
      <w:tr>
        <w:trPr/>
        <w:tc>
          <w:tcPr>
            <w:tcW w:w="72" w:type="dxa"/>
            <w:tcBorders/>
            <w:vAlign w:val="center"/>
          </w:tcPr>
          <w:p>
            <w:pPr>
              <w:pStyle w:val="TableContents"/>
              <w:bidi w:val="0"/>
              <w:spacing w:before="0" w:after="283"/>
              <w:jc w:val="both"/>
              <w:rPr/>
            </w:pPr>
            <w:r>
              <w:rPr/>
              <w:t> </w:t>
            </w:r>
          </w:p>
        </w:tc>
        <w:tc>
          <w:tcPr>
            <w:tcW w:w="1463" w:type="dxa"/>
            <w:tcBorders/>
            <w:vAlign w:val="center"/>
          </w:tcPr>
          <w:p>
            <w:pPr>
              <w:pStyle w:val="TableContents"/>
              <w:bidi w:val="0"/>
              <w:spacing w:before="0" w:after="283"/>
              <w:jc w:val="both"/>
              <w:rPr/>
            </w:pPr>
            <w:r>
              <w:rPr/>
              <w:t> </w:t>
            </w:r>
          </w:p>
        </w:tc>
        <w:tc>
          <w:tcPr>
            <w:tcW w:w="5818" w:type="dxa"/>
            <w:tcBorders/>
            <w:vAlign w:val="center"/>
          </w:tcPr>
          <w:p>
            <w:pPr>
              <w:pStyle w:val="TableContents"/>
              <w:bidi w:val="0"/>
              <w:spacing w:before="0" w:after="283"/>
              <w:jc w:val="both"/>
              <w:rPr/>
            </w:pPr>
            <w:r>
              <w:rPr/>
              <w:t> </w:t>
            </w:r>
          </w:p>
        </w:tc>
        <w:tc>
          <w:tcPr>
            <w:tcW w:w="515" w:type="dxa"/>
            <w:tcBorders/>
            <w:vAlign w:val="center"/>
          </w:tcPr>
          <w:p>
            <w:pPr>
              <w:pStyle w:val="TableContents"/>
              <w:bidi w:val="0"/>
              <w:spacing w:before="0" w:after="283"/>
              <w:jc w:val="right"/>
              <w:rPr/>
            </w:pPr>
            <w:r>
              <w:rPr/>
              <w:t> </w:t>
            </w:r>
          </w:p>
        </w:tc>
      </w:tr>
      <w:tr>
        <w:trPr/>
        <w:tc>
          <w:tcPr>
            <w:tcW w:w="7353" w:type="dxa"/>
            <w:gridSpan w:val="3"/>
            <w:tcBorders/>
            <w:shd w:fill="CCEEFF" w:val="clear"/>
            <w:vAlign w:val="center"/>
          </w:tcPr>
          <w:p>
            <w:pPr>
              <w:pStyle w:val="TableContents"/>
              <w:bidi w:val="0"/>
              <w:spacing w:before="0" w:after="0"/>
              <w:jc w:val="both"/>
              <w:rPr/>
            </w:pPr>
            <w:r>
              <w:rPr/>
              <w:t>ARTICLE 4 COVENANTS</w:t>
            </w:r>
          </w:p>
        </w:tc>
        <w:tc>
          <w:tcPr>
            <w:tcW w:w="515" w:type="dxa"/>
            <w:tcBorders/>
            <w:shd w:fill="CCEEFF" w:val="clear"/>
            <w:vAlign w:val="center"/>
          </w:tcPr>
          <w:p>
            <w:pPr>
              <w:pStyle w:val="TableContents"/>
              <w:bidi w:val="0"/>
              <w:spacing w:before="0" w:after="283"/>
              <w:jc w:val="right"/>
              <w:rPr/>
            </w:pPr>
            <w:r>
              <w:rPr/>
              <w:t>18</w:t>
            </w:r>
          </w:p>
        </w:tc>
      </w:tr>
      <w:tr>
        <w:trPr/>
        <w:tc>
          <w:tcPr>
            <w:tcW w:w="7353" w:type="dxa"/>
            <w:gridSpan w:val="3"/>
            <w:tcBorders/>
            <w:vAlign w:val="center"/>
          </w:tcPr>
          <w:p>
            <w:pPr>
              <w:pStyle w:val="TableContents"/>
              <w:bidi w:val="0"/>
              <w:spacing w:before="0" w:after="283"/>
              <w:jc w:val="both"/>
              <w:rPr/>
            </w:pPr>
            <w:r>
              <w:rPr/>
              <w:t> </w:t>
            </w:r>
          </w:p>
        </w:tc>
        <w:tc>
          <w:tcPr>
            <w:tcW w:w="515" w:type="dxa"/>
            <w:tcBorders/>
            <w:vAlign w:val="center"/>
          </w:tcPr>
          <w:p>
            <w:pPr>
              <w:pStyle w:val="TableContents"/>
              <w:bidi w:val="0"/>
              <w:spacing w:before="0" w:after="283"/>
              <w:jc w:val="right"/>
              <w:rPr/>
            </w:pPr>
            <w:r>
              <w:rPr/>
              <w:t> </w:t>
            </w:r>
          </w:p>
        </w:tc>
      </w:tr>
      <w:tr>
        <w:trPr/>
        <w:tc>
          <w:tcPr>
            <w:tcW w:w="72" w:type="dxa"/>
            <w:tcBorders/>
            <w:shd w:fill="CCEEFF" w:val="clear"/>
            <w:vAlign w:val="center"/>
          </w:tcPr>
          <w:p>
            <w:pPr>
              <w:pStyle w:val="TableContents"/>
              <w:bidi w:val="0"/>
              <w:spacing w:before="0" w:after="283"/>
              <w:jc w:val="both"/>
              <w:rPr/>
            </w:pPr>
            <w:r>
              <w:rPr/>
              <w:t> </w:t>
            </w:r>
          </w:p>
        </w:tc>
        <w:tc>
          <w:tcPr>
            <w:tcW w:w="1463" w:type="dxa"/>
            <w:tcBorders/>
            <w:shd w:fill="CCEEFF" w:val="clear"/>
            <w:vAlign w:val="center"/>
          </w:tcPr>
          <w:p>
            <w:pPr>
              <w:pStyle w:val="TableContents"/>
              <w:bidi w:val="0"/>
              <w:spacing w:before="0" w:after="0"/>
              <w:jc w:val="both"/>
              <w:rPr/>
            </w:pPr>
            <w:r>
              <w:rPr/>
              <w:t>Section 4.01</w:t>
            </w:r>
          </w:p>
        </w:tc>
        <w:tc>
          <w:tcPr>
            <w:tcW w:w="5818" w:type="dxa"/>
            <w:tcBorders/>
            <w:shd w:fill="CCEEFF" w:val="clear"/>
            <w:vAlign w:val="center"/>
          </w:tcPr>
          <w:p>
            <w:pPr>
              <w:pStyle w:val="TableContents"/>
              <w:bidi w:val="0"/>
              <w:spacing w:before="0" w:after="0"/>
              <w:jc w:val="both"/>
              <w:rPr/>
            </w:pPr>
            <w:r>
              <w:rPr/>
              <w:t>Payment of Notes</w:t>
            </w:r>
          </w:p>
        </w:tc>
        <w:tc>
          <w:tcPr>
            <w:tcW w:w="515" w:type="dxa"/>
            <w:tcBorders/>
            <w:shd w:fill="CCEEFF" w:val="clear"/>
            <w:vAlign w:val="center"/>
          </w:tcPr>
          <w:p>
            <w:pPr>
              <w:pStyle w:val="TableContents"/>
              <w:bidi w:val="0"/>
              <w:spacing w:before="0" w:after="0"/>
              <w:jc w:val="right"/>
              <w:rPr/>
            </w:pPr>
            <w:r>
              <w:rPr/>
              <w:t>18</w:t>
            </w:r>
          </w:p>
        </w:tc>
      </w:tr>
      <w:tr>
        <w:trPr/>
        <w:tc>
          <w:tcPr>
            <w:tcW w:w="72" w:type="dxa"/>
            <w:tcBorders/>
            <w:vAlign w:val="center"/>
          </w:tcPr>
          <w:p>
            <w:pPr>
              <w:pStyle w:val="TableContents"/>
              <w:bidi w:val="0"/>
              <w:spacing w:before="0" w:after="283"/>
              <w:jc w:val="both"/>
              <w:rPr/>
            </w:pPr>
            <w:r>
              <w:rPr/>
              <w:t> </w:t>
            </w:r>
          </w:p>
        </w:tc>
        <w:tc>
          <w:tcPr>
            <w:tcW w:w="1463" w:type="dxa"/>
            <w:tcBorders/>
            <w:vAlign w:val="center"/>
          </w:tcPr>
          <w:p>
            <w:pPr>
              <w:pStyle w:val="TableContents"/>
              <w:bidi w:val="0"/>
              <w:spacing w:before="0" w:after="0"/>
              <w:jc w:val="both"/>
              <w:rPr/>
            </w:pPr>
            <w:r>
              <w:rPr/>
              <w:t>Section 4.02</w:t>
            </w:r>
          </w:p>
        </w:tc>
        <w:tc>
          <w:tcPr>
            <w:tcW w:w="5818" w:type="dxa"/>
            <w:tcBorders/>
            <w:vAlign w:val="center"/>
          </w:tcPr>
          <w:p>
            <w:pPr>
              <w:pStyle w:val="TableContents"/>
              <w:bidi w:val="0"/>
              <w:spacing w:before="0" w:after="0"/>
              <w:jc w:val="both"/>
              <w:rPr/>
            </w:pPr>
            <w:r>
              <w:rPr/>
              <w:t>Maintenance of Office or Agency</w:t>
            </w:r>
          </w:p>
        </w:tc>
        <w:tc>
          <w:tcPr>
            <w:tcW w:w="515" w:type="dxa"/>
            <w:tcBorders/>
            <w:vAlign w:val="center"/>
          </w:tcPr>
          <w:p>
            <w:pPr>
              <w:pStyle w:val="TableContents"/>
              <w:bidi w:val="0"/>
              <w:spacing w:before="0" w:after="0"/>
              <w:jc w:val="right"/>
              <w:rPr/>
            </w:pPr>
            <w:r>
              <w:rPr/>
              <w:t>18</w:t>
            </w:r>
          </w:p>
        </w:tc>
      </w:tr>
      <w:tr>
        <w:trPr/>
        <w:tc>
          <w:tcPr>
            <w:tcW w:w="72" w:type="dxa"/>
            <w:tcBorders/>
            <w:shd w:fill="CCEEFF" w:val="clear"/>
            <w:vAlign w:val="center"/>
          </w:tcPr>
          <w:p>
            <w:pPr>
              <w:pStyle w:val="TableContents"/>
              <w:bidi w:val="0"/>
              <w:spacing w:before="0" w:after="283"/>
              <w:jc w:val="both"/>
              <w:rPr/>
            </w:pPr>
            <w:r>
              <w:rPr/>
              <w:t> </w:t>
            </w:r>
          </w:p>
        </w:tc>
        <w:tc>
          <w:tcPr>
            <w:tcW w:w="1463" w:type="dxa"/>
            <w:tcBorders/>
            <w:shd w:fill="CCEEFF" w:val="clear"/>
            <w:vAlign w:val="center"/>
          </w:tcPr>
          <w:p>
            <w:pPr>
              <w:pStyle w:val="TableContents"/>
              <w:bidi w:val="0"/>
              <w:spacing w:before="0" w:after="0"/>
              <w:jc w:val="both"/>
              <w:rPr/>
            </w:pPr>
            <w:r>
              <w:rPr/>
              <w:t>Section 4.03</w:t>
            </w:r>
          </w:p>
        </w:tc>
        <w:tc>
          <w:tcPr>
            <w:tcW w:w="5818" w:type="dxa"/>
            <w:tcBorders/>
            <w:shd w:fill="CCEEFF" w:val="clear"/>
            <w:vAlign w:val="center"/>
          </w:tcPr>
          <w:p>
            <w:pPr>
              <w:pStyle w:val="TableContents"/>
              <w:bidi w:val="0"/>
              <w:spacing w:before="0" w:after="0"/>
              <w:jc w:val="both"/>
              <w:rPr/>
            </w:pPr>
            <w:r>
              <w:rPr/>
              <w:t>SEC Reports; Financial Statements</w:t>
            </w:r>
          </w:p>
        </w:tc>
        <w:tc>
          <w:tcPr>
            <w:tcW w:w="515" w:type="dxa"/>
            <w:tcBorders/>
            <w:shd w:fill="CCEEFF" w:val="clear"/>
            <w:vAlign w:val="center"/>
          </w:tcPr>
          <w:p>
            <w:pPr>
              <w:pStyle w:val="TableContents"/>
              <w:bidi w:val="0"/>
              <w:spacing w:before="0" w:after="0"/>
              <w:jc w:val="right"/>
              <w:rPr/>
            </w:pPr>
            <w:r>
              <w:rPr/>
              <w:t>18</w:t>
            </w:r>
          </w:p>
        </w:tc>
      </w:tr>
      <w:tr>
        <w:trPr/>
        <w:tc>
          <w:tcPr>
            <w:tcW w:w="72" w:type="dxa"/>
            <w:tcBorders/>
            <w:vAlign w:val="center"/>
          </w:tcPr>
          <w:p>
            <w:pPr>
              <w:pStyle w:val="TableContents"/>
              <w:bidi w:val="0"/>
              <w:spacing w:before="0" w:after="283"/>
              <w:jc w:val="both"/>
              <w:rPr/>
            </w:pPr>
            <w:r>
              <w:rPr/>
              <w:t> </w:t>
            </w:r>
          </w:p>
        </w:tc>
        <w:tc>
          <w:tcPr>
            <w:tcW w:w="1463" w:type="dxa"/>
            <w:tcBorders/>
            <w:vAlign w:val="center"/>
          </w:tcPr>
          <w:p>
            <w:pPr>
              <w:pStyle w:val="TableContents"/>
              <w:bidi w:val="0"/>
              <w:spacing w:before="0" w:after="0"/>
              <w:jc w:val="both"/>
              <w:rPr/>
            </w:pPr>
            <w:r>
              <w:rPr/>
              <w:t>Section 4.04</w:t>
            </w:r>
          </w:p>
        </w:tc>
        <w:tc>
          <w:tcPr>
            <w:tcW w:w="5818" w:type="dxa"/>
            <w:tcBorders/>
            <w:vAlign w:val="center"/>
          </w:tcPr>
          <w:p>
            <w:pPr>
              <w:pStyle w:val="TableContents"/>
              <w:bidi w:val="0"/>
              <w:spacing w:before="0" w:after="0"/>
              <w:jc w:val="both"/>
              <w:rPr/>
            </w:pPr>
            <w:r>
              <w:rPr/>
              <w:t>Stay, Extension and Usury Laws</w:t>
            </w:r>
          </w:p>
        </w:tc>
        <w:tc>
          <w:tcPr>
            <w:tcW w:w="515" w:type="dxa"/>
            <w:tcBorders/>
            <w:vAlign w:val="center"/>
          </w:tcPr>
          <w:p>
            <w:pPr>
              <w:pStyle w:val="TableContents"/>
              <w:bidi w:val="0"/>
              <w:spacing w:before="0" w:after="0"/>
              <w:jc w:val="right"/>
              <w:rPr/>
            </w:pPr>
            <w:r>
              <w:rPr/>
              <w:t>19</w:t>
            </w:r>
          </w:p>
        </w:tc>
      </w:tr>
      <w:tr>
        <w:trPr/>
        <w:tc>
          <w:tcPr>
            <w:tcW w:w="72" w:type="dxa"/>
            <w:tcBorders/>
            <w:shd w:fill="CCEEFF" w:val="clear"/>
            <w:vAlign w:val="center"/>
          </w:tcPr>
          <w:p>
            <w:pPr>
              <w:pStyle w:val="TableContents"/>
              <w:bidi w:val="0"/>
              <w:spacing w:before="0" w:after="283"/>
              <w:jc w:val="both"/>
              <w:rPr/>
            </w:pPr>
            <w:r>
              <w:rPr/>
              <w:t> </w:t>
            </w:r>
          </w:p>
        </w:tc>
        <w:tc>
          <w:tcPr>
            <w:tcW w:w="1463" w:type="dxa"/>
            <w:tcBorders/>
            <w:shd w:fill="CCEEFF" w:val="clear"/>
            <w:vAlign w:val="center"/>
          </w:tcPr>
          <w:p>
            <w:pPr>
              <w:pStyle w:val="TableContents"/>
              <w:bidi w:val="0"/>
              <w:spacing w:before="0" w:after="0"/>
              <w:jc w:val="both"/>
              <w:rPr/>
            </w:pPr>
            <w:r>
              <w:rPr/>
              <w:t>Section 4.05</w:t>
            </w:r>
          </w:p>
        </w:tc>
        <w:tc>
          <w:tcPr>
            <w:tcW w:w="5818" w:type="dxa"/>
            <w:tcBorders/>
            <w:shd w:fill="CCEEFF" w:val="clear"/>
            <w:vAlign w:val="center"/>
          </w:tcPr>
          <w:p>
            <w:pPr>
              <w:pStyle w:val="TableContents"/>
              <w:bidi w:val="0"/>
              <w:spacing w:before="0" w:after="0"/>
              <w:jc w:val="both"/>
              <w:rPr/>
            </w:pPr>
            <w:r>
              <w:rPr/>
              <w:t>Compliance Certificate</w:t>
            </w:r>
          </w:p>
        </w:tc>
        <w:tc>
          <w:tcPr>
            <w:tcW w:w="515" w:type="dxa"/>
            <w:tcBorders/>
            <w:shd w:fill="CCEEFF" w:val="clear"/>
            <w:vAlign w:val="center"/>
          </w:tcPr>
          <w:p>
            <w:pPr>
              <w:pStyle w:val="TableContents"/>
              <w:bidi w:val="0"/>
              <w:spacing w:before="0" w:after="0"/>
              <w:jc w:val="right"/>
              <w:rPr/>
            </w:pPr>
            <w:r>
              <w:rPr/>
              <w:t>19</w:t>
            </w:r>
          </w:p>
        </w:tc>
      </w:tr>
      <w:tr>
        <w:trPr/>
        <w:tc>
          <w:tcPr>
            <w:tcW w:w="72" w:type="dxa"/>
            <w:tcBorders/>
            <w:vAlign w:val="center"/>
          </w:tcPr>
          <w:p>
            <w:pPr>
              <w:pStyle w:val="TableContents"/>
              <w:bidi w:val="0"/>
              <w:spacing w:before="0" w:after="283"/>
              <w:jc w:val="both"/>
              <w:rPr/>
            </w:pPr>
            <w:r>
              <w:rPr/>
              <w:t> </w:t>
            </w:r>
          </w:p>
        </w:tc>
        <w:tc>
          <w:tcPr>
            <w:tcW w:w="1463" w:type="dxa"/>
            <w:tcBorders/>
            <w:vAlign w:val="center"/>
          </w:tcPr>
          <w:p>
            <w:pPr>
              <w:pStyle w:val="TableContents"/>
              <w:bidi w:val="0"/>
              <w:spacing w:before="0" w:after="0"/>
              <w:jc w:val="both"/>
              <w:rPr/>
            </w:pPr>
            <w:r>
              <w:rPr/>
              <w:t>Section 4.06</w:t>
            </w:r>
          </w:p>
        </w:tc>
        <w:tc>
          <w:tcPr>
            <w:tcW w:w="5818" w:type="dxa"/>
            <w:tcBorders/>
            <w:vAlign w:val="center"/>
          </w:tcPr>
          <w:p>
            <w:pPr>
              <w:pStyle w:val="TableContents"/>
              <w:bidi w:val="0"/>
              <w:spacing w:before="0" w:after="0"/>
              <w:jc w:val="both"/>
              <w:rPr/>
            </w:pPr>
            <w:r>
              <w:rPr/>
              <w:t>Additional Amounts</w:t>
            </w:r>
          </w:p>
        </w:tc>
        <w:tc>
          <w:tcPr>
            <w:tcW w:w="515" w:type="dxa"/>
            <w:tcBorders/>
            <w:vAlign w:val="center"/>
          </w:tcPr>
          <w:p>
            <w:pPr>
              <w:pStyle w:val="TableContents"/>
              <w:bidi w:val="0"/>
              <w:spacing w:before="0" w:after="0"/>
              <w:jc w:val="right"/>
              <w:rPr/>
            </w:pPr>
            <w:r>
              <w:rPr/>
              <w:t>19</w:t>
            </w:r>
          </w:p>
        </w:tc>
      </w:tr>
      <w:tr>
        <w:trPr/>
        <w:tc>
          <w:tcPr>
            <w:tcW w:w="72" w:type="dxa"/>
            <w:tcBorders/>
            <w:shd w:fill="CCEEFF" w:val="clear"/>
            <w:vAlign w:val="center"/>
          </w:tcPr>
          <w:p>
            <w:pPr>
              <w:pStyle w:val="TableContents"/>
              <w:bidi w:val="0"/>
              <w:spacing w:before="0" w:after="283"/>
              <w:jc w:val="both"/>
              <w:rPr/>
            </w:pPr>
            <w:r>
              <w:rPr/>
              <w:t> </w:t>
            </w:r>
          </w:p>
        </w:tc>
        <w:tc>
          <w:tcPr>
            <w:tcW w:w="1463" w:type="dxa"/>
            <w:tcBorders/>
            <w:shd w:fill="CCEEFF" w:val="clear"/>
            <w:vAlign w:val="center"/>
          </w:tcPr>
          <w:p>
            <w:pPr>
              <w:pStyle w:val="TableContents"/>
              <w:bidi w:val="0"/>
              <w:spacing w:before="0" w:after="283"/>
              <w:jc w:val="both"/>
              <w:rPr/>
            </w:pPr>
            <w:r>
              <w:rPr/>
              <w:t> </w:t>
            </w:r>
          </w:p>
        </w:tc>
        <w:tc>
          <w:tcPr>
            <w:tcW w:w="5818" w:type="dxa"/>
            <w:tcBorders/>
            <w:shd w:fill="CCEEFF" w:val="clear"/>
            <w:vAlign w:val="center"/>
          </w:tcPr>
          <w:p>
            <w:pPr>
              <w:pStyle w:val="TableContents"/>
              <w:bidi w:val="0"/>
              <w:spacing w:before="0" w:after="283"/>
              <w:jc w:val="both"/>
              <w:rPr/>
            </w:pPr>
            <w:r>
              <w:rPr/>
              <w:t> </w:t>
            </w:r>
          </w:p>
        </w:tc>
        <w:tc>
          <w:tcPr>
            <w:tcW w:w="515" w:type="dxa"/>
            <w:tcBorders/>
            <w:shd w:fill="CCEEFF" w:val="clear"/>
            <w:vAlign w:val="center"/>
          </w:tcPr>
          <w:p>
            <w:pPr>
              <w:pStyle w:val="TableContents"/>
              <w:bidi w:val="0"/>
              <w:spacing w:before="0" w:after="283"/>
              <w:jc w:val="right"/>
              <w:rPr/>
            </w:pPr>
            <w:r>
              <w:rPr/>
              <w:t> </w:t>
            </w:r>
          </w:p>
        </w:tc>
      </w:tr>
      <w:tr>
        <w:trPr/>
        <w:tc>
          <w:tcPr>
            <w:tcW w:w="7353" w:type="dxa"/>
            <w:gridSpan w:val="3"/>
            <w:tcBorders/>
            <w:vAlign w:val="center"/>
          </w:tcPr>
          <w:p>
            <w:pPr>
              <w:pStyle w:val="TableContents"/>
              <w:bidi w:val="0"/>
              <w:spacing w:before="0" w:after="0"/>
              <w:jc w:val="both"/>
              <w:rPr/>
            </w:pPr>
            <w:r>
              <w:rPr/>
              <w:t>ARTICLE 5 SUCCESSORS</w:t>
            </w:r>
          </w:p>
        </w:tc>
        <w:tc>
          <w:tcPr>
            <w:tcW w:w="515" w:type="dxa"/>
            <w:tcBorders/>
            <w:vAlign w:val="center"/>
          </w:tcPr>
          <w:p>
            <w:pPr>
              <w:pStyle w:val="TableContents"/>
              <w:bidi w:val="0"/>
              <w:spacing w:before="0" w:after="283"/>
              <w:jc w:val="right"/>
              <w:rPr/>
            </w:pPr>
            <w:r>
              <w:rPr/>
              <w:t>22</w:t>
            </w:r>
          </w:p>
        </w:tc>
      </w:tr>
      <w:tr>
        <w:trPr/>
        <w:tc>
          <w:tcPr>
            <w:tcW w:w="7353" w:type="dxa"/>
            <w:gridSpan w:val="3"/>
            <w:tcBorders/>
            <w:shd w:fill="CCEEFF" w:val="clear"/>
            <w:vAlign w:val="center"/>
          </w:tcPr>
          <w:p>
            <w:pPr>
              <w:pStyle w:val="TableContents"/>
              <w:bidi w:val="0"/>
              <w:spacing w:before="0" w:after="283"/>
              <w:jc w:val="both"/>
              <w:rPr/>
            </w:pPr>
            <w:r>
              <w:rPr/>
              <w:t> </w:t>
            </w:r>
          </w:p>
        </w:tc>
        <w:tc>
          <w:tcPr>
            <w:tcW w:w="515" w:type="dxa"/>
            <w:tcBorders/>
            <w:shd w:fill="CCEEFF" w:val="clear"/>
            <w:vAlign w:val="center"/>
          </w:tcPr>
          <w:p>
            <w:pPr>
              <w:pStyle w:val="TableContents"/>
              <w:bidi w:val="0"/>
              <w:spacing w:before="0" w:after="283"/>
              <w:jc w:val="right"/>
              <w:rPr/>
            </w:pPr>
            <w:r>
              <w:rPr/>
              <w:t> </w:t>
            </w:r>
          </w:p>
        </w:tc>
      </w:tr>
      <w:tr>
        <w:trPr/>
        <w:tc>
          <w:tcPr>
            <w:tcW w:w="72" w:type="dxa"/>
            <w:tcBorders/>
            <w:vAlign w:val="center"/>
          </w:tcPr>
          <w:p>
            <w:pPr>
              <w:pStyle w:val="TableContents"/>
              <w:bidi w:val="0"/>
              <w:spacing w:before="0" w:after="283"/>
              <w:jc w:val="both"/>
              <w:rPr/>
            </w:pPr>
            <w:r>
              <w:rPr/>
              <w:t> </w:t>
            </w:r>
          </w:p>
        </w:tc>
        <w:tc>
          <w:tcPr>
            <w:tcW w:w="1463" w:type="dxa"/>
            <w:tcBorders/>
            <w:vAlign w:val="center"/>
          </w:tcPr>
          <w:p>
            <w:pPr>
              <w:pStyle w:val="TableContents"/>
              <w:bidi w:val="0"/>
              <w:spacing w:before="0" w:after="0"/>
              <w:jc w:val="both"/>
              <w:rPr/>
            </w:pPr>
            <w:r>
              <w:rPr/>
              <w:t>Section 5.01</w:t>
            </w:r>
          </w:p>
        </w:tc>
        <w:tc>
          <w:tcPr>
            <w:tcW w:w="5818" w:type="dxa"/>
            <w:tcBorders/>
            <w:vAlign w:val="center"/>
          </w:tcPr>
          <w:p>
            <w:pPr>
              <w:pStyle w:val="TableContents"/>
              <w:bidi w:val="0"/>
              <w:spacing w:before="0" w:after="0"/>
              <w:jc w:val="both"/>
              <w:rPr/>
            </w:pPr>
            <w:r>
              <w:rPr/>
              <w:t>Consolidation, Merger or Sale of Assets</w:t>
            </w:r>
          </w:p>
        </w:tc>
        <w:tc>
          <w:tcPr>
            <w:tcW w:w="515" w:type="dxa"/>
            <w:tcBorders/>
            <w:vAlign w:val="center"/>
          </w:tcPr>
          <w:p>
            <w:pPr>
              <w:pStyle w:val="TableContents"/>
              <w:bidi w:val="0"/>
              <w:spacing w:before="0" w:after="0"/>
              <w:jc w:val="right"/>
              <w:rPr/>
            </w:pPr>
            <w:r>
              <w:rPr/>
              <w:t>22</w:t>
            </w:r>
          </w:p>
        </w:tc>
      </w:tr>
      <w:tr>
        <w:trPr/>
        <w:tc>
          <w:tcPr>
            <w:tcW w:w="72" w:type="dxa"/>
            <w:tcBorders/>
            <w:shd w:fill="CCEEFF" w:val="clear"/>
            <w:vAlign w:val="center"/>
          </w:tcPr>
          <w:p>
            <w:pPr>
              <w:pStyle w:val="TableContents"/>
              <w:bidi w:val="0"/>
              <w:spacing w:before="0" w:after="283"/>
              <w:jc w:val="both"/>
              <w:rPr/>
            </w:pPr>
            <w:r>
              <w:rPr/>
              <w:t> </w:t>
            </w:r>
          </w:p>
        </w:tc>
        <w:tc>
          <w:tcPr>
            <w:tcW w:w="1463" w:type="dxa"/>
            <w:tcBorders/>
            <w:shd w:fill="CCEEFF" w:val="clear"/>
            <w:vAlign w:val="center"/>
          </w:tcPr>
          <w:p>
            <w:pPr>
              <w:pStyle w:val="TableContents"/>
              <w:bidi w:val="0"/>
              <w:spacing w:before="0" w:after="0"/>
              <w:jc w:val="both"/>
              <w:rPr/>
            </w:pPr>
            <w:r>
              <w:rPr/>
              <w:t>Section 5.02</w:t>
            </w:r>
          </w:p>
        </w:tc>
        <w:tc>
          <w:tcPr>
            <w:tcW w:w="5818" w:type="dxa"/>
            <w:tcBorders/>
            <w:shd w:fill="CCEEFF" w:val="clear"/>
            <w:vAlign w:val="center"/>
          </w:tcPr>
          <w:p>
            <w:pPr>
              <w:pStyle w:val="TableContents"/>
              <w:bidi w:val="0"/>
              <w:spacing w:before="0" w:after="0"/>
              <w:jc w:val="both"/>
              <w:rPr/>
            </w:pPr>
            <w:r>
              <w:rPr/>
              <w:t>Successor Corporation Substituted</w:t>
            </w:r>
          </w:p>
        </w:tc>
        <w:tc>
          <w:tcPr>
            <w:tcW w:w="515" w:type="dxa"/>
            <w:tcBorders/>
            <w:shd w:fill="CCEEFF" w:val="clear"/>
            <w:vAlign w:val="center"/>
          </w:tcPr>
          <w:p>
            <w:pPr>
              <w:pStyle w:val="TableContents"/>
              <w:bidi w:val="0"/>
              <w:spacing w:before="0" w:after="0"/>
              <w:jc w:val="right"/>
              <w:rPr/>
            </w:pPr>
            <w:r>
              <w:rPr/>
              <w:t>23</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4" w:name="z8a2ad290ed904f2f8f3a8d7765353d78"/>
      <w:bookmarkStart w:id="15" w:name="z8a2ad290ed904f2f8f3a8d7765353d78"/>
      <w:bookmarkEnd w:id="15"/>
    </w:p>
    <w:tbl>
      <w:tblPr>
        <w:tblW w:w="10205" w:type="dxa"/>
        <w:jc w:val="left"/>
        <w:tblInd w:w="0" w:type="dxa"/>
        <w:tblLayout w:type="fixed"/>
        <w:tblCellMar>
          <w:top w:w="0" w:type="dxa"/>
          <w:left w:w="0" w:type="dxa"/>
          <w:bottom w:w="0" w:type="dxa"/>
          <w:right w:w="0" w:type="dxa"/>
        </w:tblCellMar>
      </w:tblPr>
      <w:tblGrid>
        <w:gridCol w:w="75"/>
        <w:gridCol w:w="1153"/>
        <w:gridCol w:w="8447"/>
        <w:gridCol w:w="530"/>
      </w:tblGrid>
      <w:tr>
        <w:trPr/>
        <w:tc>
          <w:tcPr>
            <w:tcW w:w="9675" w:type="dxa"/>
            <w:gridSpan w:val="3"/>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0"/>
              <w:jc w:val="right"/>
              <w:rPr>
                <w:b/>
              </w:rPr>
            </w:pPr>
            <w:r>
              <w:rPr>
                <w:b/>
              </w:rPr>
              <w:t>Page</w:t>
            </w:r>
          </w:p>
        </w:tc>
      </w:tr>
      <w:tr>
        <w:trPr/>
        <w:tc>
          <w:tcPr>
            <w:tcW w:w="9675" w:type="dxa"/>
            <w:gridSpan w:val="3"/>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right"/>
              <w:rPr/>
            </w:pPr>
            <w:r>
              <w:rPr/>
              <w:t> </w:t>
            </w:r>
          </w:p>
        </w:tc>
      </w:tr>
      <w:tr>
        <w:trPr/>
        <w:tc>
          <w:tcPr>
            <w:tcW w:w="9675" w:type="dxa"/>
            <w:gridSpan w:val="3"/>
            <w:tcBorders/>
            <w:shd w:fill="CCEEFF" w:val="clear"/>
            <w:vAlign w:val="center"/>
          </w:tcPr>
          <w:p>
            <w:pPr>
              <w:pStyle w:val="TableContents"/>
              <w:bidi w:val="0"/>
              <w:spacing w:before="0" w:after="0"/>
              <w:jc w:val="both"/>
              <w:rPr/>
            </w:pPr>
            <w:r>
              <w:rPr/>
              <w:t>ARTICLE 6 DEFAULTS AND REMEDIES</w:t>
            </w:r>
          </w:p>
        </w:tc>
        <w:tc>
          <w:tcPr>
            <w:tcW w:w="530" w:type="dxa"/>
            <w:tcBorders/>
            <w:shd w:fill="CCEEFF" w:val="clear"/>
            <w:vAlign w:val="center"/>
          </w:tcPr>
          <w:p>
            <w:pPr>
              <w:pStyle w:val="TableContents"/>
              <w:bidi w:val="0"/>
              <w:spacing w:before="0" w:after="283"/>
              <w:jc w:val="right"/>
              <w:rPr/>
            </w:pPr>
            <w:r>
              <w:rPr/>
              <w:t>23</w:t>
            </w:r>
          </w:p>
        </w:tc>
      </w:tr>
      <w:tr>
        <w:trPr/>
        <w:tc>
          <w:tcPr>
            <w:tcW w:w="9675" w:type="dxa"/>
            <w:gridSpan w:val="3"/>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right"/>
              <w:rPr/>
            </w:pPr>
            <w:r>
              <w:rPr/>
              <w:t> </w:t>
            </w:r>
          </w:p>
        </w:tc>
      </w:tr>
      <w:tr>
        <w:trPr/>
        <w:tc>
          <w:tcPr>
            <w:tcW w:w="75" w:type="dxa"/>
            <w:tcBorders/>
            <w:shd w:fill="CCEEFF" w:val="clear"/>
            <w:vAlign w:val="center"/>
          </w:tcPr>
          <w:p>
            <w:pPr>
              <w:pStyle w:val="TableContents"/>
              <w:bidi w:val="0"/>
              <w:spacing w:before="0" w:after="283"/>
              <w:jc w:val="both"/>
              <w:rPr/>
            </w:pPr>
            <w:r>
              <w:rPr/>
              <w:t> </w:t>
            </w:r>
          </w:p>
        </w:tc>
        <w:tc>
          <w:tcPr>
            <w:tcW w:w="1153" w:type="dxa"/>
            <w:tcBorders/>
            <w:shd w:fill="CCEEFF" w:val="clear"/>
            <w:vAlign w:val="center"/>
          </w:tcPr>
          <w:p>
            <w:pPr>
              <w:pStyle w:val="TableContents"/>
              <w:bidi w:val="0"/>
              <w:spacing w:before="0" w:after="0"/>
              <w:jc w:val="both"/>
              <w:rPr/>
            </w:pPr>
            <w:r>
              <w:rPr/>
              <w:t>Section 6.01</w:t>
            </w:r>
          </w:p>
        </w:tc>
        <w:tc>
          <w:tcPr>
            <w:tcW w:w="8447" w:type="dxa"/>
            <w:tcBorders/>
            <w:shd w:fill="CCEEFF" w:val="clear"/>
            <w:vAlign w:val="center"/>
          </w:tcPr>
          <w:p>
            <w:pPr>
              <w:pStyle w:val="TableContents"/>
              <w:bidi w:val="0"/>
              <w:spacing w:before="0" w:after="0"/>
              <w:jc w:val="both"/>
              <w:rPr/>
            </w:pPr>
            <w:r>
              <w:rPr/>
              <w:t>Events of Default</w:t>
            </w:r>
          </w:p>
        </w:tc>
        <w:tc>
          <w:tcPr>
            <w:tcW w:w="530" w:type="dxa"/>
            <w:tcBorders/>
            <w:shd w:fill="CCEEFF" w:val="clear"/>
            <w:vAlign w:val="center"/>
          </w:tcPr>
          <w:p>
            <w:pPr>
              <w:pStyle w:val="TableContents"/>
              <w:bidi w:val="0"/>
              <w:spacing w:before="0" w:after="283"/>
              <w:jc w:val="right"/>
              <w:rPr/>
            </w:pPr>
            <w:r>
              <w:rPr/>
              <w:t>23</w:t>
            </w:r>
          </w:p>
        </w:tc>
      </w:tr>
      <w:tr>
        <w:trPr/>
        <w:tc>
          <w:tcPr>
            <w:tcW w:w="75" w:type="dxa"/>
            <w:tcBorders/>
            <w:vAlign w:val="center"/>
          </w:tcPr>
          <w:p>
            <w:pPr>
              <w:pStyle w:val="TableContents"/>
              <w:bidi w:val="0"/>
              <w:spacing w:before="0" w:after="283"/>
              <w:jc w:val="both"/>
              <w:rPr/>
            </w:pPr>
            <w:r>
              <w:rPr/>
              <w:t> </w:t>
            </w:r>
          </w:p>
        </w:tc>
        <w:tc>
          <w:tcPr>
            <w:tcW w:w="1153" w:type="dxa"/>
            <w:tcBorders/>
            <w:vAlign w:val="center"/>
          </w:tcPr>
          <w:p>
            <w:pPr>
              <w:pStyle w:val="TableContents"/>
              <w:bidi w:val="0"/>
              <w:spacing w:before="0" w:after="0"/>
              <w:jc w:val="both"/>
              <w:rPr/>
            </w:pPr>
            <w:r>
              <w:rPr/>
              <w:t>Section 6.02</w:t>
            </w:r>
          </w:p>
        </w:tc>
        <w:tc>
          <w:tcPr>
            <w:tcW w:w="8447" w:type="dxa"/>
            <w:tcBorders/>
            <w:vAlign w:val="center"/>
          </w:tcPr>
          <w:p>
            <w:pPr>
              <w:pStyle w:val="TableContents"/>
              <w:bidi w:val="0"/>
              <w:spacing w:before="0" w:after="0"/>
              <w:jc w:val="both"/>
              <w:rPr/>
            </w:pPr>
            <w:r>
              <w:rPr/>
              <w:t>Acceleration</w:t>
            </w:r>
          </w:p>
        </w:tc>
        <w:tc>
          <w:tcPr>
            <w:tcW w:w="530" w:type="dxa"/>
            <w:tcBorders/>
            <w:vAlign w:val="center"/>
          </w:tcPr>
          <w:p>
            <w:pPr>
              <w:pStyle w:val="TableContents"/>
              <w:bidi w:val="0"/>
              <w:spacing w:before="0" w:after="0"/>
              <w:jc w:val="right"/>
              <w:rPr/>
            </w:pPr>
            <w:r>
              <w:rPr/>
              <w:t>24</w:t>
            </w:r>
          </w:p>
        </w:tc>
      </w:tr>
      <w:tr>
        <w:trPr/>
        <w:tc>
          <w:tcPr>
            <w:tcW w:w="75" w:type="dxa"/>
            <w:tcBorders/>
            <w:shd w:fill="CCEEFF" w:val="clear"/>
            <w:vAlign w:val="center"/>
          </w:tcPr>
          <w:p>
            <w:pPr>
              <w:pStyle w:val="TableContents"/>
              <w:bidi w:val="0"/>
              <w:spacing w:before="0" w:after="283"/>
              <w:jc w:val="both"/>
              <w:rPr/>
            </w:pPr>
            <w:r>
              <w:rPr/>
              <w:t> </w:t>
            </w:r>
          </w:p>
        </w:tc>
        <w:tc>
          <w:tcPr>
            <w:tcW w:w="1153" w:type="dxa"/>
            <w:tcBorders/>
            <w:shd w:fill="CCEEFF" w:val="clear"/>
            <w:vAlign w:val="center"/>
          </w:tcPr>
          <w:p>
            <w:pPr>
              <w:pStyle w:val="TableContents"/>
              <w:bidi w:val="0"/>
              <w:spacing w:before="0" w:after="0"/>
              <w:jc w:val="both"/>
              <w:rPr/>
            </w:pPr>
            <w:r>
              <w:rPr/>
              <w:t>Section 6.03</w:t>
            </w:r>
          </w:p>
        </w:tc>
        <w:tc>
          <w:tcPr>
            <w:tcW w:w="8447" w:type="dxa"/>
            <w:tcBorders/>
            <w:shd w:fill="CCEEFF" w:val="clear"/>
            <w:vAlign w:val="center"/>
          </w:tcPr>
          <w:p>
            <w:pPr>
              <w:pStyle w:val="TableContents"/>
              <w:bidi w:val="0"/>
              <w:spacing w:before="0" w:after="0"/>
              <w:jc w:val="both"/>
              <w:rPr/>
            </w:pPr>
            <w:r>
              <w:rPr/>
              <w:t>Other Remedies</w:t>
            </w:r>
          </w:p>
        </w:tc>
        <w:tc>
          <w:tcPr>
            <w:tcW w:w="530" w:type="dxa"/>
            <w:tcBorders/>
            <w:shd w:fill="CCEEFF" w:val="clear"/>
            <w:vAlign w:val="center"/>
          </w:tcPr>
          <w:p>
            <w:pPr>
              <w:pStyle w:val="TableContents"/>
              <w:bidi w:val="0"/>
              <w:spacing w:before="0" w:after="0"/>
              <w:jc w:val="right"/>
              <w:rPr/>
            </w:pPr>
            <w:r>
              <w:rPr/>
              <w:t>25</w:t>
            </w:r>
          </w:p>
        </w:tc>
      </w:tr>
      <w:tr>
        <w:trPr/>
        <w:tc>
          <w:tcPr>
            <w:tcW w:w="75" w:type="dxa"/>
            <w:tcBorders/>
            <w:vAlign w:val="center"/>
          </w:tcPr>
          <w:p>
            <w:pPr>
              <w:pStyle w:val="TableContents"/>
              <w:bidi w:val="0"/>
              <w:spacing w:before="0" w:after="283"/>
              <w:jc w:val="both"/>
              <w:rPr/>
            </w:pPr>
            <w:r>
              <w:rPr/>
              <w:t> </w:t>
            </w:r>
          </w:p>
        </w:tc>
        <w:tc>
          <w:tcPr>
            <w:tcW w:w="1153" w:type="dxa"/>
            <w:tcBorders/>
            <w:vAlign w:val="center"/>
          </w:tcPr>
          <w:p>
            <w:pPr>
              <w:pStyle w:val="TableContents"/>
              <w:bidi w:val="0"/>
              <w:spacing w:before="0" w:after="0"/>
              <w:jc w:val="both"/>
              <w:rPr/>
            </w:pPr>
            <w:r>
              <w:rPr/>
              <w:t>Section 6.04</w:t>
            </w:r>
          </w:p>
        </w:tc>
        <w:tc>
          <w:tcPr>
            <w:tcW w:w="8447" w:type="dxa"/>
            <w:tcBorders/>
            <w:vAlign w:val="center"/>
          </w:tcPr>
          <w:p>
            <w:pPr>
              <w:pStyle w:val="TableContents"/>
              <w:bidi w:val="0"/>
              <w:spacing w:before="0" w:after="0"/>
              <w:jc w:val="both"/>
              <w:rPr/>
            </w:pPr>
            <w:r>
              <w:rPr/>
              <w:t>Waiver of Past Defaults</w:t>
            </w:r>
          </w:p>
        </w:tc>
        <w:tc>
          <w:tcPr>
            <w:tcW w:w="530" w:type="dxa"/>
            <w:tcBorders/>
            <w:vAlign w:val="center"/>
          </w:tcPr>
          <w:p>
            <w:pPr>
              <w:pStyle w:val="TableContents"/>
              <w:bidi w:val="0"/>
              <w:spacing w:before="0" w:after="0"/>
              <w:jc w:val="right"/>
              <w:rPr/>
            </w:pPr>
            <w:r>
              <w:rPr/>
              <w:t>25</w:t>
            </w:r>
          </w:p>
        </w:tc>
      </w:tr>
      <w:tr>
        <w:trPr/>
        <w:tc>
          <w:tcPr>
            <w:tcW w:w="75" w:type="dxa"/>
            <w:tcBorders/>
            <w:shd w:fill="CCEEFF" w:val="clear"/>
            <w:vAlign w:val="center"/>
          </w:tcPr>
          <w:p>
            <w:pPr>
              <w:pStyle w:val="TableContents"/>
              <w:bidi w:val="0"/>
              <w:spacing w:before="0" w:after="283"/>
              <w:jc w:val="both"/>
              <w:rPr/>
            </w:pPr>
            <w:r>
              <w:rPr/>
              <w:t> </w:t>
            </w:r>
          </w:p>
        </w:tc>
        <w:tc>
          <w:tcPr>
            <w:tcW w:w="1153" w:type="dxa"/>
            <w:tcBorders/>
            <w:shd w:fill="CCEEFF" w:val="clear"/>
            <w:vAlign w:val="center"/>
          </w:tcPr>
          <w:p>
            <w:pPr>
              <w:pStyle w:val="TableContents"/>
              <w:bidi w:val="0"/>
              <w:spacing w:before="0" w:after="0"/>
              <w:jc w:val="both"/>
              <w:rPr/>
            </w:pPr>
            <w:r>
              <w:rPr/>
              <w:t>Section 6.05</w:t>
            </w:r>
          </w:p>
        </w:tc>
        <w:tc>
          <w:tcPr>
            <w:tcW w:w="8447" w:type="dxa"/>
            <w:tcBorders/>
            <w:shd w:fill="CCEEFF" w:val="clear"/>
            <w:vAlign w:val="center"/>
          </w:tcPr>
          <w:p>
            <w:pPr>
              <w:pStyle w:val="TableContents"/>
              <w:bidi w:val="0"/>
              <w:spacing w:before="0" w:after="0"/>
              <w:jc w:val="both"/>
              <w:rPr/>
            </w:pPr>
            <w:r>
              <w:rPr/>
              <w:t>Control by Majority</w:t>
            </w:r>
          </w:p>
        </w:tc>
        <w:tc>
          <w:tcPr>
            <w:tcW w:w="530" w:type="dxa"/>
            <w:tcBorders/>
            <w:shd w:fill="CCEEFF" w:val="clear"/>
            <w:vAlign w:val="center"/>
          </w:tcPr>
          <w:p>
            <w:pPr>
              <w:pStyle w:val="TableContents"/>
              <w:bidi w:val="0"/>
              <w:spacing w:before="0" w:after="0"/>
              <w:jc w:val="right"/>
              <w:rPr/>
            </w:pPr>
            <w:r>
              <w:rPr/>
              <w:t>26</w:t>
            </w:r>
          </w:p>
        </w:tc>
      </w:tr>
      <w:tr>
        <w:trPr/>
        <w:tc>
          <w:tcPr>
            <w:tcW w:w="75" w:type="dxa"/>
            <w:tcBorders/>
            <w:vAlign w:val="center"/>
          </w:tcPr>
          <w:p>
            <w:pPr>
              <w:pStyle w:val="TableContents"/>
              <w:bidi w:val="0"/>
              <w:spacing w:before="0" w:after="283"/>
              <w:jc w:val="both"/>
              <w:rPr/>
            </w:pPr>
            <w:r>
              <w:rPr/>
              <w:t> </w:t>
            </w:r>
          </w:p>
        </w:tc>
        <w:tc>
          <w:tcPr>
            <w:tcW w:w="1153" w:type="dxa"/>
            <w:tcBorders/>
            <w:vAlign w:val="center"/>
          </w:tcPr>
          <w:p>
            <w:pPr>
              <w:pStyle w:val="TableContents"/>
              <w:bidi w:val="0"/>
              <w:spacing w:before="0" w:after="0"/>
              <w:jc w:val="both"/>
              <w:rPr/>
            </w:pPr>
            <w:r>
              <w:rPr/>
              <w:t>Section 6.06</w:t>
            </w:r>
          </w:p>
        </w:tc>
        <w:tc>
          <w:tcPr>
            <w:tcW w:w="8447" w:type="dxa"/>
            <w:tcBorders/>
            <w:vAlign w:val="center"/>
          </w:tcPr>
          <w:p>
            <w:pPr>
              <w:pStyle w:val="TableContents"/>
              <w:bidi w:val="0"/>
              <w:spacing w:before="0" w:after="0"/>
              <w:jc w:val="both"/>
              <w:rPr/>
            </w:pPr>
            <w:r>
              <w:rPr/>
              <w:t>Limitation on Suits</w:t>
            </w:r>
          </w:p>
        </w:tc>
        <w:tc>
          <w:tcPr>
            <w:tcW w:w="530" w:type="dxa"/>
            <w:tcBorders/>
            <w:vAlign w:val="center"/>
          </w:tcPr>
          <w:p>
            <w:pPr>
              <w:pStyle w:val="TableContents"/>
              <w:bidi w:val="0"/>
              <w:spacing w:before="0" w:after="0"/>
              <w:jc w:val="right"/>
              <w:rPr/>
            </w:pPr>
            <w:r>
              <w:rPr/>
              <w:t>26</w:t>
            </w:r>
          </w:p>
        </w:tc>
      </w:tr>
      <w:tr>
        <w:trPr/>
        <w:tc>
          <w:tcPr>
            <w:tcW w:w="75" w:type="dxa"/>
            <w:tcBorders/>
            <w:shd w:fill="CCEEFF" w:val="clear"/>
            <w:vAlign w:val="center"/>
          </w:tcPr>
          <w:p>
            <w:pPr>
              <w:pStyle w:val="TableContents"/>
              <w:bidi w:val="0"/>
              <w:spacing w:before="0" w:after="283"/>
              <w:jc w:val="both"/>
              <w:rPr/>
            </w:pPr>
            <w:r>
              <w:rPr/>
              <w:t> </w:t>
            </w:r>
          </w:p>
        </w:tc>
        <w:tc>
          <w:tcPr>
            <w:tcW w:w="1153" w:type="dxa"/>
            <w:tcBorders/>
            <w:shd w:fill="CCEEFF" w:val="clear"/>
            <w:vAlign w:val="center"/>
          </w:tcPr>
          <w:p>
            <w:pPr>
              <w:pStyle w:val="TableContents"/>
              <w:bidi w:val="0"/>
              <w:spacing w:before="0" w:after="0"/>
              <w:jc w:val="both"/>
              <w:rPr/>
            </w:pPr>
            <w:r>
              <w:rPr/>
              <w:t>Section 6.07</w:t>
            </w:r>
          </w:p>
        </w:tc>
        <w:tc>
          <w:tcPr>
            <w:tcW w:w="8447" w:type="dxa"/>
            <w:tcBorders/>
            <w:shd w:fill="CCEEFF" w:val="clear"/>
            <w:vAlign w:val="center"/>
          </w:tcPr>
          <w:p>
            <w:pPr>
              <w:pStyle w:val="TableContents"/>
              <w:bidi w:val="0"/>
              <w:spacing w:before="0" w:after="0"/>
              <w:jc w:val="both"/>
              <w:rPr/>
            </w:pPr>
            <w:r>
              <w:rPr/>
              <w:t>Rights of Holders of Notes to Receive Payment</w:t>
            </w:r>
          </w:p>
        </w:tc>
        <w:tc>
          <w:tcPr>
            <w:tcW w:w="530" w:type="dxa"/>
            <w:tcBorders/>
            <w:shd w:fill="CCEEFF" w:val="clear"/>
            <w:vAlign w:val="center"/>
          </w:tcPr>
          <w:p>
            <w:pPr>
              <w:pStyle w:val="TableContents"/>
              <w:bidi w:val="0"/>
              <w:spacing w:before="0" w:after="0"/>
              <w:jc w:val="right"/>
              <w:rPr/>
            </w:pPr>
            <w:r>
              <w:rPr/>
              <w:t>26</w:t>
            </w:r>
          </w:p>
        </w:tc>
      </w:tr>
      <w:tr>
        <w:trPr/>
        <w:tc>
          <w:tcPr>
            <w:tcW w:w="75" w:type="dxa"/>
            <w:tcBorders/>
            <w:vAlign w:val="center"/>
          </w:tcPr>
          <w:p>
            <w:pPr>
              <w:pStyle w:val="TableContents"/>
              <w:bidi w:val="0"/>
              <w:spacing w:before="0" w:after="283"/>
              <w:jc w:val="both"/>
              <w:rPr/>
            </w:pPr>
            <w:r>
              <w:rPr/>
              <w:t> </w:t>
            </w:r>
          </w:p>
        </w:tc>
        <w:tc>
          <w:tcPr>
            <w:tcW w:w="1153" w:type="dxa"/>
            <w:tcBorders/>
            <w:vAlign w:val="center"/>
          </w:tcPr>
          <w:p>
            <w:pPr>
              <w:pStyle w:val="TableContents"/>
              <w:bidi w:val="0"/>
              <w:spacing w:before="0" w:after="0"/>
              <w:jc w:val="both"/>
              <w:rPr/>
            </w:pPr>
            <w:r>
              <w:rPr/>
              <w:t>Section 6.08</w:t>
            </w:r>
          </w:p>
        </w:tc>
        <w:tc>
          <w:tcPr>
            <w:tcW w:w="8447" w:type="dxa"/>
            <w:tcBorders/>
            <w:vAlign w:val="center"/>
          </w:tcPr>
          <w:p>
            <w:pPr>
              <w:pStyle w:val="TableContents"/>
              <w:bidi w:val="0"/>
              <w:spacing w:before="0" w:after="0"/>
              <w:jc w:val="both"/>
              <w:rPr/>
            </w:pPr>
            <w:r>
              <w:rPr/>
              <w:t>Collection Suit by Trustee</w:t>
            </w:r>
          </w:p>
        </w:tc>
        <w:tc>
          <w:tcPr>
            <w:tcW w:w="530" w:type="dxa"/>
            <w:tcBorders/>
            <w:vAlign w:val="center"/>
          </w:tcPr>
          <w:p>
            <w:pPr>
              <w:pStyle w:val="TableContents"/>
              <w:bidi w:val="0"/>
              <w:spacing w:before="0" w:after="0"/>
              <w:jc w:val="right"/>
              <w:rPr/>
            </w:pPr>
            <w:r>
              <w:rPr/>
              <w:t>26</w:t>
            </w:r>
          </w:p>
        </w:tc>
      </w:tr>
      <w:tr>
        <w:trPr/>
        <w:tc>
          <w:tcPr>
            <w:tcW w:w="75" w:type="dxa"/>
            <w:tcBorders/>
            <w:shd w:fill="CCEEFF" w:val="clear"/>
            <w:vAlign w:val="center"/>
          </w:tcPr>
          <w:p>
            <w:pPr>
              <w:pStyle w:val="TableContents"/>
              <w:bidi w:val="0"/>
              <w:spacing w:before="0" w:after="283"/>
              <w:jc w:val="both"/>
              <w:rPr/>
            </w:pPr>
            <w:r>
              <w:rPr/>
              <w:t> </w:t>
            </w:r>
          </w:p>
        </w:tc>
        <w:tc>
          <w:tcPr>
            <w:tcW w:w="1153" w:type="dxa"/>
            <w:tcBorders/>
            <w:shd w:fill="CCEEFF" w:val="clear"/>
            <w:vAlign w:val="center"/>
          </w:tcPr>
          <w:p>
            <w:pPr>
              <w:pStyle w:val="TableContents"/>
              <w:bidi w:val="0"/>
              <w:spacing w:before="0" w:after="0"/>
              <w:jc w:val="both"/>
              <w:rPr/>
            </w:pPr>
            <w:r>
              <w:rPr/>
              <w:t>Section 6.09</w:t>
            </w:r>
          </w:p>
        </w:tc>
        <w:tc>
          <w:tcPr>
            <w:tcW w:w="8447" w:type="dxa"/>
            <w:tcBorders/>
            <w:shd w:fill="CCEEFF" w:val="clear"/>
            <w:vAlign w:val="center"/>
          </w:tcPr>
          <w:p>
            <w:pPr>
              <w:pStyle w:val="TableContents"/>
              <w:bidi w:val="0"/>
              <w:spacing w:before="0" w:after="0"/>
              <w:jc w:val="both"/>
              <w:rPr/>
            </w:pPr>
            <w:r>
              <w:rPr/>
              <w:t>Trustee May File Proofs of Claim</w:t>
            </w:r>
          </w:p>
        </w:tc>
        <w:tc>
          <w:tcPr>
            <w:tcW w:w="530" w:type="dxa"/>
            <w:tcBorders/>
            <w:shd w:fill="CCEEFF" w:val="clear"/>
            <w:vAlign w:val="center"/>
          </w:tcPr>
          <w:p>
            <w:pPr>
              <w:pStyle w:val="TableContents"/>
              <w:bidi w:val="0"/>
              <w:spacing w:before="0" w:after="0"/>
              <w:jc w:val="right"/>
              <w:rPr/>
            </w:pPr>
            <w:r>
              <w:rPr/>
              <w:t>26</w:t>
            </w:r>
          </w:p>
        </w:tc>
      </w:tr>
      <w:tr>
        <w:trPr/>
        <w:tc>
          <w:tcPr>
            <w:tcW w:w="75" w:type="dxa"/>
            <w:tcBorders/>
            <w:vAlign w:val="center"/>
          </w:tcPr>
          <w:p>
            <w:pPr>
              <w:pStyle w:val="TableContents"/>
              <w:bidi w:val="0"/>
              <w:spacing w:before="0" w:after="283"/>
              <w:jc w:val="both"/>
              <w:rPr/>
            </w:pPr>
            <w:r>
              <w:rPr/>
              <w:t> </w:t>
            </w:r>
          </w:p>
        </w:tc>
        <w:tc>
          <w:tcPr>
            <w:tcW w:w="1153" w:type="dxa"/>
            <w:tcBorders/>
            <w:vAlign w:val="center"/>
          </w:tcPr>
          <w:p>
            <w:pPr>
              <w:pStyle w:val="TableContents"/>
              <w:bidi w:val="0"/>
              <w:spacing w:before="0" w:after="0"/>
              <w:jc w:val="both"/>
              <w:rPr/>
            </w:pPr>
            <w:r>
              <w:rPr/>
              <w:t>Section 6.10</w:t>
            </w:r>
          </w:p>
        </w:tc>
        <w:tc>
          <w:tcPr>
            <w:tcW w:w="8447" w:type="dxa"/>
            <w:tcBorders/>
            <w:vAlign w:val="center"/>
          </w:tcPr>
          <w:p>
            <w:pPr>
              <w:pStyle w:val="TableContents"/>
              <w:bidi w:val="0"/>
              <w:spacing w:before="0" w:after="0"/>
              <w:jc w:val="both"/>
              <w:rPr/>
            </w:pPr>
            <w:r>
              <w:rPr/>
              <w:t>Priorities</w:t>
            </w:r>
          </w:p>
        </w:tc>
        <w:tc>
          <w:tcPr>
            <w:tcW w:w="530" w:type="dxa"/>
            <w:tcBorders/>
            <w:vAlign w:val="center"/>
          </w:tcPr>
          <w:p>
            <w:pPr>
              <w:pStyle w:val="TableContents"/>
              <w:bidi w:val="0"/>
              <w:spacing w:before="0" w:after="0"/>
              <w:jc w:val="right"/>
              <w:rPr/>
            </w:pPr>
            <w:r>
              <w:rPr/>
              <w:t>27</w:t>
            </w:r>
          </w:p>
        </w:tc>
      </w:tr>
      <w:tr>
        <w:trPr/>
        <w:tc>
          <w:tcPr>
            <w:tcW w:w="75" w:type="dxa"/>
            <w:tcBorders/>
            <w:shd w:fill="CCEEFF" w:val="clear"/>
            <w:vAlign w:val="center"/>
          </w:tcPr>
          <w:p>
            <w:pPr>
              <w:pStyle w:val="TableContents"/>
              <w:bidi w:val="0"/>
              <w:spacing w:before="0" w:after="283"/>
              <w:jc w:val="both"/>
              <w:rPr/>
            </w:pPr>
            <w:r>
              <w:rPr/>
              <w:t> </w:t>
            </w:r>
          </w:p>
        </w:tc>
        <w:tc>
          <w:tcPr>
            <w:tcW w:w="1153" w:type="dxa"/>
            <w:tcBorders/>
            <w:shd w:fill="CCEEFF" w:val="clear"/>
            <w:vAlign w:val="center"/>
          </w:tcPr>
          <w:p>
            <w:pPr>
              <w:pStyle w:val="TableContents"/>
              <w:bidi w:val="0"/>
              <w:spacing w:before="0" w:after="0"/>
              <w:jc w:val="both"/>
              <w:rPr/>
            </w:pPr>
            <w:r>
              <w:rPr/>
              <w:t>Section 6.11</w:t>
            </w:r>
          </w:p>
        </w:tc>
        <w:tc>
          <w:tcPr>
            <w:tcW w:w="8447" w:type="dxa"/>
            <w:tcBorders/>
            <w:shd w:fill="CCEEFF" w:val="clear"/>
            <w:vAlign w:val="center"/>
          </w:tcPr>
          <w:p>
            <w:pPr>
              <w:pStyle w:val="TableContents"/>
              <w:bidi w:val="0"/>
              <w:spacing w:before="0" w:after="0"/>
              <w:jc w:val="both"/>
              <w:rPr/>
            </w:pPr>
            <w:r>
              <w:rPr/>
              <w:t>Undertaking for Costs</w:t>
            </w:r>
          </w:p>
        </w:tc>
        <w:tc>
          <w:tcPr>
            <w:tcW w:w="530" w:type="dxa"/>
            <w:tcBorders/>
            <w:shd w:fill="CCEEFF" w:val="clear"/>
            <w:vAlign w:val="center"/>
          </w:tcPr>
          <w:p>
            <w:pPr>
              <w:pStyle w:val="TableContents"/>
              <w:bidi w:val="0"/>
              <w:spacing w:before="0" w:after="0"/>
              <w:jc w:val="right"/>
              <w:rPr/>
            </w:pPr>
            <w:r>
              <w:rPr/>
              <w:t>27</w:t>
            </w:r>
          </w:p>
        </w:tc>
      </w:tr>
      <w:tr>
        <w:trPr/>
        <w:tc>
          <w:tcPr>
            <w:tcW w:w="75" w:type="dxa"/>
            <w:tcBorders/>
            <w:vAlign w:val="center"/>
          </w:tcPr>
          <w:p>
            <w:pPr>
              <w:pStyle w:val="TableContents"/>
              <w:bidi w:val="0"/>
              <w:spacing w:before="0" w:after="283"/>
              <w:jc w:val="both"/>
              <w:rPr/>
            </w:pPr>
            <w:r>
              <w:rPr/>
              <w:t> </w:t>
            </w:r>
          </w:p>
        </w:tc>
        <w:tc>
          <w:tcPr>
            <w:tcW w:w="1153" w:type="dxa"/>
            <w:tcBorders/>
            <w:vAlign w:val="center"/>
          </w:tcPr>
          <w:p>
            <w:pPr>
              <w:pStyle w:val="TableContents"/>
              <w:bidi w:val="0"/>
              <w:spacing w:before="0" w:after="0"/>
              <w:jc w:val="both"/>
              <w:rPr/>
            </w:pPr>
            <w:r>
              <w:rPr/>
              <w:t>Section 6.12</w:t>
            </w:r>
          </w:p>
        </w:tc>
        <w:tc>
          <w:tcPr>
            <w:tcW w:w="8447" w:type="dxa"/>
            <w:tcBorders/>
            <w:vAlign w:val="center"/>
          </w:tcPr>
          <w:p>
            <w:pPr>
              <w:pStyle w:val="TableContents"/>
              <w:bidi w:val="0"/>
              <w:spacing w:before="0" w:after="0"/>
              <w:jc w:val="both"/>
              <w:rPr/>
            </w:pPr>
            <w:r>
              <w:rPr/>
              <w:t>Restoration of Rights and Remedies</w:t>
            </w:r>
          </w:p>
        </w:tc>
        <w:tc>
          <w:tcPr>
            <w:tcW w:w="530" w:type="dxa"/>
            <w:tcBorders/>
            <w:vAlign w:val="center"/>
          </w:tcPr>
          <w:p>
            <w:pPr>
              <w:pStyle w:val="TableContents"/>
              <w:bidi w:val="0"/>
              <w:spacing w:before="0" w:after="0"/>
              <w:jc w:val="right"/>
              <w:rPr/>
            </w:pPr>
            <w:r>
              <w:rPr/>
              <w:t>27</w:t>
            </w:r>
          </w:p>
        </w:tc>
      </w:tr>
      <w:tr>
        <w:trPr/>
        <w:tc>
          <w:tcPr>
            <w:tcW w:w="75" w:type="dxa"/>
            <w:tcBorders/>
            <w:shd w:fill="CCEEFF" w:val="clear"/>
            <w:vAlign w:val="center"/>
          </w:tcPr>
          <w:p>
            <w:pPr>
              <w:pStyle w:val="TableContents"/>
              <w:bidi w:val="0"/>
              <w:spacing w:before="0" w:after="283"/>
              <w:jc w:val="both"/>
              <w:rPr/>
            </w:pPr>
            <w:r>
              <w:rPr/>
              <w:t> </w:t>
            </w:r>
          </w:p>
        </w:tc>
        <w:tc>
          <w:tcPr>
            <w:tcW w:w="1153" w:type="dxa"/>
            <w:tcBorders/>
            <w:shd w:fill="CCEEFF" w:val="clear"/>
            <w:vAlign w:val="center"/>
          </w:tcPr>
          <w:p>
            <w:pPr>
              <w:pStyle w:val="TableContents"/>
              <w:bidi w:val="0"/>
              <w:spacing w:before="0" w:after="283"/>
              <w:jc w:val="both"/>
              <w:rPr/>
            </w:pPr>
            <w:r>
              <w:rPr/>
              <w:t> </w:t>
            </w:r>
          </w:p>
        </w:tc>
        <w:tc>
          <w:tcPr>
            <w:tcW w:w="8447" w:type="dxa"/>
            <w:tcBorders/>
            <w:shd w:fill="CCEEFF" w:val="clear"/>
            <w:vAlign w:val="center"/>
          </w:tcPr>
          <w:p>
            <w:pPr>
              <w:pStyle w:val="TableContents"/>
              <w:bidi w:val="0"/>
              <w:spacing w:before="0" w:after="283"/>
              <w:jc w:val="both"/>
              <w:rPr/>
            </w:pPr>
            <w:r>
              <w:rPr/>
              <w:t> </w:t>
            </w:r>
          </w:p>
        </w:tc>
        <w:tc>
          <w:tcPr>
            <w:tcW w:w="530" w:type="dxa"/>
            <w:tcBorders/>
            <w:shd w:fill="CCEEFF" w:val="clear"/>
            <w:vAlign w:val="center"/>
          </w:tcPr>
          <w:p>
            <w:pPr>
              <w:pStyle w:val="TableContents"/>
              <w:bidi w:val="0"/>
              <w:spacing w:before="0" w:after="283"/>
              <w:jc w:val="right"/>
              <w:rPr/>
            </w:pPr>
            <w:r>
              <w:rPr/>
              <w:t> </w:t>
            </w:r>
          </w:p>
        </w:tc>
      </w:tr>
      <w:tr>
        <w:trPr/>
        <w:tc>
          <w:tcPr>
            <w:tcW w:w="9675" w:type="dxa"/>
            <w:gridSpan w:val="3"/>
            <w:tcBorders/>
            <w:vAlign w:val="center"/>
          </w:tcPr>
          <w:p>
            <w:pPr>
              <w:pStyle w:val="TableContents"/>
              <w:bidi w:val="0"/>
              <w:spacing w:before="0" w:after="0"/>
              <w:jc w:val="both"/>
              <w:rPr/>
            </w:pPr>
            <w:r>
              <w:rPr/>
              <w:t>ARTICLE 7 TRUSTEE</w:t>
            </w:r>
          </w:p>
        </w:tc>
        <w:tc>
          <w:tcPr>
            <w:tcW w:w="530" w:type="dxa"/>
            <w:tcBorders/>
            <w:vAlign w:val="center"/>
          </w:tcPr>
          <w:p>
            <w:pPr>
              <w:pStyle w:val="TableContents"/>
              <w:bidi w:val="0"/>
              <w:spacing w:before="0" w:after="283"/>
              <w:jc w:val="right"/>
              <w:rPr/>
            </w:pPr>
            <w:r>
              <w:rPr/>
              <w:t>28</w:t>
            </w:r>
          </w:p>
        </w:tc>
      </w:tr>
      <w:tr>
        <w:trPr/>
        <w:tc>
          <w:tcPr>
            <w:tcW w:w="9675" w:type="dxa"/>
            <w:gridSpan w:val="3"/>
            <w:tcBorders/>
            <w:shd w:fill="CCEEFF" w:val="clear"/>
            <w:vAlign w:val="center"/>
          </w:tcPr>
          <w:p>
            <w:pPr>
              <w:pStyle w:val="TableContents"/>
              <w:bidi w:val="0"/>
              <w:spacing w:before="0" w:after="283"/>
              <w:jc w:val="both"/>
              <w:rPr/>
            </w:pPr>
            <w:r>
              <w:rPr/>
              <w:t> </w:t>
            </w:r>
          </w:p>
        </w:tc>
        <w:tc>
          <w:tcPr>
            <w:tcW w:w="530" w:type="dxa"/>
            <w:tcBorders/>
            <w:shd w:fill="CCEEFF" w:val="clear"/>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both"/>
              <w:rPr/>
            </w:pPr>
            <w:r>
              <w:rPr/>
              <w:t> </w:t>
            </w:r>
          </w:p>
        </w:tc>
        <w:tc>
          <w:tcPr>
            <w:tcW w:w="1153" w:type="dxa"/>
            <w:tcBorders/>
            <w:vAlign w:val="center"/>
          </w:tcPr>
          <w:p>
            <w:pPr>
              <w:pStyle w:val="TableContents"/>
              <w:bidi w:val="0"/>
              <w:spacing w:before="0" w:after="0"/>
              <w:jc w:val="both"/>
              <w:rPr/>
            </w:pPr>
            <w:r>
              <w:rPr/>
              <w:t>Section 7.01</w:t>
            </w:r>
          </w:p>
        </w:tc>
        <w:tc>
          <w:tcPr>
            <w:tcW w:w="8447" w:type="dxa"/>
            <w:tcBorders/>
            <w:vAlign w:val="center"/>
          </w:tcPr>
          <w:p>
            <w:pPr>
              <w:pStyle w:val="TableContents"/>
              <w:bidi w:val="0"/>
              <w:spacing w:before="0" w:after="0"/>
              <w:jc w:val="both"/>
              <w:rPr/>
            </w:pPr>
            <w:r>
              <w:rPr/>
              <w:t>Duties of Trustee</w:t>
            </w:r>
          </w:p>
        </w:tc>
        <w:tc>
          <w:tcPr>
            <w:tcW w:w="530" w:type="dxa"/>
            <w:tcBorders/>
            <w:vAlign w:val="center"/>
          </w:tcPr>
          <w:p>
            <w:pPr>
              <w:pStyle w:val="TableContents"/>
              <w:bidi w:val="0"/>
              <w:spacing w:before="0" w:after="0"/>
              <w:jc w:val="right"/>
              <w:rPr/>
            </w:pPr>
            <w:r>
              <w:rPr/>
              <w:t>28</w:t>
            </w:r>
          </w:p>
        </w:tc>
      </w:tr>
      <w:tr>
        <w:trPr/>
        <w:tc>
          <w:tcPr>
            <w:tcW w:w="75" w:type="dxa"/>
            <w:tcBorders/>
            <w:shd w:fill="CCEEFF" w:val="clear"/>
            <w:vAlign w:val="center"/>
          </w:tcPr>
          <w:p>
            <w:pPr>
              <w:pStyle w:val="TableContents"/>
              <w:bidi w:val="0"/>
              <w:spacing w:before="0" w:after="283"/>
              <w:jc w:val="both"/>
              <w:rPr/>
            </w:pPr>
            <w:r>
              <w:rPr/>
              <w:t> </w:t>
            </w:r>
          </w:p>
        </w:tc>
        <w:tc>
          <w:tcPr>
            <w:tcW w:w="1153" w:type="dxa"/>
            <w:tcBorders/>
            <w:shd w:fill="CCEEFF" w:val="clear"/>
            <w:vAlign w:val="center"/>
          </w:tcPr>
          <w:p>
            <w:pPr>
              <w:pStyle w:val="TableContents"/>
              <w:bidi w:val="0"/>
              <w:spacing w:before="0" w:after="0"/>
              <w:jc w:val="both"/>
              <w:rPr/>
            </w:pPr>
            <w:r>
              <w:rPr/>
              <w:t>Section 7.02</w:t>
            </w:r>
          </w:p>
        </w:tc>
        <w:tc>
          <w:tcPr>
            <w:tcW w:w="8447" w:type="dxa"/>
            <w:tcBorders/>
            <w:shd w:fill="CCEEFF" w:val="clear"/>
            <w:vAlign w:val="center"/>
          </w:tcPr>
          <w:p>
            <w:pPr>
              <w:pStyle w:val="TableContents"/>
              <w:bidi w:val="0"/>
              <w:spacing w:before="0" w:after="0"/>
              <w:jc w:val="both"/>
              <w:rPr/>
            </w:pPr>
            <w:r>
              <w:rPr/>
              <w:t>Rights of Trustee</w:t>
            </w:r>
          </w:p>
        </w:tc>
        <w:tc>
          <w:tcPr>
            <w:tcW w:w="530" w:type="dxa"/>
            <w:tcBorders/>
            <w:shd w:fill="CCEEFF" w:val="clear"/>
            <w:vAlign w:val="center"/>
          </w:tcPr>
          <w:p>
            <w:pPr>
              <w:pStyle w:val="TableContents"/>
              <w:bidi w:val="0"/>
              <w:spacing w:before="0" w:after="0"/>
              <w:jc w:val="right"/>
              <w:rPr/>
            </w:pPr>
            <w:r>
              <w:rPr/>
              <w:t>29</w:t>
            </w:r>
          </w:p>
        </w:tc>
      </w:tr>
      <w:tr>
        <w:trPr/>
        <w:tc>
          <w:tcPr>
            <w:tcW w:w="75" w:type="dxa"/>
            <w:tcBorders/>
            <w:vAlign w:val="center"/>
          </w:tcPr>
          <w:p>
            <w:pPr>
              <w:pStyle w:val="TableContents"/>
              <w:bidi w:val="0"/>
              <w:spacing w:before="0" w:after="283"/>
              <w:jc w:val="both"/>
              <w:rPr/>
            </w:pPr>
            <w:r>
              <w:rPr/>
              <w:t> </w:t>
            </w:r>
          </w:p>
        </w:tc>
        <w:tc>
          <w:tcPr>
            <w:tcW w:w="1153" w:type="dxa"/>
            <w:tcBorders/>
            <w:vAlign w:val="center"/>
          </w:tcPr>
          <w:p>
            <w:pPr>
              <w:pStyle w:val="TableContents"/>
              <w:bidi w:val="0"/>
              <w:spacing w:before="0" w:after="0"/>
              <w:jc w:val="both"/>
              <w:rPr/>
            </w:pPr>
            <w:r>
              <w:rPr/>
              <w:t>Section 7.03</w:t>
            </w:r>
          </w:p>
        </w:tc>
        <w:tc>
          <w:tcPr>
            <w:tcW w:w="8447" w:type="dxa"/>
            <w:tcBorders/>
            <w:vAlign w:val="center"/>
          </w:tcPr>
          <w:p>
            <w:pPr>
              <w:pStyle w:val="TableContents"/>
              <w:bidi w:val="0"/>
              <w:spacing w:before="0" w:after="0"/>
              <w:jc w:val="both"/>
              <w:rPr/>
            </w:pPr>
            <w:r>
              <w:rPr/>
              <w:t>Individual Rights of Trustee</w:t>
            </w:r>
          </w:p>
        </w:tc>
        <w:tc>
          <w:tcPr>
            <w:tcW w:w="530" w:type="dxa"/>
            <w:tcBorders/>
            <w:vAlign w:val="center"/>
          </w:tcPr>
          <w:p>
            <w:pPr>
              <w:pStyle w:val="TableContents"/>
              <w:bidi w:val="0"/>
              <w:spacing w:before="0" w:after="0"/>
              <w:jc w:val="right"/>
              <w:rPr/>
            </w:pPr>
            <w:r>
              <w:rPr/>
              <w:t>30</w:t>
            </w:r>
          </w:p>
        </w:tc>
      </w:tr>
      <w:tr>
        <w:trPr/>
        <w:tc>
          <w:tcPr>
            <w:tcW w:w="75" w:type="dxa"/>
            <w:tcBorders/>
            <w:shd w:fill="CCEEFF" w:val="clear"/>
            <w:vAlign w:val="center"/>
          </w:tcPr>
          <w:p>
            <w:pPr>
              <w:pStyle w:val="TableContents"/>
              <w:bidi w:val="0"/>
              <w:spacing w:before="0" w:after="283"/>
              <w:jc w:val="both"/>
              <w:rPr/>
            </w:pPr>
            <w:r>
              <w:rPr/>
              <w:t> </w:t>
            </w:r>
          </w:p>
        </w:tc>
        <w:tc>
          <w:tcPr>
            <w:tcW w:w="1153" w:type="dxa"/>
            <w:tcBorders/>
            <w:shd w:fill="CCEEFF" w:val="clear"/>
            <w:vAlign w:val="center"/>
          </w:tcPr>
          <w:p>
            <w:pPr>
              <w:pStyle w:val="TableContents"/>
              <w:bidi w:val="0"/>
              <w:spacing w:before="0" w:after="0"/>
              <w:jc w:val="both"/>
              <w:rPr/>
            </w:pPr>
            <w:r>
              <w:rPr/>
              <w:t>Section 7.04</w:t>
            </w:r>
          </w:p>
        </w:tc>
        <w:tc>
          <w:tcPr>
            <w:tcW w:w="8447" w:type="dxa"/>
            <w:tcBorders/>
            <w:shd w:fill="CCEEFF" w:val="clear"/>
            <w:vAlign w:val="center"/>
          </w:tcPr>
          <w:p>
            <w:pPr>
              <w:pStyle w:val="TableContents"/>
              <w:bidi w:val="0"/>
              <w:spacing w:before="0" w:after="0"/>
              <w:jc w:val="both"/>
              <w:rPr/>
            </w:pPr>
            <w:r>
              <w:rPr/>
              <w:t>Trustee’s Disclaimer</w:t>
            </w:r>
          </w:p>
        </w:tc>
        <w:tc>
          <w:tcPr>
            <w:tcW w:w="530" w:type="dxa"/>
            <w:tcBorders/>
            <w:shd w:fill="CCEEFF" w:val="clear"/>
            <w:vAlign w:val="center"/>
          </w:tcPr>
          <w:p>
            <w:pPr>
              <w:pStyle w:val="TableContents"/>
              <w:bidi w:val="0"/>
              <w:spacing w:before="0" w:after="0"/>
              <w:jc w:val="right"/>
              <w:rPr/>
            </w:pPr>
            <w:r>
              <w:rPr/>
              <w:t>30</w:t>
            </w:r>
          </w:p>
        </w:tc>
      </w:tr>
      <w:tr>
        <w:trPr/>
        <w:tc>
          <w:tcPr>
            <w:tcW w:w="75" w:type="dxa"/>
            <w:tcBorders/>
            <w:vAlign w:val="center"/>
          </w:tcPr>
          <w:p>
            <w:pPr>
              <w:pStyle w:val="TableContents"/>
              <w:bidi w:val="0"/>
              <w:spacing w:before="0" w:after="283"/>
              <w:jc w:val="both"/>
              <w:rPr/>
            </w:pPr>
            <w:r>
              <w:rPr/>
              <w:t> </w:t>
            </w:r>
          </w:p>
        </w:tc>
        <w:tc>
          <w:tcPr>
            <w:tcW w:w="1153" w:type="dxa"/>
            <w:tcBorders/>
            <w:vAlign w:val="center"/>
          </w:tcPr>
          <w:p>
            <w:pPr>
              <w:pStyle w:val="TableContents"/>
              <w:bidi w:val="0"/>
              <w:spacing w:before="0" w:after="0"/>
              <w:jc w:val="both"/>
              <w:rPr/>
            </w:pPr>
            <w:r>
              <w:rPr/>
              <w:t>Section 7.05</w:t>
            </w:r>
          </w:p>
        </w:tc>
        <w:tc>
          <w:tcPr>
            <w:tcW w:w="8447" w:type="dxa"/>
            <w:tcBorders/>
            <w:vAlign w:val="center"/>
          </w:tcPr>
          <w:p>
            <w:pPr>
              <w:pStyle w:val="TableContents"/>
              <w:bidi w:val="0"/>
              <w:spacing w:before="0" w:after="0"/>
              <w:jc w:val="both"/>
              <w:rPr/>
            </w:pPr>
            <w:r>
              <w:rPr/>
              <w:t>Notice of Defaults</w:t>
            </w:r>
          </w:p>
        </w:tc>
        <w:tc>
          <w:tcPr>
            <w:tcW w:w="530" w:type="dxa"/>
            <w:tcBorders/>
            <w:vAlign w:val="center"/>
          </w:tcPr>
          <w:p>
            <w:pPr>
              <w:pStyle w:val="TableContents"/>
              <w:bidi w:val="0"/>
              <w:spacing w:before="0" w:after="0"/>
              <w:jc w:val="right"/>
              <w:rPr/>
            </w:pPr>
            <w:r>
              <w:rPr/>
              <w:t>30</w:t>
            </w:r>
          </w:p>
        </w:tc>
      </w:tr>
      <w:tr>
        <w:trPr/>
        <w:tc>
          <w:tcPr>
            <w:tcW w:w="75" w:type="dxa"/>
            <w:tcBorders/>
            <w:shd w:fill="CCEEFF" w:val="clear"/>
            <w:vAlign w:val="center"/>
          </w:tcPr>
          <w:p>
            <w:pPr>
              <w:pStyle w:val="TableContents"/>
              <w:bidi w:val="0"/>
              <w:spacing w:before="0" w:after="283"/>
              <w:jc w:val="both"/>
              <w:rPr/>
            </w:pPr>
            <w:r>
              <w:rPr/>
              <w:t> </w:t>
            </w:r>
          </w:p>
        </w:tc>
        <w:tc>
          <w:tcPr>
            <w:tcW w:w="1153" w:type="dxa"/>
            <w:tcBorders/>
            <w:shd w:fill="CCEEFF" w:val="clear"/>
            <w:vAlign w:val="center"/>
          </w:tcPr>
          <w:p>
            <w:pPr>
              <w:pStyle w:val="TableContents"/>
              <w:bidi w:val="0"/>
              <w:spacing w:before="0" w:after="0"/>
              <w:jc w:val="both"/>
              <w:rPr/>
            </w:pPr>
            <w:r>
              <w:rPr/>
              <w:t>Section 7.06</w:t>
            </w:r>
          </w:p>
        </w:tc>
        <w:tc>
          <w:tcPr>
            <w:tcW w:w="8447" w:type="dxa"/>
            <w:tcBorders/>
            <w:shd w:fill="CCEEFF" w:val="clear"/>
            <w:vAlign w:val="center"/>
          </w:tcPr>
          <w:p>
            <w:pPr>
              <w:pStyle w:val="TableContents"/>
              <w:bidi w:val="0"/>
              <w:spacing w:before="0" w:after="0"/>
              <w:jc w:val="both"/>
              <w:rPr/>
            </w:pPr>
            <w:r>
              <w:rPr/>
              <w:t>Reports by Trustee to Holders of the Notes</w:t>
            </w:r>
          </w:p>
        </w:tc>
        <w:tc>
          <w:tcPr>
            <w:tcW w:w="530" w:type="dxa"/>
            <w:tcBorders/>
            <w:shd w:fill="CCEEFF" w:val="clear"/>
            <w:vAlign w:val="center"/>
          </w:tcPr>
          <w:p>
            <w:pPr>
              <w:pStyle w:val="TableContents"/>
              <w:bidi w:val="0"/>
              <w:spacing w:before="0" w:after="0"/>
              <w:jc w:val="right"/>
              <w:rPr/>
            </w:pPr>
            <w:r>
              <w:rPr/>
              <w:t>30</w:t>
            </w:r>
          </w:p>
        </w:tc>
      </w:tr>
      <w:tr>
        <w:trPr/>
        <w:tc>
          <w:tcPr>
            <w:tcW w:w="75" w:type="dxa"/>
            <w:tcBorders/>
            <w:vAlign w:val="center"/>
          </w:tcPr>
          <w:p>
            <w:pPr>
              <w:pStyle w:val="TableContents"/>
              <w:bidi w:val="0"/>
              <w:spacing w:before="0" w:after="283"/>
              <w:jc w:val="both"/>
              <w:rPr/>
            </w:pPr>
            <w:r>
              <w:rPr/>
              <w:t> </w:t>
            </w:r>
          </w:p>
        </w:tc>
        <w:tc>
          <w:tcPr>
            <w:tcW w:w="1153" w:type="dxa"/>
            <w:tcBorders/>
            <w:vAlign w:val="center"/>
          </w:tcPr>
          <w:p>
            <w:pPr>
              <w:pStyle w:val="TableContents"/>
              <w:bidi w:val="0"/>
              <w:spacing w:before="0" w:after="0"/>
              <w:jc w:val="both"/>
              <w:rPr/>
            </w:pPr>
            <w:r>
              <w:rPr/>
              <w:t>Section 7.07</w:t>
            </w:r>
          </w:p>
        </w:tc>
        <w:tc>
          <w:tcPr>
            <w:tcW w:w="8447" w:type="dxa"/>
            <w:tcBorders/>
            <w:vAlign w:val="center"/>
          </w:tcPr>
          <w:p>
            <w:pPr>
              <w:pStyle w:val="TableContents"/>
              <w:bidi w:val="0"/>
              <w:spacing w:before="0" w:after="0"/>
              <w:jc w:val="both"/>
              <w:rPr/>
            </w:pPr>
            <w:r>
              <w:rPr/>
              <w:t>Compensation and Indemnity</w:t>
            </w:r>
          </w:p>
        </w:tc>
        <w:tc>
          <w:tcPr>
            <w:tcW w:w="530" w:type="dxa"/>
            <w:tcBorders/>
            <w:vAlign w:val="center"/>
          </w:tcPr>
          <w:p>
            <w:pPr>
              <w:pStyle w:val="TableContents"/>
              <w:bidi w:val="0"/>
              <w:spacing w:before="0" w:after="0"/>
              <w:jc w:val="right"/>
              <w:rPr/>
            </w:pPr>
            <w:r>
              <w:rPr/>
              <w:t>31</w:t>
            </w:r>
          </w:p>
        </w:tc>
      </w:tr>
      <w:tr>
        <w:trPr/>
        <w:tc>
          <w:tcPr>
            <w:tcW w:w="75" w:type="dxa"/>
            <w:tcBorders/>
            <w:shd w:fill="CCEEFF" w:val="clear"/>
            <w:vAlign w:val="center"/>
          </w:tcPr>
          <w:p>
            <w:pPr>
              <w:pStyle w:val="TableContents"/>
              <w:bidi w:val="0"/>
              <w:spacing w:before="0" w:after="283"/>
              <w:jc w:val="both"/>
              <w:rPr/>
            </w:pPr>
            <w:r>
              <w:rPr/>
              <w:t> </w:t>
            </w:r>
          </w:p>
        </w:tc>
        <w:tc>
          <w:tcPr>
            <w:tcW w:w="1153" w:type="dxa"/>
            <w:tcBorders/>
            <w:shd w:fill="CCEEFF" w:val="clear"/>
            <w:vAlign w:val="center"/>
          </w:tcPr>
          <w:p>
            <w:pPr>
              <w:pStyle w:val="TableContents"/>
              <w:bidi w:val="0"/>
              <w:spacing w:before="0" w:after="0"/>
              <w:jc w:val="both"/>
              <w:rPr/>
            </w:pPr>
            <w:r>
              <w:rPr/>
              <w:t>Section 7.08</w:t>
            </w:r>
          </w:p>
        </w:tc>
        <w:tc>
          <w:tcPr>
            <w:tcW w:w="8447" w:type="dxa"/>
            <w:tcBorders/>
            <w:shd w:fill="CCEEFF" w:val="clear"/>
            <w:vAlign w:val="center"/>
          </w:tcPr>
          <w:p>
            <w:pPr>
              <w:pStyle w:val="TableContents"/>
              <w:bidi w:val="0"/>
              <w:spacing w:before="0" w:after="0"/>
              <w:jc w:val="both"/>
              <w:rPr/>
            </w:pPr>
            <w:r>
              <w:rPr/>
              <w:t>Replacement of Trustee</w:t>
            </w:r>
          </w:p>
        </w:tc>
        <w:tc>
          <w:tcPr>
            <w:tcW w:w="530" w:type="dxa"/>
            <w:tcBorders/>
            <w:shd w:fill="CCEEFF" w:val="clear"/>
            <w:vAlign w:val="center"/>
          </w:tcPr>
          <w:p>
            <w:pPr>
              <w:pStyle w:val="TableContents"/>
              <w:bidi w:val="0"/>
              <w:spacing w:before="0" w:after="0"/>
              <w:jc w:val="right"/>
              <w:rPr/>
            </w:pPr>
            <w:r>
              <w:rPr/>
              <w:t>32</w:t>
            </w:r>
          </w:p>
        </w:tc>
      </w:tr>
      <w:tr>
        <w:trPr/>
        <w:tc>
          <w:tcPr>
            <w:tcW w:w="75" w:type="dxa"/>
            <w:tcBorders/>
            <w:vAlign w:val="center"/>
          </w:tcPr>
          <w:p>
            <w:pPr>
              <w:pStyle w:val="TableContents"/>
              <w:bidi w:val="0"/>
              <w:spacing w:before="0" w:after="283"/>
              <w:jc w:val="both"/>
              <w:rPr/>
            </w:pPr>
            <w:r>
              <w:rPr/>
              <w:t> </w:t>
            </w:r>
          </w:p>
        </w:tc>
        <w:tc>
          <w:tcPr>
            <w:tcW w:w="1153" w:type="dxa"/>
            <w:tcBorders/>
            <w:vAlign w:val="center"/>
          </w:tcPr>
          <w:p>
            <w:pPr>
              <w:pStyle w:val="TableContents"/>
              <w:bidi w:val="0"/>
              <w:spacing w:before="0" w:after="0"/>
              <w:jc w:val="both"/>
              <w:rPr/>
            </w:pPr>
            <w:r>
              <w:rPr/>
              <w:t>Section 7.09</w:t>
            </w:r>
          </w:p>
        </w:tc>
        <w:tc>
          <w:tcPr>
            <w:tcW w:w="8447" w:type="dxa"/>
            <w:tcBorders/>
            <w:vAlign w:val="center"/>
          </w:tcPr>
          <w:p>
            <w:pPr>
              <w:pStyle w:val="TableContents"/>
              <w:bidi w:val="0"/>
              <w:spacing w:before="0" w:after="0"/>
              <w:jc w:val="both"/>
              <w:rPr/>
            </w:pPr>
            <w:r>
              <w:rPr/>
              <w:t>Successor Trustee by Merger, etc</w:t>
            </w:r>
          </w:p>
        </w:tc>
        <w:tc>
          <w:tcPr>
            <w:tcW w:w="530" w:type="dxa"/>
            <w:tcBorders/>
            <w:vAlign w:val="center"/>
          </w:tcPr>
          <w:p>
            <w:pPr>
              <w:pStyle w:val="TableContents"/>
              <w:bidi w:val="0"/>
              <w:spacing w:before="0" w:after="0"/>
              <w:jc w:val="right"/>
              <w:rPr/>
            </w:pPr>
            <w:r>
              <w:rPr/>
              <w:t>32</w:t>
            </w:r>
          </w:p>
        </w:tc>
      </w:tr>
      <w:tr>
        <w:trPr/>
        <w:tc>
          <w:tcPr>
            <w:tcW w:w="75" w:type="dxa"/>
            <w:tcBorders/>
            <w:shd w:fill="CCEEFF" w:val="clear"/>
            <w:vAlign w:val="center"/>
          </w:tcPr>
          <w:p>
            <w:pPr>
              <w:pStyle w:val="TableContents"/>
              <w:bidi w:val="0"/>
              <w:spacing w:before="0" w:after="283"/>
              <w:jc w:val="both"/>
              <w:rPr/>
            </w:pPr>
            <w:r>
              <w:rPr/>
              <w:t> </w:t>
            </w:r>
          </w:p>
        </w:tc>
        <w:tc>
          <w:tcPr>
            <w:tcW w:w="1153" w:type="dxa"/>
            <w:tcBorders/>
            <w:shd w:fill="CCEEFF" w:val="clear"/>
            <w:vAlign w:val="center"/>
          </w:tcPr>
          <w:p>
            <w:pPr>
              <w:pStyle w:val="TableContents"/>
              <w:bidi w:val="0"/>
              <w:spacing w:before="0" w:after="0"/>
              <w:jc w:val="both"/>
              <w:rPr/>
            </w:pPr>
            <w:r>
              <w:rPr/>
              <w:t>Section 7.10</w:t>
            </w:r>
          </w:p>
        </w:tc>
        <w:tc>
          <w:tcPr>
            <w:tcW w:w="8447" w:type="dxa"/>
            <w:tcBorders/>
            <w:shd w:fill="CCEEFF" w:val="clear"/>
            <w:vAlign w:val="center"/>
          </w:tcPr>
          <w:p>
            <w:pPr>
              <w:pStyle w:val="TableContents"/>
              <w:bidi w:val="0"/>
              <w:spacing w:before="0" w:after="0"/>
              <w:jc w:val="both"/>
              <w:rPr/>
            </w:pPr>
            <w:r>
              <w:rPr/>
              <w:t>Eligibility; Disqualification</w:t>
            </w:r>
          </w:p>
        </w:tc>
        <w:tc>
          <w:tcPr>
            <w:tcW w:w="530" w:type="dxa"/>
            <w:tcBorders/>
            <w:shd w:fill="CCEEFF" w:val="clear"/>
            <w:vAlign w:val="center"/>
          </w:tcPr>
          <w:p>
            <w:pPr>
              <w:pStyle w:val="TableContents"/>
              <w:bidi w:val="0"/>
              <w:spacing w:before="0" w:after="0"/>
              <w:jc w:val="right"/>
              <w:rPr/>
            </w:pPr>
            <w:r>
              <w:rPr/>
              <w:t>33</w:t>
            </w:r>
          </w:p>
        </w:tc>
      </w:tr>
      <w:tr>
        <w:trPr/>
        <w:tc>
          <w:tcPr>
            <w:tcW w:w="75" w:type="dxa"/>
            <w:tcBorders/>
            <w:vAlign w:val="center"/>
          </w:tcPr>
          <w:p>
            <w:pPr>
              <w:pStyle w:val="TableContents"/>
              <w:bidi w:val="0"/>
              <w:spacing w:before="0" w:after="283"/>
              <w:jc w:val="both"/>
              <w:rPr/>
            </w:pPr>
            <w:r>
              <w:rPr/>
              <w:t> </w:t>
            </w:r>
          </w:p>
        </w:tc>
        <w:tc>
          <w:tcPr>
            <w:tcW w:w="1153" w:type="dxa"/>
            <w:tcBorders/>
            <w:vAlign w:val="center"/>
          </w:tcPr>
          <w:p>
            <w:pPr>
              <w:pStyle w:val="TableContents"/>
              <w:bidi w:val="0"/>
              <w:spacing w:before="0" w:after="0"/>
              <w:jc w:val="both"/>
              <w:rPr/>
            </w:pPr>
            <w:r>
              <w:rPr/>
              <w:t>Section 7.11</w:t>
            </w:r>
          </w:p>
        </w:tc>
        <w:tc>
          <w:tcPr>
            <w:tcW w:w="8447" w:type="dxa"/>
            <w:tcBorders/>
            <w:vAlign w:val="center"/>
          </w:tcPr>
          <w:p>
            <w:pPr>
              <w:pStyle w:val="TableContents"/>
              <w:bidi w:val="0"/>
              <w:spacing w:before="0" w:after="0"/>
              <w:jc w:val="both"/>
              <w:rPr/>
            </w:pPr>
            <w:r>
              <w:rPr/>
              <w:t>Preferential Collection of Claims Against Issuer</w:t>
            </w:r>
          </w:p>
        </w:tc>
        <w:tc>
          <w:tcPr>
            <w:tcW w:w="530" w:type="dxa"/>
            <w:tcBorders/>
            <w:vAlign w:val="center"/>
          </w:tcPr>
          <w:p>
            <w:pPr>
              <w:pStyle w:val="TableContents"/>
              <w:bidi w:val="0"/>
              <w:spacing w:before="0" w:after="0"/>
              <w:jc w:val="right"/>
              <w:rPr/>
            </w:pPr>
            <w:r>
              <w:rPr/>
              <w:t>33</w:t>
            </w:r>
          </w:p>
        </w:tc>
      </w:tr>
      <w:tr>
        <w:trPr/>
        <w:tc>
          <w:tcPr>
            <w:tcW w:w="75" w:type="dxa"/>
            <w:tcBorders/>
            <w:shd w:fill="CCEEFF" w:val="clear"/>
            <w:vAlign w:val="center"/>
          </w:tcPr>
          <w:p>
            <w:pPr>
              <w:pStyle w:val="TableContents"/>
              <w:bidi w:val="0"/>
              <w:spacing w:before="0" w:after="283"/>
              <w:jc w:val="both"/>
              <w:rPr/>
            </w:pPr>
            <w:r>
              <w:rPr/>
              <w:t> </w:t>
            </w:r>
          </w:p>
        </w:tc>
        <w:tc>
          <w:tcPr>
            <w:tcW w:w="1153" w:type="dxa"/>
            <w:tcBorders/>
            <w:shd w:fill="CCEEFF" w:val="clear"/>
            <w:vAlign w:val="center"/>
          </w:tcPr>
          <w:p>
            <w:pPr>
              <w:pStyle w:val="TableContents"/>
              <w:bidi w:val="0"/>
              <w:spacing w:before="0" w:after="283"/>
              <w:jc w:val="both"/>
              <w:rPr/>
            </w:pPr>
            <w:r>
              <w:rPr/>
              <w:t> </w:t>
            </w:r>
          </w:p>
        </w:tc>
        <w:tc>
          <w:tcPr>
            <w:tcW w:w="8447" w:type="dxa"/>
            <w:tcBorders/>
            <w:shd w:fill="CCEEFF" w:val="clear"/>
            <w:vAlign w:val="center"/>
          </w:tcPr>
          <w:p>
            <w:pPr>
              <w:pStyle w:val="TableContents"/>
              <w:bidi w:val="0"/>
              <w:spacing w:before="0" w:after="283"/>
              <w:jc w:val="both"/>
              <w:rPr/>
            </w:pPr>
            <w:r>
              <w:rPr/>
              <w:t> </w:t>
            </w:r>
          </w:p>
        </w:tc>
        <w:tc>
          <w:tcPr>
            <w:tcW w:w="530" w:type="dxa"/>
            <w:tcBorders/>
            <w:shd w:fill="CCEEFF" w:val="clear"/>
            <w:vAlign w:val="center"/>
          </w:tcPr>
          <w:p>
            <w:pPr>
              <w:pStyle w:val="TableContents"/>
              <w:bidi w:val="0"/>
              <w:spacing w:before="0" w:after="283"/>
              <w:jc w:val="right"/>
              <w:rPr/>
            </w:pPr>
            <w:r>
              <w:rPr/>
              <w:t> </w:t>
            </w:r>
          </w:p>
        </w:tc>
      </w:tr>
      <w:tr>
        <w:trPr/>
        <w:tc>
          <w:tcPr>
            <w:tcW w:w="9675" w:type="dxa"/>
            <w:gridSpan w:val="3"/>
            <w:tcBorders/>
            <w:vAlign w:val="center"/>
          </w:tcPr>
          <w:p>
            <w:pPr>
              <w:pStyle w:val="TableContents"/>
              <w:bidi w:val="0"/>
              <w:spacing w:before="0" w:after="0"/>
              <w:jc w:val="both"/>
              <w:rPr/>
            </w:pPr>
            <w:r>
              <w:rPr/>
              <w:t>ARTICLE 8 LEGAL DEFEASANCE AND COVENANT DEFEASANCE</w:t>
            </w:r>
          </w:p>
        </w:tc>
        <w:tc>
          <w:tcPr>
            <w:tcW w:w="530" w:type="dxa"/>
            <w:tcBorders/>
            <w:vAlign w:val="center"/>
          </w:tcPr>
          <w:p>
            <w:pPr>
              <w:pStyle w:val="TableContents"/>
              <w:bidi w:val="0"/>
              <w:spacing w:before="0" w:after="283"/>
              <w:jc w:val="right"/>
              <w:rPr/>
            </w:pPr>
            <w:r>
              <w:rPr/>
              <w:t>33</w:t>
            </w:r>
          </w:p>
        </w:tc>
      </w:tr>
      <w:tr>
        <w:trPr/>
        <w:tc>
          <w:tcPr>
            <w:tcW w:w="9675" w:type="dxa"/>
            <w:gridSpan w:val="3"/>
            <w:tcBorders/>
            <w:shd w:fill="CCEEFF" w:val="clear"/>
            <w:vAlign w:val="center"/>
          </w:tcPr>
          <w:p>
            <w:pPr>
              <w:pStyle w:val="TableContents"/>
              <w:bidi w:val="0"/>
              <w:spacing w:before="0" w:after="283"/>
              <w:jc w:val="both"/>
              <w:rPr/>
            </w:pPr>
            <w:r>
              <w:rPr/>
              <w:t> </w:t>
            </w:r>
          </w:p>
        </w:tc>
        <w:tc>
          <w:tcPr>
            <w:tcW w:w="530" w:type="dxa"/>
            <w:tcBorders/>
            <w:shd w:fill="CCEEFF" w:val="clear"/>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both"/>
              <w:rPr/>
            </w:pPr>
            <w:r>
              <w:rPr/>
              <w:t> </w:t>
            </w:r>
          </w:p>
        </w:tc>
        <w:tc>
          <w:tcPr>
            <w:tcW w:w="1153" w:type="dxa"/>
            <w:tcBorders/>
            <w:vAlign w:val="center"/>
          </w:tcPr>
          <w:p>
            <w:pPr>
              <w:pStyle w:val="TableContents"/>
              <w:bidi w:val="0"/>
              <w:spacing w:before="0" w:after="0"/>
              <w:jc w:val="both"/>
              <w:rPr/>
            </w:pPr>
            <w:r>
              <w:rPr/>
              <w:t>Section 8.01</w:t>
            </w:r>
          </w:p>
        </w:tc>
        <w:tc>
          <w:tcPr>
            <w:tcW w:w="8447" w:type="dxa"/>
            <w:tcBorders/>
            <w:vAlign w:val="center"/>
          </w:tcPr>
          <w:p>
            <w:pPr>
              <w:pStyle w:val="TableContents"/>
              <w:bidi w:val="0"/>
              <w:spacing w:before="0" w:after="0"/>
              <w:jc w:val="both"/>
              <w:rPr/>
            </w:pPr>
            <w:r>
              <w:rPr/>
              <w:t>Option to Effect Legal Defeasance or Covenant Defeasance</w:t>
            </w:r>
          </w:p>
        </w:tc>
        <w:tc>
          <w:tcPr>
            <w:tcW w:w="530" w:type="dxa"/>
            <w:tcBorders/>
            <w:vAlign w:val="center"/>
          </w:tcPr>
          <w:p>
            <w:pPr>
              <w:pStyle w:val="TableContents"/>
              <w:bidi w:val="0"/>
              <w:spacing w:before="0" w:after="0"/>
              <w:jc w:val="right"/>
              <w:rPr/>
            </w:pPr>
            <w:r>
              <w:rPr/>
              <w:t>33</w:t>
            </w:r>
          </w:p>
        </w:tc>
      </w:tr>
      <w:tr>
        <w:trPr/>
        <w:tc>
          <w:tcPr>
            <w:tcW w:w="75" w:type="dxa"/>
            <w:tcBorders/>
            <w:shd w:fill="CCEEFF" w:val="clear"/>
            <w:vAlign w:val="center"/>
          </w:tcPr>
          <w:p>
            <w:pPr>
              <w:pStyle w:val="TableContents"/>
              <w:bidi w:val="0"/>
              <w:spacing w:before="0" w:after="283"/>
              <w:jc w:val="both"/>
              <w:rPr/>
            </w:pPr>
            <w:r>
              <w:rPr/>
              <w:t> </w:t>
            </w:r>
          </w:p>
        </w:tc>
        <w:tc>
          <w:tcPr>
            <w:tcW w:w="1153" w:type="dxa"/>
            <w:tcBorders/>
            <w:shd w:fill="CCEEFF" w:val="clear"/>
            <w:vAlign w:val="center"/>
          </w:tcPr>
          <w:p>
            <w:pPr>
              <w:pStyle w:val="TableContents"/>
              <w:bidi w:val="0"/>
              <w:spacing w:before="0" w:after="0"/>
              <w:jc w:val="both"/>
              <w:rPr/>
            </w:pPr>
            <w:r>
              <w:rPr/>
              <w:t>Section 8.02</w:t>
            </w:r>
          </w:p>
        </w:tc>
        <w:tc>
          <w:tcPr>
            <w:tcW w:w="8447" w:type="dxa"/>
            <w:tcBorders/>
            <w:shd w:fill="CCEEFF" w:val="clear"/>
            <w:vAlign w:val="center"/>
          </w:tcPr>
          <w:p>
            <w:pPr>
              <w:pStyle w:val="TableContents"/>
              <w:bidi w:val="0"/>
              <w:spacing w:before="0" w:after="0"/>
              <w:jc w:val="both"/>
              <w:rPr/>
            </w:pPr>
            <w:r>
              <w:rPr/>
              <w:t>Legal Defeasance and Discharge</w:t>
            </w:r>
          </w:p>
        </w:tc>
        <w:tc>
          <w:tcPr>
            <w:tcW w:w="530" w:type="dxa"/>
            <w:tcBorders/>
            <w:shd w:fill="CCEEFF" w:val="clear"/>
            <w:vAlign w:val="center"/>
          </w:tcPr>
          <w:p>
            <w:pPr>
              <w:pStyle w:val="TableContents"/>
              <w:bidi w:val="0"/>
              <w:spacing w:before="0" w:after="0"/>
              <w:jc w:val="right"/>
              <w:rPr/>
            </w:pPr>
            <w:r>
              <w:rPr/>
              <w:t>33</w:t>
            </w:r>
          </w:p>
        </w:tc>
      </w:tr>
      <w:tr>
        <w:trPr/>
        <w:tc>
          <w:tcPr>
            <w:tcW w:w="75" w:type="dxa"/>
            <w:tcBorders/>
            <w:vAlign w:val="center"/>
          </w:tcPr>
          <w:p>
            <w:pPr>
              <w:pStyle w:val="TableContents"/>
              <w:bidi w:val="0"/>
              <w:spacing w:before="0" w:after="283"/>
              <w:jc w:val="both"/>
              <w:rPr/>
            </w:pPr>
            <w:r>
              <w:rPr/>
              <w:t> </w:t>
            </w:r>
          </w:p>
        </w:tc>
        <w:tc>
          <w:tcPr>
            <w:tcW w:w="1153" w:type="dxa"/>
            <w:tcBorders/>
            <w:vAlign w:val="center"/>
          </w:tcPr>
          <w:p>
            <w:pPr>
              <w:pStyle w:val="TableContents"/>
              <w:bidi w:val="0"/>
              <w:spacing w:before="0" w:after="0"/>
              <w:jc w:val="both"/>
              <w:rPr/>
            </w:pPr>
            <w:r>
              <w:rPr/>
              <w:t>Section 8.03</w:t>
            </w:r>
          </w:p>
        </w:tc>
        <w:tc>
          <w:tcPr>
            <w:tcW w:w="8447" w:type="dxa"/>
            <w:tcBorders/>
            <w:vAlign w:val="center"/>
          </w:tcPr>
          <w:p>
            <w:pPr>
              <w:pStyle w:val="TableContents"/>
              <w:bidi w:val="0"/>
              <w:spacing w:before="0" w:after="0"/>
              <w:jc w:val="both"/>
              <w:rPr/>
            </w:pPr>
            <w:r>
              <w:rPr/>
              <w:t>Covenant Defeasance</w:t>
            </w:r>
          </w:p>
        </w:tc>
        <w:tc>
          <w:tcPr>
            <w:tcW w:w="530" w:type="dxa"/>
            <w:tcBorders/>
            <w:vAlign w:val="center"/>
          </w:tcPr>
          <w:p>
            <w:pPr>
              <w:pStyle w:val="TableContents"/>
              <w:bidi w:val="0"/>
              <w:spacing w:before="0" w:after="0"/>
              <w:jc w:val="right"/>
              <w:rPr/>
            </w:pPr>
            <w:r>
              <w:rPr/>
              <w:t>34</w:t>
            </w:r>
          </w:p>
        </w:tc>
      </w:tr>
      <w:tr>
        <w:trPr/>
        <w:tc>
          <w:tcPr>
            <w:tcW w:w="75" w:type="dxa"/>
            <w:tcBorders/>
            <w:shd w:fill="CCEEFF" w:val="clear"/>
            <w:vAlign w:val="center"/>
          </w:tcPr>
          <w:p>
            <w:pPr>
              <w:pStyle w:val="TableContents"/>
              <w:bidi w:val="0"/>
              <w:spacing w:before="0" w:after="283"/>
              <w:jc w:val="both"/>
              <w:rPr/>
            </w:pPr>
            <w:r>
              <w:rPr/>
              <w:t> </w:t>
            </w:r>
          </w:p>
        </w:tc>
        <w:tc>
          <w:tcPr>
            <w:tcW w:w="1153" w:type="dxa"/>
            <w:tcBorders/>
            <w:shd w:fill="CCEEFF" w:val="clear"/>
            <w:vAlign w:val="center"/>
          </w:tcPr>
          <w:p>
            <w:pPr>
              <w:pStyle w:val="TableContents"/>
              <w:bidi w:val="0"/>
              <w:spacing w:before="0" w:after="0"/>
              <w:jc w:val="both"/>
              <w:rPr/>
            </w:pPr>
            <w:r>
              <w:rPr/>
              <w:t>Section 8.04</w:t>
            </w:r>
          </w:p>
        </w:tc>
        <w:tc>
          <w:tcPr>
            <w:tcW w:w="8447" w:type="dxa"/>
            <w:tcBorders/>
            <w:shd w:fill="CCEEFF" w:val="clear"/>
            <w:vAlign w:val="center"/>
          </w:tcPr>
          <w:p>
            <w:pPr>
              <w:pStyle w:val="TableContents"/>
              <w:bidi w:val="0"/>
              <w:spacing w:before="0" w:after="0"/>
              <w:jc w:val="both"/>
              <w:rPr/>
            </w:pPr>
            <w:r>
              <w:rPr/>
              <w:t>Conditions to Legal or Covenant Defeasance</w:t>
            </w:r>
          </w:p>
        </w:tc>
        <w:tc>
          <w:tcPr>
            <w:tcW w:w="530" w:type="dxa"/>
            <w:tcBorders/>
            <w:shd w:fill="CCEEFF" w:val="clear"/>
            <w:vAlign w:val="center"/>
          </w:tcPr>
          <w:p>
            <w:pPr>
              <w:pStyle w:val="TableContents"/>
              <w:bidi w:val="0"/>
              <w:spacing w:before="0" w:after="0"/>
              <w:jc w:val="right"/>
              <w:rPr/>
            </w:pPr>
            <w:r>
              <w:rPr/>
              <w:t>34</w:t>
            </w:r>
          </w:p>
        </w:tc>
      </w:tr>
      <w:tr>
        <w:trPr/>
        <w:tc>
          <w:tcPr>
            <w:tcW w:w="75" w:type="dxa"/>
            <w:tcBorders/>
            <w:vAlign w:val="center"/>
          </w:tcPr>
          <w:p>
            <w:pPr>
              <w:pStyle w:val="TableContents"/>
              <w:bidi w:val="0"/>
              <w:spacing w:before="0" w:after="283"/>
              <w:jc w:val="both"/>
              <w:rPr/>
            </w:pPr>
            <w:r>
              <w:rPr/>
              <w:t> </w:t>
            </w:r>
          </w:p>
        </w:tc>
        <w:tc>
          <w:tcPr>
            <w:tcW w:w="1153" w:type="dxa"/>
            <w:tcBorders/>
            <w:vAlign w:val="center"/>
          </w:tcPr>
          <w:p>
            <w:pPr>
              <w:pStyle w:val="TableContents"/>
              <w:bidi w:val="0"/>
              <w:spacing w:before="0" w:after="0"/>
              <w:jc w:val="both"/>
              <w:rPr/>
            </w:pPr>
            <w:r>
              <w:rPr/>
              <w:t>Section 8.05</w:t>
            </w:r>
          </w:p>
        </w:tc>
        <w:tc>
          <w:tcPr>
            <w:tcW w:w="8447" w:type="dxa"/>
            <w:tcBorders/>
            <w:vAlign w:val="center"/>
          </w:tcPr>
          <w:p>
            <w:pPr>
              <w:pStyle w:val="TableContents"/>
              <w:bidi w:val="0"/>
              <w:spacing w:before="0" w:after="0"/>
              <w:jc w:val="both"/>
              <w:rPr/>
            </w:pPr>
            <w:r>
              <w:rPr/>
              <w:t>Deposited Money and Government Securities to be Held in Trust; Other Miscellaneous Provisions</w:t>
            </w:r>
          </w:p>
        </w:tc>
        <w:tc>
          <w:tcPr>
            <w:tcW w:w="530" w:type="dxa"/>
            <w:tcBorders/>
            <w:vAlign w:val="center"/>
          </w:tcPr>
          <w:p>
            <w:pPr>
              <w:pStyle w:val="TableContents"/>
              <w:bidi w:val="0"/>
              <w:spacing w:before="0" w:after="0"/>
              <w:jc w:val="right"/>
              <w:rPr/>
            </w:pPr>
            <w:r>
              <w:rPr/>
              <w:t>35</w:t>
            </w:r>
          </w:p>
        </w:tc>
      </w:tr>
      <w:tr>
        <w:trPr/>
        <w:tc>
          <w:tcPr>
            <w:tcW w:w="75" w:type="dxa"/>
            <w:tcBorders/>
            <w:shd w:fill="CCEEFF" w:val="clear"/>
            <w:vAlign w:val="center"/>
          </w:tcPr>
          <w:p>
            <w:pPr>
              <w:pStyle w:val="TableContents"/>
              <w:bidi w:val="0"/>
              <w:spacing w:before="0" w:after="283"/>
              <w:jc w:val="both"/>
              <w:rPr/>
            </w:pPr>
            <w:r>
              <w:rPr/>
              <w:t> </w:t>
            </w:r>
          </w:p>
        </w:tc>
        <w:tc>
          <w:tcPr>
            <w:tcW w:w="1153" w:type="dxa"/>
            <w:tcBorders/>
            <w:shd w:fill="CCEEFF" w:val="clear"/>
            <w:vAlign w:val="center"/>
          </w:tcPr>
          <w:p>
            <w:pPr>
              <w:pStyle w:val="TableContents"/>
              <w:bidi w:val="0"/>
              <w:spacing w:before="0" w:after="0"/>
              <w:jc w:val="both"/>
              <w:rPr/>
            </w:pPr>
            <w:r>
              <w:rPr/>
              <w:t>Section 8.06</w:t>
            </w:r>
          </w:p>
        </w:tc>
        <w:tc>
          <w:tcPr>
            <w:tcW w:w="8447" w:type="dxa"/>
            <w:tcBorders/>
            <w:shd w:fill="CCEEFF" w:val="clear"/>
            <w:vAlign w:val="center"/>
          </w:tcPr>
          <w:p>
            <w:pPr>
              <w:pStyle w:val="TableContents"/>
              <w:bidi w:val="0"/>
              <w:spacing w:before="0" w:after="0"/>
              <w:jc w:val="both"/>
              <w:rPr/>
            </w:pPr>
            <w:r>
              <w:rPr/>
              <w:t>Repayment to Issuer</w:t>
            </w:r>
          </w:p>
        </w:tc>
        <w:tc>
          <w:tcPr>
            <w:tcW w:w="530" w:type="dxa"/>
            <w:tcBorders/>
            <w:shd w:fill="CCEEFF" w:val="clear"/>
            <w:vAlign w:val="center"/>
          </w:tcPr>
          <w:p>
            <w:pPr>
              <w:pStyle w:val="TableContents"/>
              <w:bidi w:val="0"/>
              <w:spacing w:before="0" w:after="0"/>
              <w:jc w:val="right"/>
              <w:rPr/>
            </w:pPr>
            <w:r>
              <w:rPr/>
              <w:t>36</w:t>
            </w:r>
          </w:p>
        </w:tc>
      </w:tr>
      <w:tr>
        <w:trPr/>
        <w:tc>
          <w:tcPr>
            <w:tcW w:w="75" w:type="dxa"/>
            <w:tcBorders/>
            <w:vAlign w:val="center"/>
          </w:tcPr>
          <w:p>
            <w:pPr>
              <w:pStyle w:val="TableContents"/>
              <w:bidi w:val="0"/>
              <w:spacing w:before="0" w:after="283"/>
              <w:jc w:val="both"/>
              <w:rPr/>
            </w:pPr>
            <w:r>
              <w:rPr/>
              <w:t> </w:t>
            </w:r>
          </w:p>
        </w:tc>
        <w:tc>
          <w:tcPr>
            <w:tcW w:w="1153" w:type="dxa"/>
            <w:tcBorders/>
            <w:vAlign w:val="center"/>
          </w:tcPr>
          <w:p>
            <w:pPr>
              <w:pStyle w:val="TableContents"/>
              <w:bidi w:val="0"/>
              <w:spacing w:before="0" w:after="0"/>
              <w:jc w:val="both"/>
              <w:rPr/>
            </w:pPr>
            <w:r>
              <w:rPr/>
              <w:t>Section 8.07</w:t>
            </w:r>
          </w:p>
        </w:tc>
        <w:tc>
          <w:tcPr>
            <w:tcW w:w="8447" w:type="dxa"/>
            <w:tcBorders/>
            <w:vAlign w:val="center"/>
          </w:tcPr>
          <w:p>
            <w:pPr>
              <w:pStyle w:val="TableContents"/>
              <w:bidi w:val="0"/>
              <w:spacing w:before="0" w:after="0"/>
              <w:jc w:val="both"/>
              <w:rPr/>
            </w:pPr>
            <w:r>
              <w:rPr/>
              <w:t>Reinstatement</w:t>
            </w:r>
          </w:p>
        </w:tc>
        <w:tc>
          <w:tcPr>
            <w:tcW w:w="530" w:type="dxa"/>
            <w:tcBorders/>
            <w:vAlign w:val="center"/>
          </w:tcPr>
          <w:p>
            <w:pPr>
              <w:pStyle w:val="TableContents"/>
              <w:bidi w:val="0"/>
              <w:spacing w:before="0" w:after="0"/>
              <w:jc w:val="right"/>
              <w:rPr/>
            </w:pPr>
            <w:r>
              <w:rPr/>
              <w:t>36</w:t>
            </w:r>
          </w:p>
        </w:tc>
      </w:tr>
      <w:tr>
        <w:trPr/>
        <w:tc>
          <w:tcPr>
            <w:tcW w:w="75" w:type="dxa"/>
            <w:tcBorders/>
            <w:shd w:fill="CCEEFF" w:val="clear"/>
            <w:vAlign w:val="center"/>
          </w:tcPr>
          <w:p>
            <w:pPr>
              <w:pStyle w:val="TableContents"/>
              <w:bidi w:val="0"/>
              <w:spacing w:before="0" w:after="283"/>
              <w:jc w:val="both"/>
              <w:rPr/>
            </w:pPr>
            <w:r>
              <w:rPr/>
              <w:t> </w:t>
            </w:r>
          </w:p>
        </w:tc>
        <w:tc>
          <w:tcPr>
            <w:tcW w:w="1153" w:type="dxa"/>
            <w:tcBorders/>
            <w:shd w:fill="CCEEFF" w:val="clear"/>
            <w:vAlign w:val="center"/>
          </w:tcPr>
          <w:p>
            <w:pPr>
              <w:pStyle w:val="TableContents"/>
              <w:bidi w:val="0"/>
              <w:spacing w:before="0" w:after="283"/>
              <w:jc w:val="both"/>
              <w:rPr/>
            </w:pPr>
            <w:r>
              <w:rPr/>
              <w:t> </w:t>
            </w:r>
          </w:p>
        </w:tc>
        <w:tc>
          <w:tcPr>
            <w:tcW w:w="8447" w:type="dxa"/>
            <w:tcBorders/>
            <w:shd w:fill="CCEEFF" w:val="clear"/>
            <w:vAlign w:val="center"/>
          </w:tcPr>
          <w:p>
            <w:pPr>
              <w:pStyle w:val="TableContents"/>
              <w:bidi w:val="0"/>
              <w:spacing w:before="0" w:after="283"/>
              <w:jc w:val="both"/>
              <w:rPr/>
            </w:pPr>
            <w:r>
              <w:rPr/>
              <w:t> </w:t>
            </w:r>
          </w:p>
        </w:tc>
        <w:tc>
          <w:tcPr>
            <w:tcW w:w="530" w:type="dxa"/>
            <w:tcBorders/>
            <w:shd w:fill="CCEEFF" w:val="clear"/>
            <w:vAlign w:val="center"/>
          </w:tcPr>
          <w:p>
            <w:pPr>
              <w:pStyle w:val="TableContents"/>
              <w:bidi w:val="0"/>
              <w:spacing w:before="0" w:after="283"/>
              <w:jc w:val="right"/>
              <w:rPr/>
            </w:pPr>
            <w:r>
              <w:rPr/>
              <w:t> </w:t>
            </w:r>
          </w:p>
        </w:tc>
      </w:tr>
      <w:tr>
        <w:trPr/>
        <w:tc>
          <w:tcPr>
            <w:tcW w:w="9675" w:type="dxa"/>
            <w:gridSpan w:val="3"/>
            <w:tcBorders/>
            <w:vAlign w:val="center"/>
          </w:tcPr>
          <w:p>
            <w:pPr>
              <w:pStyle w:val="TableContents"/>
              <w:bidi w:val="0"/>
              <w:spacing w:before="0" w:after="0"/>
              <w:jc w:val="both"/>
              <w:rPr/>
            </w:pPr>
            <w:r>
              <w:rPr/>
              <w:t>ARTICLE 9 AMENDMENT, SUPPLEMENT AND WAIVER</w:t>
            </w:r>
          </w:p>
        </w:tc>
        <w:tc>
          <w:tcPr>
            <w:tcW w:w="530" w:type="dxa"/>
            <w:tcBorders/>
            <w:vAlign w:val="center"/>
          </w:tcPr>
          <w:p>
            <w:pPr>
              <w:pStyle w:val="TableContents"/>
              <w:bidi w:val="0"/>
              <w:spacing w:before="0" w:after="283"/>
              <w:jc w:val="right"/>
              <w:rPr/>
            </w:pPr>
            <w:r>
              <w:rPr/>
              <w:t>36</w:t>
            </w:r>
          </w:p>
        </w:tc>
      </w:tr>
      <w:tr>
        <w:trPr/>
        <w:tc>
          <w:tcPr>
            <w:tcW w:w="9675" w:type="dxa"/>
            <w:gridSpan w:val="3"/>
            <w:tcBorders/>
            <w:shd w:fill="CCEEFF" w:val="clear"/>
            <w:vAlign w:val="center"/>
          </w:tcPr>
          <w:p>
            <w:pPr>
              <w:pStyle w:val="TableContents"/>
              <w:bidi w:val="0"/>
              <w:spacing w:before="0" w:after="283"/>
              <w:jc w:val="both"/>
              <w:rPr/>
            </w:pPr>
            <w:r>
              <w:rPr/>
              <w:t> </w:t>
            </w:r>
          </w:p>
        </w:tc>
        <w:tc>
          <w:tcPr>
            <w:tcW w:w="530" w:type="dxa"/>
            <w:tcBorders/>
            <w:shd w:fill="CCEEFF" w:val="clear"/>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both"/>
              <w:rPr/>
            </w:pPr>
            <w:r>
              <w:rPr/>
              <w:t> </w:t>
            </w:r>
          </w:p>
        </w:tc>
        <w:tc>
          <w:tcPr>
            <w:tcW w:w="1153" w:type="dxa"/>
            <w:tcBorders/>
            <w:vAlign w:val="center"/>
          </w:tcPr>
          <w:p>
            <w:pPr>
              <w:pStyle w:val="TableContents"/>
              <w:bidi w:val="0"/>
              <w:spacing w:before="0" w:after="0"/>
              <w:jc w:val="both"/>
              <w:rPr/>
            </w:pPr>
            <w:r>
              <w:rPr/>
              <w:t>Section 9.01</w:t>
            </w:r>
          </w:p>
        </w:tc>
        <w:tc>
          <w:tcPr>
            <w:tcW w:w="8447" w:type="dxa"/>
            <w:tcBorders/>
            <w:vAlign w:val="center"/>
          </w:tcPr>
          <w:p>
            <w:pPr>
              <w:pStyle w:val="TableContents"/>
              <w:bidi w:val="0"/>
              <w:spacing w:before="0" w:after="0"/>
              <w:jc w:val="both"/>
              <w:rPr/>
            </w:pPr>
            <w:r>
              <w:rPr/>
              <w:t>Without Consent of Holders of Notes</w:t>
            </w:r>
          </w:p>
        </w:tc>
        <w:tc>
          <w:tcPr>
            <w:tcW w:w="530" w:type="dxa"/>
            <w:tcBorders/>
            <w:vAlign w:val="center"/>
          </w:tcPr>
          <w:p>
            <w:pPr>
              <w:pStyle w:val="TableContents"/>
              <w:bidi w:val="0"/>
              <w:spacing w:before="0" w:after="0"/>
              <w:jc w:val="right"/>
              <w:rPr/>
            </w:pPr>
            <w:r>
              <w:rPr/>
              <w:t>36</w:t>
            </w:r>
          </w:p>
        </w:tc>
      </w:tr>
      <w:tr>
        <w:trPr/>
        <w:tc>
          <w:tcPr>
            <w:tcW w:w="75" w:type="dxa"/>
            <w:tcBorders/>
            <w:shd w:fill="CCEEFF" w:val="clear"/>
            <w:vAlign w:val="center"/>
          </w:tcPr>
          <w:p>
            <w:pPr>
              <w:pStyle w:val="TableContents"/>
              <w:bidi w:val="0"/>
              <w:spacing w:before="0" w:after="283"/>
              <w:jc w:val="both"/>
              <w:rPr/>
            </w:pPr>
            <w:r>
              <w:rPr/>
              <w:t> </w:t>
            </w:r>
          </w:p>
        </w:tc>
        <w:tc>
          <w:tcPr>
            <w:tcW w:w="1153" w:type="dxa"/>
            <w:tcBorders/>
            <w:shd w:fill="CCEEFF" w:val="clear"/>
            <w:vAlign w:val="center"/>
          </w:tcPr>
          <w:p>
            <w:pPr>
              <w:pStyle w:val="TableContents"/>
              <w:bidi w:val="0"/>
              <w:spacing w:before="0" w:after="0"/>
              <w:jc w:val="both"/>
              <w:rPr/>
            </w:pPr>
            <w:r>
              <w:rPr/>
              <w:t>Section 9.02</w:t>
            </w:r>
          </w:p>
        </w:tc>
        <w:tc>
          <w:tcPr>
            <w:tcW w:w="8447" w:type="dxa"/>
            <w:tcBorders/>
            <w:shd w:fill="CCEEFF" w:val="clear"/>
            <w:vAlign w:val="center"/>
          </w:tcPr>
          <w:p>
            <w:pPr>
              <w:pStyle w:val="TableContents"/>
              <w:bidi w:val="0"/>
              <w:spacing w:before="0" w:after="0"/>
              <w:jc w:val="both"/>
              <w:rPr/>
            </w:pPr>
            <w:r>
              <w:rPr/>
              <w:t>With Consent of Holders of Notes</w:t>
            </w:r>
          </w:p>
        </w:tc>
        <w:tc>
          <w:tcPr>
            <w:tcW w:w="530" w:type="dxa"/>
            <w:tcBorders/>
            <w:shd w:fill="CCEEFF" w:val="clear"/>
            <w:vAlign w:val="center"/>
          </w:tcPr>
          <w:p>
            <w:pPr>
              <w:pStyle w:val="TableContents"/>
              <w:bidi w:val="0"/>
              <w:spacing w:before="0" w:after="0"/>
              <w:jc w:val="right"/>
              <w:rPr/>
            </w:pPr>
            <w:r>
              <w:rPr/>
              <w:t>38</w:t>
            </w:r>
          </w:p>
        </w:tc>
      </w:tr>
      <w:tr>
        <w:trPr/>
        <w:tc>
          <w:tcPr>
            <w:tcW w:w="75" w:type="dxa"/>
            <w:tcBorders/>
            <w:vAlign w:val="center"/>
          </w:tcPr>
          <w:p>
            <w:pPr>
              <w:pStyle w:val="TableContents"/>
              <w:bidi w:val="0"/>
              <w:spacing w:before="0" w:after="283"/>
              <w:jc w:val="both"/>
              <w:rPr/>
            </w:pPr>
            <w:r>
              <w:rPr/>
              <w:t> </w:t>
            </w:r>
          </w:p>
        </w:tc>
        <w:tc>
          <w:tcPr>
            <w:tcW w:w="1153" w:type="dxa"/>
            <w:tcBorders/>
            <w:vAlign w:val="center"/>
          </w:tcPr>
          <w:p>
            <w:pPr>
              <w:pStyle w:val="TableContents"/>
              <w:bidi w:val="0"/>
              <w:spacing w:before="0" w:after="0"/>
              <w:jc w:val="both"/>
              <w:rPr/>
            </w:pPr>
            <w:r>
              <w:rPr/>
              <w:t>Section 9.03</w:t>
            </w:r>
          </w:p>
        </w:tc>
        <w:tc>
          <w:tcPr>
            <w:tcW w:w="8447" w:type="dxa"/>
            <w:tcBorders/>
            <w:vAlign w:val="center"/>
          </w:tcPr>
          <w:p>
            <w:pPr>
              <w:pStyle w:val="TableContents"/>
              <w:bidi w:val="0"/>
              <w:spacing w:before="0" w:after="0"/>
              <w:jc w:val="both"/>
              <w:rPr/>
            </w:pPr>
            <w:r>
              <w:rPr/>
              <w:t>Compliance with Trust Indenture Act</w:t>
            </w:r>
          </w:p>
        </w:tc>
        <w:tc>
          <w:tcPr>
            <w:tcW w:w="530" w:type="dxa"/>
            <w:tcBorders/>
            <w:vAlign w:val="center"/>
          </w:tcPr>
          <w:p>
            <w:pPr>
              <w:pStyle w:val="TableContents"/>
              <w:bidi w:val="0"/>
              <w:spacing w:before="0" w:after="283"/>
              <w:jc w:val="right"/>
              <w:rPr/>
            </w:pPr>
            <w:r>
              <w:rPr/>
              <w:t>39</w:t>
            </w:r>
          </w:p>
        </w:tc>
      </w:tr>
      <w:tr>
        <w:trPr/>
        <w:tc>
          <w:tcPr>
            <w:tcW w:w="75" w:type="dxa"/>
            <w:tcBorders/>
            <w:shd w:fill="CCEEFF" w:val="clear"/>
            <w:vAlign w:val="center"/>
          </w:tcPr>
          <w:p>
            <w:pPr>
              <w:pStyle w:val="TableContents"/>
              <w:bidi w:val="0"/>
              <w:spacing w:before="0" w:after="283"/>
              <w:jc w:val="both"/>
              <w:rPr/>
            </w:pPr>
            <w:r>
              <w:rPr/>
              <w:t> </w:t>
            </w:r>
          </w:p>
        </w:tc>
        <w:tc>
          <w:tcPr>
            <w:tcW w:w="1153" w:type="dxa"/>
            <w:tcBorders/>
            <w:shd w:fill="CCEEFF" w:val="clear"/>
            <w:vAlign w:val="center"/>
          </w:tcPr>
          <w:p>
            <w:pPr>
              <w:pStyle w:val="TableContents"/>
              <w:bidi w:val="0"/>
              <w:spacing w:before="0" w:after="0"/>
              <w:jc w:val="both"/>
              <w:rPr/>
            </w:pPr>
            <w:r>
              <w:rPr/>
              <w:t>Section 9.04</w:t>
            </w:r>
          </w:p>
        </w:tc>
        <w:tc>
          <w:tcPr>
            <w:tcW w:w="8447" w:type="dxa"/>
            <w:tcBorders/>
            <w:shd w:fill="CCEEFF" w:val="clear"/>
            <w:vAlign w:val="center"/>
          </w:tcPr>
          <w:p>
            <w:pPr>
              <w:pStyle w:val="TableContents"/>
              <w:bidi w:val="0"/>
              <w:spacing w:before="0" w:after="0"/>
              <w:jc w:val="both"/>
              <w:rPr/>
            </w:pPr>
            <w:r>
              <w:rPr/>
              <w:t>Revocation and Effect of Consents</w:t>
            </w:r>
          </w:p>
        </w:tc>
        <w:tc>
          <w:tcPr>
            <w:tcW w:w="530" w:type="dxa"/>
            <w:tcBorders/>
            <w:shd w:fill="CCEEFF" w:val="clear"/>
            <w:vAlign w:val="center"/>
          </w:tcPr>
          <w:p>
            <w:pPr>
              <w:pStyle w:val="TableContents"/>
              <w:bidi w:val="0"/>
              <w:spacing w:before="0" w:after="0"/>
              <w:jc w:val="right"/>
              <w:rPr/>
            </w:pPr>
            <w:r>
              <w:rPr/>
              <w:t>39</w:t>
            </w:r>
          </w:p>
        </w:tc>
      </w:tr>
      <w:tr>
        <w:trPr/>
        <w:tc>
          <w:tcPr>
            <w:tcW w:w="75" w:type="dxa"/>
            <w:tcBorders/>
            <w:vAlign w:val="center"/>
          </w:tcPr>
          <w:p>
            <w:pPr>
              <w:pStyle w:val="TableContents"/>
              <w:bidi w:val="0"/>
              <w:spacing w:before="0" w:after="283"/>
              <w:jc w:val="both"/>
              <w:rPr/>
            </w:pPr>
            <w:r>
              <w:rPr/>
              <w:t> </w:t>
            </w:r>
          </w:p>
        </w:tc>
        <w:tc>
          <w:tcPr>
            <w:tcW w:w="1153" w:type="dxa"/>
            <w:tcBorders/>
            <w:vAlign w:val="center"/>
          </w:tcPr>
          <w:p>
            <w:pPr>
              <w:pStyle w:val="TableContents"/>
              <w:bidi w:val="0"/>
              <w:spacing w:before="0" w:after="0"/>
              <w:jc w:val="both"/>
              <w:rPr/>
            </w:pPr>
            <w:r>
              <w:rPr/>
              <w:t>Section 9.05</w:t>
            </w:r>
          </w:p>
        </w:tc>
        <w:tc>
          <w:tcPr>
            <w:tcW w:w="8447" w:type="dxa"/>
            <w:tcBorders/>
            <w:vAlign w:val="center"/>
          </w:tcPr>
          <w:p>
            <w:pPr>
              <w:pStyle w:val="TableContents"/>
              <w:bidi w:val="0"/>
              <w:spacing w:before="0" w:after="0"/>
              <w:jc w:val="both"/>
              <w:rPr/>
            </w:pPr>
            <w:r>
              <w:rPr/>
              <w:t>Notation on or Exchange of Notes</w:t>
            </w:r>
          </w:p>
        </w:tc>
        <w:tc>
          <w:tcPr>
            <w:tcW w:w="530" w:type="dxa"/>
            <w:tcBorders/>
            <w:vAlign w:val="center"/>
          </w:tcPr>
          <w:p>
            <w:pPr>
              <w:pStyle w:val="TableContents"/>
              <w:bidi w:val="0"/>
              <w:spacing w:before="0" w:after="0"/>
              <w:jc w:val="right"/>
              <w:rPr/>
            </w:pPr>
            <w:r>
              <w:rPr/>
              <w:t>39</w:t>
            </w:r>
          </w:p>
        </w:tc>
      </w:tr>
      <w:tr>
        <w:trPr/>
        <w:tc>
          <w:tcPr>
            <w:tcW w:w="75" w:type="dxa"/>
            <w:tcBorders/>
            <w:shd w:fill="CCEEFF" w:val="clear"/>
            <w:vAlign w:val="center"/>
          </w:tcPr>
          <w:p>
            <w:pPr>
              <w:pStyle w:val="TableContents"/>
              <w:bidi w:val="0"/>
              <w:spacing w:before="0" w:after="283"/>
              <w:jc w:val="both"/>
              <w:rPr/>
            </w:pPr>
            <w:r>
              <w:rPr/>
              <w:t> </w:t>
            </w:r>
          </w:p>
        </w:tc>
        <w:tc>
          <w:tcPr>
            <w:tcW w:w="1153" w:type="dxa"/>
            <w:tcBorders/>
            <w:shd w:fill="CCEEFF" w:val="clear"/>
            <w:vAlign w:val="center"/>
          </w:tcPr>
          <w:p>
            <w:pPr>
              <w:pStyle w:val="TableContents"/>
              <w:bidi w:val="0"/>
              <w:spacing w:before="0" w:after="0"/>
              <w:jc w:val="both"/>
              <w:rPr/>
            </w:pPr>
            <w:r>
              <w:rPr/>
              <w:t>Section 9.06</w:t>
            </w:r>
          </w:p>
        </w:tc>
        <w:tc>
          <w:tcPr>
            <w:tcW w:w="8447" w:type="dxa"/>
            <w:tcBorders/>
            <w:shd w:fill="CCEEFF" w:val="clear"/>
            <w:vAlign w:val="center"/>
          </w:tcPr>
          <w:p>
            <w:pPr>
              <w:pStyle w:val="TableContents"/>
              <w:bidi w:val="0"/>
              <w:spacing w:before="0" w:after="0"/>
              <w:jc w:val="both"/>
              <w:rPr/>
            </w:pPr>
            <w:r>
              <w:rPr/>
              <w:t>Trustee to Sign Amendments, etc</w:t>
            </w:r>
          </w:p>
        </w:tc>
        <w:tc>
          <w:tcPr>
            <w:tcW w:w="530" w:type="dxa"/>
            <w:tcBorders/>
            <w:shd w:fill="CCEEFF" w:val="clear"/>
            <w:vAlign w:val="center"/>
          </w:tcPr>
          <w:p>
            <w:pPr>
              <w:pStyle w:val="TableContents"/>
              <w:bidi w:val="0"/>
              <w:spacing w:before="0" w:after="0"/>
              <w:jc w:val="right"/>
              <w:rPr/>
            </w:pPr>
            <w:r>
              <w:rPr/>
              <w:t>39</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6" w:name="z656d10be3ad14b738107b32cb6f21111"/>
      <w:bookmarkStart w:id="17" w:name="z656d10be3ad14b738107b32cb6f21111"/>
      <w:bookmarkEnd w:id="17"/>
    </w:p>
    <w:tbl>
      <w:tblPr>
        <w:tblW w:w="8910" w:type="dxa"/>
        <w:jc w:val="left"/>
        <w:tblInd w:w="0" w:type="dxa"/>
        <w:tblLayout w:type="fixed"/>
        <w:tblCellMar>
          <w:top w:w="0" w:type="dxa"/>
          <w:left w:w="0" w:type="dxa"/>
          <w:bottom w:w="0" w:type="dxa"/>
          <w:right w:w="0" w:type="dxa"/>
        </w:tblCellMar>
      </w:tblPr>
      <w:tblGrid>
        <w:gridCol w:w="75"/>
        <w:gridCol w:w="1325"/>
        <w:gridCol w:w="6980"/>
        <w:gridCol w:w="530"/>
      </w:tblGrid>
      <w:tr>
        <w:trPr/>
        <w:tc>
          <w:tcPr>
            <w:tcW w:w="8380" w:type="dxa"/>
            <w:gridSpan w:val="3"/>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0"/>
              <w:jc w:val="right"/>
              <w:rPr>
                <w:b/>
              </w:rPr>
            </w:pPr>
            <w:r>
              <w:rPr>
                <w:b/>
              </w:rPr>
              <w:t>Page</w:t>
            </w:r>
          </w:p>
        </w:tc>
      </w:tr>
      <w:tr>
        <w:trPr/>
        <w:tc>
          <w:tcPr>
            <w:tcW w:w="8380" w:type="dxa"/>
            <w:gridSpan w:val="3"/>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right"/>
              <w:rPr/>
            </w:pPr>
            <w:r>
              <w:rPr/>
              <w:t> </w:t>
            </w:r>
          </w:p>
        </w:tc>
      </w:tr>
      <w:tr>
        <w:trPr/>
        <w:tc>
          <w:tcPr>
            <w:tcW w:w="8380" w:type="dxa"/>
            <w:gridSpan w:val="3"/>
            <w:tcBorders/>
            <w:shd w:fill="CCEEFF" w:val="clear"/>
            <w:vAlign w:val="center"/>
          </w:tcPr>
          <w:p>
            <w:pPr>
              <w:pStyle w:val="TableContents"/>
              <w:bidi w:val="0"/>
              <w:spacing w:before="0" w:after="0"/>
              <w:jc w:val="both"/>
              <w:rPr/>
            </w:pPr>
            <w:r>
              <w:rPr/>
              <w:t>ARTICLE 10 PARENT GUARANTEE</w:t>
            </w:r>
          </w:p>
        </w:tc>
        <w:tc>
          <w:tcPr>
            <w:tcW w:w="530" w:type="dxa"/>
            <w:tcBorders/>
            <w:shd w:fill="CCEEFF" w:val="clear"/>
            <w:vAlign w:val="center"/>
          </w:tcPr>
          <w:p>
            <w:pPr>
              <w:pStyle w:val="TableContents"/>
              <w:bidi w:val="0"/>
              <w:spacing w:before="0" w:after="283"/>
              <w:jc w:val="right"/>
              <w:rPr/>
            </w:pPr>
            <w:r>
              <w:rPr/>
              <w:t>40</w:t>
            </w:r>
          </w:p>
        </w:tc>
      </w:tr>
      <w:tr>
        <w:trPr/>
        <w:tc>
          <w:tcPr>
            <w:tcW w:w="8380" w:type="dxa"/>
            <w:gridSpan w:val="3"/>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right"/>
              <w:rPr/>
            </w:pPr>
            <w:r>
              <w:rPr/>
              <w:t> </w:t>
            </w:r>
          </w:p>
        </w:tc>
      </w:tr>
      <w:tr>
        <w:trPr/>
        <w:tc>
          <w:tcPr>
            <w:tcW w:w="75" w:type="dxa"/>
            <w:tcBorders/>
            <w:shd w:fill="CCEEFF" w:val="clear"/>
            <w:vAlign w:val="center"/>
          </w:tcPr>
          <w:p>
            <w:pPr>
              <w:pStyle w:val="TableContents"/>
              <w:bidi w:val="0"/>
              <w:spacing w:before="0" w:after="283"/>
              <w:jc w:val="both"/>
              <w:rPr/>
            </w:pPr>
            <w:r>
              <w:rPr/>
              <w:t> </w:t>
            </w:r>
          </w:p>
        </w:tc>
        <w:tc>
          <w:tcPr>
            <w:tcW w:w="1325" w:type="dxa"/>
            <w:tcBorders/>
            <w:shd w:fill="CCEEFF" w:val="clear"/>
            <w:vAlign w:val="center"/>
          </w:tcPr>
          <w:p>
            <w:pPr>
              <w:pStyle w:val="TableContents"/>
              <w:bidi w:val="0"/>
              <w:spacing w:before="0" w:after="0"/>
              <w:jc w:val="both"/>
              <w:rPr/>
            </w:pPr>
            <w:r>
              <w:rPr/>
              <w:t>Section 10.01</w:t>
            </w:r>
          </w:p>
        </w:tc>
        <w:tc>
          <w:tcPr>
            <w:tcW w:w="6980" w:type="dxa"/>
            <w:tcBorders/>
            <w:shd w:fill="CCEEFF" w:val="clear"/>
            <w:vAlign w:val="center"/>
          </w:tcPr>
          <w:p>
            <w:pPr>
              <w:pStyle w:val="TableContents"/>
              <w:bidi w:val="0"/>
              <w:spacing w:before="0" w:after="0"/>
              <w:jc w:val="both"/>
              <w:rPr/>
            </w:pPr>
            <w:r>
              <w:rPr/>
              <w:t>Guarantee</w:t>
            </w:r>
          </w:p>
        </w:tc>
        <w:tc>
          <w:tcPr>
            <w:tcW w:w="530" w:type="dxa"/>
            <w:tcBorders/>
            <w:shd w:fill="CCEEFF" w:val="clear"/>
            <w:vAlign w:val="center"/>
          </w:tcPr>
          <w:p>
            <w:pPr>
              <w:pStyle w:val="TableContents"/>
              <w:bidi w:val="0"/>
              <w:spacing w:before="0" w:after="0"/>
              <w:jc w:val="right"/>
              <w:rPr/>
            </w:pPr>
            <w:r>
              <w:rPr/>
              <w:t>40</w:t>
            </w:r>
          </w:p>
        </w:tc>
      </w:tr>
      <w:tr>
        <w:trPr/>
        <w:tc>
          <w:tcPr>
            <w:tcW w:w="75" w:type="dxa"/>
            <w:tcBorders/>
            <w:vAlign w:val="center"/>
          </w:tcPr>
          <w:p>
            <w:pPr>
              <w:pStyle w:val="TableContents"/>
              <w:bidi w:val="0"/>
              <w:spacing w:before="0" w:after="283"/>
              <w:jc w:val="both"/>
              <w:rPr/>
            </w:pPr>
            <w:r>
              <w:rPr/>
              <w:t> </w:t>
            </w:r>
          </w:p>
        </w:tc>
        <w:tc>
          <w:tcPr>
            <w:tcW w:w="1325" w:type="dxa"/>
            <w:tcBorders/>
            <w:vAlign w:val="center"/>
          </w:tcPr>
          <w:p>
            <w:pPr>
              <w:pStyle w:val="TableContents"/>
              <w:bidi w:val="0"/>
              <w:spacing w:before="0" w:after="0"/>
              <w:jc w:val="both"/>
              <w:rPr/>
            </w:pPr>
            <w:r>
              <w:rPr/>
              <w:t>Section 10.02</w:t>
            </w:r>
          </w:p>
        </w:tc>
        <w:tc>
          <w:tcPr>
            <w:tcW w:w="6980" w:type="dxa"/>
            <w:tcBorders/>
            <w:vAlign w:val="center"/>
          </w:tcPr>
          <w:p>
            <w:pPr>
              <w:pStyle w:val="TableContents"/>
              <w:bidi w:val="0"/>
              <w:spacing w:before="0" w:after="0"/>
              <w:jc w:val="both"/>
              <w:rPr/>
            </w:pPr>
            <w:r>
              <w:rPr/>
              <w:t>Limitation on Guarantor Liability</w:t>
            </w:r>
          </w:p>
        </w:tc>
        <w:tc>
          <w:tcPr>
            <w:tcW w:w="530" w:type="dxa"/>
            <w:tcBorders/>
            <w:vAlign w:val="center"/>
          </w:tcPr>
          <w:p>
            <w:pPr>
              <w:pStyle w:val="TableContents"/>
              <w:bidi w:val="0"/>
              <w:spacing w:before="0" w:after="283"/>
              <w:jc w:val="right"/>
              <w:rPr/>
            </w:pPr>
            <w:r>
              <w:rPr/>
              <w:t>41</w:t>
            </w:r>
          </w:p>
        </w:tc>
      </w:tr>
      <w:tr>
        <w:trPr/>
        <w:tc>
          <w:tcPr>
            <w:tcW w:w="75" w:type="dxa"/>
            <w:tcBorders/>
            <w:shd w:fill="CCEEFF" w:val="clear"/>
            <w:vAlign w:val="center"/>
          </w:tcPr>
          <w:p>
            <w:pPr>
              <w:pStyle w:val="TableContents"/>
              <w:bidi w:val="0"/>
              <w:spacing w:before="0" w:after="283"/>
              <w:jc w:val="both"/>
              <w:rPr/>
            </w:pPr>
            <w:r>
              <w:rPr/>
              <w:t> </w:t>
            </w:r>
          </w:p>
        </w:tc>
        <w:tc>
          <w:tcPr>
            <w:tcW w:w="1325" w:type="dxa"/>
            <w:tcBorders/>
            <w:shd w:fill="CCEEFF" w:val="clear"/>
            <w:vAlign w:val="center"/>
          </w:tcPr>
          <w:p>
            <w:pPr>
              <w:pStyle w:val="TableContents"/>
              <w:bidi w:val="0"/>
              <w:spacing w:before="0" w:after="0"/>
              <w:jc w:val="both"/>
              <w:rPr/>
            </w:pPr>
            <w:r>
              <w:rPr/>
              <w:t>Section 10.03</w:t>
            </w:r>
          </w:p>
        </w:tc>
        <w:tc>
          <w:tcPr>
            <w:tcW w:w="6980" w:type="dxa"/>
            <w:tcBorders/>
            <w:shd w:fill="CCEEFF" w:val="clear"/>
            <w:vAlign w:val="center"/>
          </w:tcPr>
          <w:p>
            <w:pPr>
              <w:pStyle w:val="TableContents"/>
              <w:bidi w:val="0"/>
              <w:spacing w:before="0" w:after="0"/>
              <w:jc w:val="both"/>
              <w:rPr/>
            </w:pPr>
            <w:r>
              <w:rPr/>
              <w:t>Issuance and Delivery of Parent Guarantee</w:t>
            </w:r>
          </w:p>
        </w:tc>
        <w:tc>
          <w:tcPr>
            <w:tcW w:w="530" w:type="dxa"/>
            <w:tcBorders/>
            <w:shd w:fill="CCEEFF" w:val="clear"/>
            <w:vAlign w:val="center"/>
          </w:tcPr>
          <w:p>
            <w:pPr>
              <w:pStyle w:val="TableContents"/>
              <w:bidi w:val="0"/>
              <w:spacing w:before="0" w:after="0"/>
              <w:jc w:val="right"/>
              <w:rPr/>
            </w:pPr>
            <w:r>
              <w:rPr/>
              <w:t>41</w:t>
            </w:r>
          </w:p>
        </w:tc>
      </w:tr>
      <w:tr>
        <w:trPr/>
        <w:tc>
          <w:tcPr>
            <w:tcW w:w="75" w:type="dxa"/>
            <w:tcBorders/>
            <w:vAlign w:val="center"/>
          </w:tcPr>
          <w:p>
            <w:pPr>
              <w:pStyle w:val="TableContents"/>
              <w:bidi w:val="0"/>
              <w:spacing w:before="0" w:after="283"/>
              <w:jc w:val="both"/>
              <w:rPr/>
            </w:pPr>
            <w:r>
              <w:rPr/>
              <w:t> </w:t>
            </w:r>
          </w:p>
        </w:tc>
        <w:tc>
          <w:tcPr>
            <w:tcW w:w="1325" w:type="dxa"/>
            <w:tcBorders/>
            <w:vAlign w:val="center"/>
          </w:tcPr>
          <w:p>
            <w:pPr>
              <w:pStyle w:val="TableContents"/>
              <w:bidi w:val="0"/>
              <w:spacing w:before="0" w:after="0"/>
              <w:jc w:val="both"/>
              <w:rPr/>
            </w:pPr>
            <w:r>
              <w:rPr/>
              <w:t>Section 10.04</w:t>
            </w:r>
          </w:p>
        </w:tc>
        <w:tc>
          <w:tcPr>
            <w:tcW w:w="6980" w:type="dxa"/>
            <w:tcBorders/>
            <w:vAlign w:val="center"/>
          </w:tcPr>
          <w:p>
            <w:pPr>
              <w:pStyle w:val="TableContents"/>
              <w:bidi w:val="0"/>
              <w:spacing w:before="0" w:after="0"/>
              <w:jc w:val="both"/>
              <w:rPr/>
            </w:pPr>
            <w:r>
              <w:rPr/>
              <w:t>Releases</w:t>
            </w:r>
          </w:p>
        </w:tc>
        <w:tc>
          <w:tcPr>
            <w:tcW w:w="530" w:type="dxa"/>
            <w:tcBorders/>
            <w:vAlign w:val="center"/>
          </w:tcPr>
          <w:p>
            <w:pPr>
              <w:pStyle w:val="TableContents"/>
              <w:bidi w:val="0"/>
              <w:spacing w:before="0" w:after="0"/>
              <w:jc w:val="right"/>
              <w:rPr/>
            </w:pPr>
            <w:r>
              <w:rPr/>
              <w:t>41</w:t>
            </w:r>
          </w:p>
        </w:tc>
      </w:tr>
      <w:tr>
        <w:trPr/>
        <w:tc>
          <w:tcPr>
            <w:tcW w:w="75" w:type="dxa"/>
            <w:tcBorders/>
            <w:shd w:fill="CCEEFF" w:val="clear"/>
            <w:vAlign w:val="center"/>
          </w:tcPr>
          <w:p>
            <w:pPr>
              <w:pStyle w:val="TableContents"/>
              <w:bidi w:val="0"/>
              <w:spacing w:before="0" w:after="283"/>
              <w:jc w:val="both"/>
              <w:rPr/>
            </w:pPr>
            <w:r>
              <w:rPr/>
              <w:t> </w:t>
            </w:r>
          </w:p>
        </w:tc>
        <w:tc>
          <w:tcPr>
            <w:tcW w:w="1325" w:type="dxa"/>
            <w:tcBorders/>
            <w:shd w:fill="CCEEFF" w:val="clear"/>
            <w:vAlign w:val="center"/>
          </w:tcPr>
          <w:p>
            <w:pPr>
              <w:pStyle w:val="TableContents"/>
              <w:bidi w:val="0"/>
              <w:spacing w:before="0" w:after="283"/>
              <w:jc w:val="both"/>
              <w:rPr/>
            </w:pPr>
            <w:r>
              <w:rPr/>
              <w:t> </w:t>
            </w:r>
          </w:p>
        </w:tc>
        <w:tc>
          <w:tcPr>
            <w:tcW w:w="6980" w:type="dxa"/>
            <w:tcBorders/>
            <w:shd w:fill="CCEEFF" w:val="clear"/>
            <w:vAlign w:val="center"/>
          </w:tcPr>
          <w:p>
            <w:pPr>
              <w:pStyle w:val="TableContents"/>
              <w:bidi w:val="0"/>
              <w:spacing w:before="0" w:after="283"/>
              <w:jc w:val="both"/>
              <w:rPr/>
            </w:pPr>
            <w:r>
              <w:rPr/>
              <w:t> </w:t>
            </w:r>
          </w:p>
        </w:tc>
        <w:tc>
          <w:tcPr>
            <w:tcW w:w="530" w:type="dxa"/>
            <w:tcBorders/>
            <w:shd w:fill="CCEEFF" w:val="clear"/>
            <w:vAlign w:val="center"/>
          </w:tcPr>
          <w:p>
            <w:pPr>
              <w:pStyle w:val="TableContents"/>
              <w:bidi w:val="0"/>
              <w:spacing w:before="0" w:after="283"/>
              <w:jc w:val="right"/>
              <w:rPr/>
            </w:pPr>
            <w:r>
              <w:rPr/>
              <w:t> </w:t>
            </w:r>
          </w:p>
        </w:tc>
      </w:tr>
      <w:tr>
        <w:trPr/>
        <w:tc>
          <w:tcPr>
            <w:tcW w:w="8380" w:type="dxa"/>
            <w:gridSpan w:val="3"/>
            <w:tcBorders/>
            <w:vAlign w:val="center"/>
          </w:tcPr>
          <w:p>
            <w:pPr>
              <w:pStyle w:val="TableContents"/>
              <w:bidi w:val="0"/>
              <w:spacing w:before="0" w:after="0"/>
              <w:jc w:val="both"/>
              <w:rPr/>
            </w:pPr>
            <w:r>
              <w:rPr/>
              <w:t>ARTICLE 11 SATISFACTION AND DISCHARGE</w:t>
            </w:r>
          </w:p>
        </w:tc>
        <w:tc>
          <w:tcPr>
            <w:tcW w:w="530" w:type="dxa"/>
            <w:tcBorders/>
            <w:vAlign w:val="center"/>
          </w:tcPr>
          <w:p>
            <w:pPr>
              <w:pStyle w:val="TableContents"/>
              <w:bidi w:val="0"/>
              <w:spacing w:before="0" w:after="283"/>
              <w:jc w:val="right"/>
              <w:rPr/>
            </w:pPr>
            <w:r>
              <w:rPr/>
              <w:t>42</w:t>
            </w:r>
          </w:p>
        </w:tc>
      </w:tr>
      <w:tr>
        <w:trPr/>
        <w:tc>
          <w:tcPr>
            <w:tcW w:w="8380" w:type="dxa"/>
            <w:gridSpan w:val="3"/>
            <w:tcBorders/>
            <w:shd w:fill="CCEEFF" w:val="clear"/>
            <w:vAlign w:val="center"/>
          </w:tcPr>
          <w:p>
            <w:pPr>
              <w:pStyle w:val="TableContents"/>
              <w:bidi w:val="0"/>
              <w:spacing w:before="0" w:after="283"/>
              <w:jc w:val="both"/>
              <w:rPr/>
            </w:pPr>
            <w:r>
              <w:rPr/>
              <w:t> </w:t>
            </w:r>
          </w:p>
        </w:tc>
        <w:tc>
          <w:tcPr>
            <w:tcW w:w="530" w:type="dxa"/>
            <w:tcBorders/>
            <w:shd w:fill="CCEEFF" w:val="clear"/>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both"/>
              <w:rPr/>
            </w:pPr>
            <w:r>
              <w:rPr/>
              <w:t> </w:t>
            </w:r>
          </w:p>
        </w:tc>
        <w:tc>
          <w:tcPr>
            <w:tcW w:w="1325" w:type="dxa"/>
            <w:tcBorders/>
            <w:vAlign w:val="center"/>
          </w:tcPr>
          <w:p>
            <w:pPr>
              <w:pStyle w:val="TableContents"/>
              <w:bidi w:val="0"/>
              <w:spacing w:before="0" w:after="0"/>
              <w:jc w:val="both"/>
              <w:rPr/>
            </w:pPr>
            <w:r>
              <w:rPr/>
              <w:t>Section 11.01</w:t>
            </w:r>
          </w:p>
        </w:tc>
        <w:tc>
          <w:tcPr>
            <w:tcW w:w="6980" w:type="dxa"/>
            <w:tcBorders/>
            <w:vAlign w:val="center"/>
          </w:tcPr>
          <w:p>
            <w:pPr>
              <w:pStyle w:val="TableContents"/>
              <w:bidi w:val="0"/>
              <w:spacing w:before="0" w:after="0"/>
              <w:jc w:val="both"/>
              <w:rPr/>
            </w:pPr>
            <w:r>
              <w:rPr/>
              <w:t>Satisfaction and Discharge</w:t>
            </w:r>
          </w:p>
        </w:tc>
        <w:tc>
          <w:tcPr>
            <w:tcW w:w="530" w:type="dxa"/>
            <w:tcBorders/>
            <w:vAlign w:val="center"/>
          </w:tcPr>
          <w:p>
            <w:pPr>
              <w:pStyle w:val="TableContents"/>
              <w:bidi w:val="0"/>
              <w:spacing w:before="0" w:after="0"/>
              <w:jc w:val="right"/>
              <w:rPr/>
            </w:pPr>
            <w:r>
              <w:rPr/>
              <w:t>42</w:t>
            </w:r>
          </w:p>
        </w:tc>
      </w:tr>
      <w:tr>
        <w:trPr/>
        <w:tc>
          <w:tcPr>
            <w:tcW w:w="75" w:type="dxa"/>
            <w:tcBorders/>
            <w:shd w:fill="CCEEFF" w:val="clear"/>
            <w:vAlign w:val="center"/>
          </w:tcPr>
          <w:p>
            <w:pPr>
              <w:pStyle w:val="TableContents"/>
              <w:bidi w:val="0"/>
              <w:spacing w:before="0" w:after="283"/>
              <w:jc w:val="both"/>
              <w:rPr/>
            </w:pPr>
            <w:r>
              <w:rPr/>
              <w:t> </w:t>
            </w:r>
          </w:p>
        </w:tc>
        <w:tc>
          <w:tcPr>
            <w:tcW w:w="1325" w:type="dxa"/>
            <w:tcBorders/>
            <w:shd w:fill="CCEEFF" w:val="clear"/>
            <w:vAlign w:val="center"/>
          </w:tcPr>
          <w:p>
            <w:pPr>
              <w:pStyle w:val="TableContents"/>
              <w:bidi w:val="0"/>
              <w:spacing w:before="0" w:after="0"/>
              <w:jc w:val="both"/>
              <w:rPr/>
            </w:pPr>
            <w:r>
              <w:rPr/>
              <w:t>Section 11.02</w:t>
            </w:r>
          </w:p>
        </w:tc>
        <w:tc>
          <w:tcPr>
            <w:tcW w:w="6980" w:type="dxa"/>
            <w:tcBorders/>
            <w:shd w:fill="CCEEFF" w:val="clear"/>
            <w:vAlign w:val="center"/>
          </w:tcPr>
          <w:p>
            <w:pPr>
              <w:pStyle w:val="TableContents"/>
              <w:bidi w:val="0"/>
              <w:spacing w:before="0" w:after="0"/>
              <w:jc w:val="both"/>
              <w:rPr/>
            </w:pPr>
            <w:r>
              <w:rPr/>
              <w:t>Application of Trust Money</w:t>
            </w:r>
          </w:p>
        </w:tc>
        <w:tc>
          <w:tcPr>
            <w:tcW w:w="530" w:type="dxa"/>
            <w:tcBorders/>
            <w:shd w:fill="CCEEFF" w:val="clear"/>
            <w:vAlign w:val="center"/>
          </w:tcPr>
          <w:p>
            <w:pPr>
              <w:pStyle w:val="TableContents"/>
              <w:bidi w:val="0"/>
              <w:spacing w:before="0" w:after="0"/>
              <w:jc w:val="right"/>
              <w:rPr/>
            </w:pPr>
            <w:r>
              <w:rPr/>
              <w:t>43</w:t>
            </w:r>
          </w:p>
        </w:tc>
      </w:tr>
      <w:tr>
        <w:trPr/>
        <w:tc>
          <w:tcPr>
            <w:tcW w:w="75" w:type="dxa"/>
            <w:tcBorders/>
            <w:vAlign w:val="center"/>
          </w:tcPr>
          <w:p>
            <w:pPr>
              <w:pStyle w:val="TableContents"/>
              <w:bidi w:val="0"/>
              <w:spacing w:before="0" w:after="283"/>
              <w:jc w:val="both"/>
              <w:rPr/>
            </w:pPr>
            <w:r>
              <w:rPr/>
              <w:t> </w:t>
            </w:r>
          </w:p>
        </w:tc>
        <w:tc>
          <w:tcPr>
            <w:tcW w:w="1325" w:type="dxa"/>
            <w:tcBorders/>
            <w:vAlign w:val="center"/>
          </w:tcPr>
          <w:p>
            <w:pPr>
              <w:pStyle w:val="TableContents"/>
              <w:bidi w:val="0"/>
              <w:spacing w:before="0" w:after="283"/>
              <w:jc w:val="both"/>
              <w:rPr/>
            </w:pPr>
            <w:r>
              <w:rPr/>
              <w:t> </w:t>
            </w:r>
          </w:p>
        </w:tc>
        <w:tc>
          <w:tcPr>
            <w:tcW w:w="698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right"/>
              <w:rPr/>
            </w:pPr>
            <w:r>
              <w:rPr/>
              <w:t> </w:t>
            </w:r>
          </w:p>
        </w:tc>
      </w:tr>
      <w:tr>
        <w:trPr/>
        <w:tc>
          <w:tcPr>
            <w:tcW w:w="8380" w:type="dxa"/>
            <w:gridSpan w:val="3"/>
            <w:tcBorders/>
            <w:shd w:fill="CCEEFF" w:val="clear"/>
            <w:vAlign w:val="center"/>
          </w:tcPr>
          <w:p>
            <w:pPr>
              <w:pStyle w:val="TableContents"/>
              <w:bidi w:val="0"/>
              <w:spacing w:before="0" w:after="0"/>
              <w:jc w:val="both"/>
              <w:rPr/>
            </w:pPr>
            <w:r>
              <w:rPr/>
              <w:t>ARTICLE 12 MISCELLANEOUS</w:t>
            </w:r>
          </w:p>
        </w:tc>
        <w:tc>
          <w:tcPr>
            <w:tcW w:w="530" w:type="dxa"/>
            <w:tcBorders/>
            <w:shd w:fill="CCEEFF" w:val="clear"/>
            <w:vAlign w:val="center"/>
          </w:tcPr>
          <w:p>
            <w:pPr>
              <w:pStyle w:val="TableContents"/>
              <w:bidi w:val="0"/>
              <w:spacing w:before="0" w:after="283"/>
              <w:jc w:val="right"/>
              <w:rPr/>
            </w:pPr>
            <w:r>
              <w:rPr/>
              <w:t>43</w:t>
            </w:r>
          </w:p>
        </w:tc>
      </w:tr>
      <w:tr>
        <w:trPr/>
        <w:tc>
          <w:tcPr>
            <w:tcW w:w="8380" w:type="dxa"/>
            <w:gridSpan w:val="3"/>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right"/>
              <w:rPr/>
            </w:pPr>
            <w:r>
              <w:rPr/>
              <w:t> </w:t>
            </w:r>
          </w:p>
        </w:tc>
      </w:tr>
      <w:tr>
        <w:trPr/>
        <w:tc>
          <w:tcPr>
            <w:tcW w:w="75" w:type="dxa"/>
            <w:tcBorders/>
            <w:shd w:fill="CCEEFF" w:val="clear"/>
            <w:vAlign w:val="center"/>
          </w:tcPr>
          <w:p>
            <w:pPr>
              <w:pStyle w:val="TableContents"/>
              <w:bidi w:val="0"/>
              <w:spacing w:before="0" w:after="283"/>
              <w:jc w:val="both"/>
              <w:rPr/>
            </w:pPr>
            <w:r>
              <w:rPr/>
              <w:t> </w:t>
            </w:r>
          </w:p>
        </w:tc>
        <w:tc>
          <w:tcPr>
            <w:tcW w:w="1325" w:type="dxa"/>
            <w:tcBorders/>
            <w:shd w:fill="CCEEFF" w:val="clear"/>
            <w:vAlign w:val="center"/>
          </w:tcPr>
          <w:p>
            <w:pPr>
              <w:pStyle w:val="TableContents"/>
              <w:bidi w:val="0"/>
              <w:spacing w:before="0" w:after="0"/>
              <w:jc w:val="both"/>
              <w:rPr/>
            </w:pPr>
            <w:r>
              <w:rPr/>
              <w:t>Section 12.01</w:t>
            </w:r>
          </w:p>
        </w:tc>
        <w:tc>
          <w:tcPr>
            <w:tcW w:w="6980" w:type="dxa"/>
            <w:tcBorders/>
            <w:shd w:fill="CCEEFF" w:val="clear"/>
            <w:vAlign w:val="center"/>
          </w:tcPr>
          <w:p>
            <w:pPr>
              <w:pStyle w:val="TableContents"/>
              <w:bidi w:val="0"/>
              <w:spacing w:before="0" w:after="0"/>
              <w:jc w:val="both"/>
              <w:rPr/>
            </w:pPr>
            <w:r>
              <w:rPr/>
              <w:t>Trust Indenture Act Controls</w:t>
            </w:r>
          </w:p>
        </w:tc>
        <w:tc>
          <w:tcPr>
            <w:tcW w:w="530" w:type="dxa"/>
            <w:tcBorders/>
            <w:shd w:fill="CCEEFF" w:val="clear"/>
            <w:vAlign w:val="center"/>
          </w:tcPr>
          <w:p>
            <w:pPr>
              <w:pStyle w:val="TableContents"/>
              <w:bidi w:val="0"/>
              <w:spacing w:before="0" w:after="0"/>
              <w:jc w:val="right"/>
              <w:rPr/>
            </w:pPr>
            <w:r>
              <w:rPr/>
              <w:t>43</w:t>
            </w:r>
          </w:p>
        </w:tc>
      </w:tr>
      <w:tr>
        <w:trPr/>
        <w:tc>
          <w:tcPr>
            <w:tcW w:w="75" w:type="dxa"/>
            <w:tcBorders/>
            <w:vAlign w:val="center"/>
          </w:tcPr>
          <w:p>
            <w:pPr>
              <w:pStyle w:val="TableContents"/>
              <w:bidi w:val="0"/>
              <w:spacing w:before="0" w:after="283"/>
              <w:jc w:val="both"/>
              <w:rPr/>
            </w:pPr>
            <w:r>
              <w:rPr/>
              <w:t> </w:t>
            </w:r>
          </w:p>
        </w:tc>
        <w:tc>
          <w:tcPr>
            <w:tcW w:w="1325" w:type="dxa"/>
            <w:tcBorders/>
            <w:vAlign w:val="center"/>
          </w:tcPr>
          <w:p>
            <w:pPr>
              <w:pStyle w:val="TableContents"/>
              <w:bidi w:val="0"/>
              <w:spacing w:before="0" w:after="0"/>
              <w:jc w:val="both"/>
              <w:rPr/>
            </w:pPr>
            <w:r>
              <w:rPr/>
              <w:t>Section 12.02</w:t>
            </w:r>
          </w:p>
        </w:tc>
        <w:tc>
          <w:tcPr>
            <w:tcW w:w="6980" w:type="dxa"/>
            <w:tcBorders/>
            <w:vAlign w:val="center"/>
          </w:tcPr>
          <w:p>
            <w:pPr>
              <w:pStyle w:val="TableContents"/>
              <w:bidi w:val="0"/>
              <w:spacing w:before="0" w:after="0"/>
              <w:jc w:val="both"/>
              <w:rPr/>
            </w:pPr>
            <w:r>
              <w:rPr/>
              <w:t>Notices</w:t>
            </w:r>
          </w:p>
        </w:tc>
        <w:tc>
          <w:tcPr>
            <w:tcW w:w="530" w:type="dxa"/>
            <w:tcBorders/>
            <w:vAlign w:val="center"/>
          </w:tcPr>
          <w:p>
            <w:pPr>
              <w:pStyle w:val="TableContents"/>
              <w:bidi w:val="0"/>
              <w:spacing w:before="0" w:after="0"/>
              <w:jc w:val="right"/>
              <w:rPr/>
            </w:pPr>
            <w:r>
              <w:rPr/>
              <w:t>43</w:t>
            </w:r>
          </w:p>
        </w:tc>
      </w:tr>
      <w:tr>
        <w:trPr/>
        <w:tc>
          <w:tcPr>
            <w:tcW w:w="75" w:type="dxa"/>
            <w:tcBorders/>
            <w:shd w:fill="CCEEFF" w:val="clear"/>
            <w:vAlign w:val="center"/>
          </w:tcPr>
          <w:p>
            <w:pPr>
              <w:pStyle w:val="TableContents"/>
              <w:bidi w:val="0"/>
              <w:spacing w:before="0" w:after="283"/>
              <w:jc w:val="both"/>
              <w:rPr/>
            </w:pPr>
            <w:r>
              <w:rPr/>
              <w:t> </w:t>
            </w:r>
          </w:p>
        </w:tc>
        <w:tc>
          <w:tcPr>
            <w:tcW w:w="1325" w:type="dxa"/>
            <w:tcBorders/>
            <w:shd w:fill="CCEEFF" w:val="clear"/>
            <w:vAlign w:val="center"/>
          </w:tcPr>
          <w:p>
            <w:pPr>
              <w:pStyle w:val="TableContents"/>
              <w:bidi w:val="0"/>
              <w:spacing w:before="0" w:after="0"/>
              <w:jc w:val="both"/>
              <w:rPr/>
            </w:pPr>
            <w:r>
              <w:rPr/>
              <w:t>Section 12.03</w:t>
            </w:r>
          </w:p>
        </w:tc>
        <w:tc>
          <w:tcPr>
            <w:tcW w:w="6980" w:type="dxa"/>
            <w:tcBorders/>
            <w:shd w:fill="CCEEFF" w:val="clear"/>
            <w:vAlign w:val="center"/>
          </w:tcPr>
          <w:p>
            <w:pPr>
              <w:pStyle w:val="TableContents"/>
              <w:bidi w:val="0"/>
              <w:spacing w:before="0" w:after="0"/>
              <w:jc w:val="both"/>
              <w:rPr/>
            </w:pPr>
            <w:r>
              <w:rPr/>
              <w:t>Communication by Holders of Notes with Other Holders of Notes</w:t>
            </w:r>
          </w:p>
        </w:tc>
        <w:tc>
          <w:tcPr>
            <w:tcW w:w="530" w:type="dxa"/>
            <w:tcBorders/>
            <w:shd w:fill="CCEEFF" w:val="clear"/>
            <w:vAlign w:val="center"/>
          </w:tcPr>
          <w:p>
            <w:pPr>
              <w:pStyle w:val="TableContents"/>
              <w:bidi w:val="0"/>
              <w:spacing w:before="0" w:after="0"/>
              <w:jc w:val="right"/>
              <w:rPr/>
            </w:pPr>
            <w:r>
              <w:rPr/>
              <w:t>44</w:t>
            </w:r>
          </w:p>
        </w:tc>
      </w:tr>
      <w:tr>
        <w:trPr/>
        <w:tc>
          <w:tcPr>
            <w:tcW w:w="75" w:type="dxa"/>
            <w:tcBorders/>
            <w:vAlign w:val="center"/>
          </w:tcPr>
          <w:p>
            <w:pPr>
              <w:pStyle w:val="TableContents"/>
              <w:bidi w:val="0"/>
              <w:spacing w:before="0" w:after="283"/>
              <w:jc w:val="both"/>
              <w:rPr/>
            </w:pPr>
            <w:r>
              <w:rPr/>
              <w:t> </w:t>
            </w:r>
          </w:p>
        </w:tc>
        <w:tc>
          <w:tcPr>
            <w:tcW w:w="1325" w:type="dxa"/>
            <w:tcBorders/>
            <w:vAlign w:val="center"/>
          </w:tcPr>
          <w:p>
            <w:pPr>
              <w:pStyle w:val="TableContents"/>
              <w:bidi w:val="0"/>
              <w:spacing w:before="0" w:after="0"/>
              <w:jc w:val="both"/>
              <w:rPr/>
            </w:pPr>
            <w:r>
              <w:rPr/>
              <w:t>Section 12.04</w:t>
            </w:r>
          </w:p>
        </w:tc>
        <w:tc>
          <w:tcPr>
            <w:tcW w:w="6980" w:type="dxa"/>
            <w:tcBorders/>
            <w:vAlign w:val="center"/>
          </w:tcPr>
          <w:p>
            <w:pPr>
              <w:pStyle w:val="TableContents"/>
              <w:bidi w:val="0"/>
              <w:spacing w:before="0" w:after="0"/>
              <w:jc w:val="both"/>
              <w:rPr/>
            </w:pPr>
            <w:r>
              <w:rPr/>
              <w:t>Certificate and Opinion as to Conditions Precedent</w:t>
            </w:r>
          </w:p>
        </w:tc>
        <w:tc>
          <w:tcPr>
            <w:tcW w:w="530" w:type="dxa"/>
            <w:tcBorders/>
            <w:vAlign w:val="center"/>
          </w:tcPr>
          <w:p>
            <w:pPr>
              <w:pStyle w:val="TableContents"/>
              <w:bidi w:val="0"/>
              <w:spacing w:before="0" w:after="0"/>
              <w:jc w:val="right"/>
              <w:rPr/>
            </w:pPr>
            <w:r>
              <w:rPr/>
              <w:t>45</w:t>
            </w:r>
          </w:p>
        </w:tc>
      </w:tr>
      <w:tr>
        <w:trPr/>
        <w:tc>
          <w:tcPr>
            <w:tcW w:w="75" w:type="dxa"/>
            <w:tcBorders/>
            <w:shd w:fill="CCEEFF" w:val="clear"/>
            <w:vAlign w:val="center"/>
          </w:tcPr>
          <w:p>
            <w:pPr>
              <w:pStyle w:val="TableContents"/>
              <w:bidi w:val="0"/>
              <w:spacing w:before="0" w:after="283"/>
              <w:jc w:val="both"/>
              <w:rPr/>
            </w:pPr>
            <w:r>
              <w:rPr/>
              <w:t> </w:t>
            </w:r>
          </w:p>
        </w:tc>
        <w:tc>
          <w:tcPr>
            <w:tcW w:w="1325" w:type="dxa"/>
            <w:tcBorders/>
            <w:shd w:fill="CCEEFF" w:val="clear"/>
            <w:vAlign w:val="center"/>
          </w:tcPr>
          <w:p>
            <w:pPr>
              <w:pStyle w:val="TableContents"/>
              <w:bidi w:val="0"/>
              <w:spacing w:before="0" w:after="0"/>
              <w:jc w:val="both"/>
              <w:rPr/>
            </w:pPr>
            <w:r>
              <w:rPr/>
              <w:t>Section 12.05</w:t>
            </w:r>
          </w:p>
        </w:tc>
        <w:tc>
          <w:tcPr>
            <w:tcW w:w="6980" w:type="dxa"/>
            <w:tcBorders/>
            <w:shd w:fill="CCEEFF" w:val="clear"/>
            <w:vAlign w:val="center"/>
          </w:tcPr>
          <w:p>
            <w:pPr>
              <w:pStyle w:val="TableContents"/>
              <w:bidi w:val="0"/>
              <w:spacing w:before="0" w:after="0"/>
              <w:jc w:val="both"/>
              <w:rPr/>
            </w:pPr>
            <w:r>
              <w:rPr/>
              <w:t>Statements Required in Certificate or Opinion</w:t>
            </w:r>
          </w:p>
        </w:tc>
        <w:tc>
          <w:tcPr>
            <w:tcW w:w="530" w:type="dxa"/>
            <w:tcBorders/>
            <w:shd w:fill="CCEEFF" w:val="clear"/>
            <w:vAlign w:val="center"/>
          </w:tcPr>
          <w:p>
            <w:pPr>
              <w:pStyle w:val="TableContents"/>
              <w:bidi w:val="0"/>
              <w:spacing w:before="0" w:after="0"/>
              <w:jc w:val="right"/>
              <w:rPr/>
            </w:pPr>
            <w:r>
              <w:rPr/>
              <w:t>45</w:t>
            </w:r>
          </w:p>
        </w:tc>
      </w:tr>
      <w:tr>
        <w:trPr/>
        <w:tc>
          <w:tcPr>
            <w:tcW w:w="75" w:type="dxa"/>
            <w:tcBorders/>
            <w:vAlign w:val="center"/>
          </w:tcPr>
          <w:p>
            <w:pPr>
              <w:pStyle w:val="TableContents"/>
              <w:bidi w:val="0"/>
              <w:spacing w:before="0" w:after="283"/>
              <w:jc w:val="both"/>
              <w:rPr/>
            </w:pPr>
            <w:r>
              <w:rPr/>
              <w:t> </w:t>
            </w:r>
          </w:p>
        </w:tc>
        <w:tc>
          <w:tcPr>
            <w:tcW w:w="1325" w:type="dxa"/>
            <w:tcBorders/>
            <w:vAlign w:val="center"/>
          </w:tcPr>
          <w:p>
            <w:pPr>
              <w:pStyle w:val="TableContents"/>
              <w:bidi w:val="0"/>
              <w:spacing w:before="0" w:after="0"/>
              <w:jc w:val="both"/>
              <w:rPr/>
            </w:pPr>
            <w:r>
              <w:rPr/>
              <w:t>Section 12.06</w:t>
            </w:r>
          </w:p>
        </w:tc>
        <w:tc>
          <w:tcPr>
            <w:tcW w:w="6980" w:type="dxa"/>
            <w:tcBorders/>
            <w:vAlign w:val="center"/>
          </w:tcPr>
          <w:p>
            <w:pPr>
              <w:pStyle w:val="TableContents"/>
              <w:bidi w:val="0"/>
              <w:spacing w:before="0" w:after="0"/>
              <w:jc w:val="both"/>
              <w:rPr/>
            </w:pPr>
            <w:r>
              <w:rPr/>
              <w:t>Form of Documents Delivered to Trustee</w:t>
            </w:r>
          </w:p>
        </w:tc>
        <w:tc>
          <w:tcPr>
            <w:tcW w:w="530" w:type="dxa"/>
            <w:tcBorders/>
            <w:vAlign w:val="center"/>
          </w:tcPr>
          <w:p>
            <w:pPr>
              <w:pStyle w:val="TableContents"/>
              <w:bidi w:val="0"/>
              <w:spacing w:before="0" w:after="0"/>
              <w:jc w:val="right"/>
              <w:rPr/>
            </w:pPr>
            <w:r>
              <w:rPr/>
              <w:t>45</w:t>
            </w:r>
          </w:p>
        </w:tc>
      </w:tr>
      <w:tr>
        <w:trPr/>
        <w:tc>
          <w:tcPr>
            <w:tcW w:w="75" w:type="dxa"/>
            <w:tcBorders/>
            <w:shd w:fill="CCEEFF" w:val="clear"/>
            <w:vAlign w:val="center"/>
          </w:tcPr>
          <w:p>
            <w:pPr>
              <w:pStyle w:val="TableContents"/>
              <w:bidi w:val="0"/>
              <w:spacing w:before="0" w:after="283"/>
              <w:jc w:val="both"/>
              <w:rPr/>
            </w:pPr>
            <w:r>
              <w:rPr/>
              <w:t> </w:t>
            </w:r>
          </w:p>
        </w:tc>
        <w:tc>
          <w:tcPr>
            <w:tcW w:w="1325" w:type="dxa"/>
            <w:tcBorders/>
            <w:shd w:fill="CCEEFF" w:val="clear"/>
            <w:vAlign w:val="center"/>
          </w:tcPr>
          <w:p>
            <w:pPr>
              <w:pStyle w:val="TableContents"/>
              <w:bidi w:val="0"/>
              <w:spacing w:before="0" w:after="0"/>
              <w:jc w:val="both"/>
              <w:rPr/>
            </w:pPr>
            <w:r>
              <w:rPr/>
              <w:t>Section 12.07</w:t>
            </w:r>
          </w:p>
        </w:tc>
        <w:tc>
          <w:tcPr>
            <w:tcW w:w="6980" w:type="dxa"/>
            <w:tcBorders/>
            <w:shd w:fill="CCEEFF" w:val="clear"/>
            <w:vAlign w:val="center"/>
          </w:tcPr>
          <w:p>
            <w:pPr>
              <w:pStyle w:val="TableContents"/>
              <w:bidi w:val="0"/>
              <w:spacing w:before="0" w:after="0"/>
              <w:jc w:val="both"/>
              <w:rPr/>
            </w:pPr>
            <w:r>
              <w:rPr/>
              <w:t>Rules by Trustee and Agents</w:t>
            </w:r>
          </w:p>
        </w:tc>
        <w:tc>
          <w:tcPr>
            <w:tcW w:w="530" w:type="dxa"/>
            <w:tcBorders/>
            <w:shd w:fill="CCEEFF" w:val="clear"/>
            <w:vAlign w:val="center"/>
          </w:tcPr>
          <w:p>
            <w:pPr>
              <w:pStyle w:val="TableContents"/>
              <w:bidi w:val="0"/>
              <w:spacing w:before="0" w:after="0"/>
              <w:jc w:val="right"/>
              <w:rPr/>
            </w:pPr>
            <w:r>
              <w:rPr/>
              <w:t>46</w:t>
            </w:r>
          </w:p>
        </w:tc>
      </w:tr>
      <w:tr>
        <w:trPr/>
        <w:tc>
          <w:tcPr>
            <w:tcW w:w="75" w:type="dxa"/>
            <w:tcBorders/>
            <w:vAlign w:val="center"/>
          </w:tcPr>
          <w:p>
            <w:pPr>
              <w:pStyle w:val="TableContents"/>
              <w:bidi w:val="0"/>
              <w:spacing w:before="0" w:after="283"/>
              <w:jc w:val="both"/>
              <w:rPr/>
            </w:pPr>
            <w:r>
              <w:rPr/>
              <w:t> </w:t>
            </w:r>
          </w:p>
        </w:tc>
        <w:tc>
          <w:tcPr>
            <w:tcW w:w="1325" w:type="dxa"/>
            <w:tcBorders/>
            <w:vAlign w:val="center"/>
          </w:tcPr>
          <w:p>
            <w:pPr>
              <w:pStyle w:val="TableContents"/>
              <w:bidi w:val="0"/>
              <w:spacing w:before="0" w:after="0"/>
              <w:jc w:val="both"/>
              <w:rPr/>
            </w:pPr>
            <w:r>
              <w:rPr/>
              <w:t>Section 12.08</w:t>
            </w:r>
          </w:p>
        </w:tc>
        <w:tc>
          <w:tcPr>
            <w:tcW w:w="6980" w:type="dxa"/>
            <w:tcBorders/>
            <w:vAlign w:val="center"/>
          </w:tcPr>
          <w:p>
            <w:pPr>
              <w:pStyle w:val="TableContents"/>
              <w:bidi w:val="0"/>
              <w:spacing w:before="0" w:after="0"/>
              <w:jc w:val="both"/>
              <w:rPr/>
            </w:pPr>
            <w:r>
              <w:rPr/>
              <w:t>No Personal Liability of Directors, Officers, Employees and Stockholders</w:t>
            </w:r>
          </w:p>
        </w:tc>
        <w:tc>
          <w:tcPr>
            <w:tcW w:w="530" w:type="dxa"/>
            <w:tcBorders/>
            <w:vAlign w:val="center"/>
          </w:tcPr>
          <w:p>
            <w:pPr>
              <w:pStyle w:val="TableContents"/>
              <w:bidi w:val="0"/>
              <w:spacing w:before="0" w:after="0"/>
              <w:jc w:val="right"/>
              <w:rPr/>
            </w:pPr>
            <w:r>
              <w:rPr/>
              <w:t>46</w:t>
            </w:r>
          </w:p>
        </w:tc>
      </w:tr>
      <w:tr>
        <w:trPr/>
        <w:tc>
          <w:tcPr>
            <w:tcW w:w="75" w:type="dxa"/>
            <w:tcBorders/>
            <w:shd w:fill="CCEEFF" w:val="clear"/>
            <w:vAlign w:val="center"/>
          </w:tcPr>
          <w:p>
            <w:pPr>
              <w:pStyle w:val="TableContents"/>
              <w:bidi w:val="0"/>
              <w:spacing w:before="0" w:after="283"/>
              <w:jc w:val="both"/>
              <w:rPr/>
            </w:pPr>
            <w:r>
              <w:rPr/>
              <w:t> </w:t>
            </w:r>
          </w:p>
        </w:tc>
        <w:tc>
          <w:tcPr>
            <w:tcW w:w="1325" w:type="dxa"/>
            <w:tcBorders/>
            <w:shd w:fill="CCEEFF" w:val="clear"/>
            <w:vAlign w:val="center"/>
          </w:tcPr>
          <w:p>
            <w:pPr>
              <w:pStyle w:val="TableContents"/>
              <w:bidi w:val="0"/>
              <w:spacing w:before="0" w:after="0"/>
              <w:jc w:val="both"/>
              <w:rPr/>
            </w:pPr>
            <w:r>
              <w:rPr/>
              <w:t>Section 12.09</w:t>
            </w:r>
          </w:p>
        </w:tc>
        <w:tc>
          <w:tcPr>
            <w:tcW w:w="6980" w:type="dxa"/>
            <w:tcBorders/>
            <w:shd w:fill="CCEEFF" w:val="clear"/>
            <w:vAlign w:val="center"/>
          </w:tcPr>
          <w:p>
            <w:pPr>
              <w:pStyle w:val="TableContents"/>
              <w:bidi w:val="0"/>
              <w:spacing w:before="0" w:after="0"/>
              <w:jc w:val="both"/>
              <w:rPr/>
            </w:pPr>
            <w:r>
              <w:rPr/>
              <w:t>Governing Law; Waiver of Jury Trial; Jurisdiction</w:t>
            </w:r>
          </w:p>
        </w:tc>
        <w:tc>
          <w:tcPr>
            <w:tcW w:w="530" w:type="dxa"/>
            <w:tcBorders/>
            <w:shd w:fill="CCEEFF" w:val="clear"/>
            <w:vAlign w:val="center"/>
          </w:tcPr>
          <w:p>
            <w:pPr>
              <w:pStyle w:val="TableContents"/>
              <w:bidi w:val="0"/>
              <w:spacing w:before="0" w:after="0"/>
              <w:jc w:val="right"/>
              <w:rPr/>
            </w:pPr>
            <w:r>
              <w:rPr/>
              <w:t>46</w:t>
            </w:r>
          </w:p>
        </w:tc>
      </w:tr>
      <w:tr>
        <w:trPr/>
        <w:tc>
          <w:tcPr>
            <w:tcW w:w="75" w:type="dxa"/>
            <w:tcBorders/>
            <w:vAlign w:val="center"/>
          </w:tcPr>
          <w:p>
            <w:pPr>
              <w:pStyle w:val="TableContents"/>
              <w:bidi w:val="0"/>
              <w:spacing w:before="0" w:after="283"/>
              <w:jc w:val="both"/>
              <w:rPr/>
            </w:pPr>
            <w:r>
              <w:rPr/>
              <w:t> </w:t>
            </w:r>
          </w:p>
        </w:tc>
        <w:tc>
          <w:tcPr>
            <w:tcW w:w="1325" w:type="dxa"/>
            <w:tcBorders/>
            <w:vAlign w:val="center"/>
          </w:tcPr>
          <w:p>
            <w:pPr>
              <w:pStyle w:val="TableContents"/>
              <w:bidi w:val="0"/>
              <w:spacing w:before="0" w:after="0"/>
              <w:jc w:val="both"/>
              <w:rPr/>
            </w:pPr>
            <w:r>
              <w:rPr/>
              <w:t>Section 12.10</w:t>
            </w:r>
          </w:p>
        </w:tc>
        <w:tc>
          <w:tcPr>
            <w:tcW w:w="6980" w:type="dxa"/>
            <w:tcBorders/>
            <w:vAlign w:val="center"/>
          </w:tcPr>
          <w:p>
            <w:pPr>
              <w:pStyle w:val="TableContents"/>
              <w:bidi w:val="0"/>
              <w:spacing w:before="0" w:after="0"/>
              <w:jc w:val="both"/>
              <w:rPr/>
            </w:pPr>
            <w:r>
              <w:rPr/>
              <w:t>No Adverse Interpretation of Other Agreements</w:t>
            </w:r>
          </w:p>
        </w:tc>
        <w:tc>
          <w:tcPr>
            <w:tcW w:w="530" w:type="dxa"/>
            <w:tcBorders/>
            <w:vAlign w:val="center"/>
          </w:tcPr>
          <w:p>
            <w:pPr>
              <w:pStyle w:val="TableContents"/>
              <w:bidi w:val="0"/>
              <w:spacing w:before="0" w:after="0"/>
              <w:jc w:val="right"/>
              <w:rPr/>
            </w:pPr>
            <w:r>
              <w:rPr/>
              <w:t>46</w:t>
            </w:r>
          </w:p>
        </w:tc>
      </w:tr>
      <w:tr>
        <w:trPr/>
        <w:tc>
          <w:tcPr>
            <w:tcW w:w="75" w:type="dxa"/>
            <w:tcBorders/>
            <w:shd w:fill="CCEEFF" w:val="clear"/>
            <w:vAlign w:val="center"/>
          </w:tcPr>
          <w:p>
            <w:pPr>
              <w:pStyle w:val="TableContents"/>
              <w:bidi w:val="0"/>
              <w:spacing w:before="0" w:after="283"/>
              <w:jc w:val="both"/>
              <w:rPr/>
            </w:pPr>
            <w:r>
              <w:rPr/>
              <w:t> </w:t>
            </w:r>
          </w:p>
        </w:tc>
        <w:tc>
          <w:tcPr>
            <w:tcW w:w="1325" w:type="dxa"/>
            <w:tcBorders/>
            <w:shd w:fill="CCEEFF" w:val="clear"/>
            <w:vAlign w:val="center"/>
          </w:tcPr>
          <w:p>
            <w:pPr>
              <w:pStyle w:val="TableContents"/>
              <w:bidi w:val="0"/>
              <w:spacing w:before="0" w:after="0"/>
              <w:jc w:val="both"/>
              <w:rPr/>
            </w:pPr>
            <w:r>
              <w:rPr/>
              <w:t>Section 12.11</w:t>
            </w:r>
          </w:p>
        </w:tc>
        <w:tc>
          <w:tcPr>
            <w:tcW w:w="6980" w:type="dxa"/>
            <w:tcBorders/>
            <w:shd w:fill="CCEEFF" w:val="clear"/>
            <w:vAlign w:val="center"/>
          </w:tcPr>
          <w:p>
            <w:pPr>
              <w:pStyle w:val="TableContents"/>
              <w:bidi w:val="0"/>
              <w:spacing w:before="0" w:after="0"/>
              <w:jc w:val="both"/>
              <w:rPr/>
            </w:pPr>
            <w:r>
              <w:rPr/>
              <w:t>Successors</w:t>
            </w:r>
          </w:p>
        </w:tc>
        <w:tc>
          <w:tcPr>
            <w:tcW w:w="530" w:type="dxa"/>
            <w:tcBorders/>
            <w:shd w:fill="CCEEFF" w:val="clear"/>
            <w:vAlign w:val="center"/>
          </w:tcPr>
          <w:p>
            <w:pPr>
              <w:pStyle w:val="TableContents"/>
              <w:bidi w:val="0"/>
              <w:spacing w:before="0" w:after="0"/>
              <w:jc w:val="right"/>
              <w:rPr/>
            </w:pPr>
            <w:r>
              <w:rPr/>
              <w:t>47</w:t>
            </w:r>
          </w:p>
        </w:tc>
      </w:tr>
      <w:tr>
        <w:trPr/>
        <w:tc>
          <w:tcPr>
            <w:tcW w:w="75" w:type="dxa"/>
            <w:tcBorders/>
            <w:vAlign w:val="center"/>
          </w:tcPr>
          <w:p>
            <w:pPr>
              <w:pStyle w:val="TableContents"/>
              <w:bidi w:val="0"/>
              <w:spacing w:before="0" w:after="283"/>
              <w:jc w:val="both"/>
              <w:rPr/>
            </w:pPr>
            <w:r>
              <w:rPr/>
              <w:t> </w:t>
            </w:r>
          </w:p>
        </w:tc>
        <w:tc>
          <w:tcPr>
            <w:tcW w:w="1325" w:type="dxa"/>
            <w:tcBorders/>
            <w:vAlign w:val="center"/>
          </w:tcPr>
          <w:p>
            <w:pPr>
              <w:pStyle w:val="TableContents"/>
              <w:bidi w:val="0"/>
              <w:spacing w:before="0" w:after="0"/>
              <w:jc w:val="both"/>
              <w:rPr/>
            </w:pPr>
            <w:r>
              <w:rPr/>
              <w:t>Section 12.12</w:t>
            </w:r>
          </w:p>
        </w:tc>
        <w:tc>
          <w:tcPr>
            <w:tcW w:w="6980" w:type="dxa"/>
            <w:tcBorders/>
            <w:vAlign w:val="center"/>
          </w:tcPr>
          <w:p>
            <w:pPr>
              <w:pStyle w:val="TableContents"/>
              <w:bidi w:val="0"/>
              <w:spacing w:before="0" w:after="0"/>
              <w:jc w:val="both"/>
              <w:rPr/>
            </w:pPr>
            <w:r>
              <w:rPr/>
              <w:t>Severability</w:t>
            </w:r>
          </w:p>
        </w:tc>
        <w:tc>
          <w:tcPr>
            <w:tcW w:w="530" w:type="dxa"/>
            <w:tcBorders/>
            <w:vAlign w:val="center"/>
          </w:tcPr>
          <w:p>
            <w:pPr>
              <w:pStyle w:val="TableContents"/>
              <w:bidi w:val="0"/>
              <w:spacing w:before="0" w:after="0"/>
              <w:jc w:val="right"/>
              <w:rPr/>
            </w:pPr>
            <w:r>
              <w:rPr/>
              <w:t>47</w:t>
            </w:r>
          </w:p>
        </w:tc>
      </w:tr>
      <w:tr>
        <w:trPr/>
        <w:tc>
          <w:tcPr>
            <w:tcW w:w="75" w:type="dxa"/>
            <w:tcBorders/>
            <w:shd w:fill="CCEEFF" w:val="clear"/>
            <w:vAlign w:val="center"/>
          </w:tcPr>
          <w:p>
            <w:pPr>
              <w:pStyle w:val="TableContents"/>
              <w:bidi w:val="0"/>
              <w:spacing w:before="0" w:after="283"/>
              <w:jc w:val="both"/>
              <w:rPr/>
            </w:pPr>
            <w:r>
              <w:rPr/>
              <w:t> </w:t>
            </w:r>
          </w:p>
        </w:tc>
        <w:tc>
          <w:tcPr>
            <w:tcW w:w="1325" w:type="dxa"/>
            <w:tcBorders/>
            <w:shd w:fill="CCEEFF" w:val="clear"/>
            <w:vAlign w:val="center"/>
          </w:tcPr>
          <w:p>
            <w:pPr>
              <w:pStyle w:val="TableContents"/>
              <w:bidi w:val="0"/>
              <w:spacing w:before="0" w:after="0"/>
              <w:jc w:val="both"/>
              <w:rPr/>
            </w:pPr>
            <w:r>
              <w:rPr/>
              <w:t>Section 12.13</w:t>
            </w:r>
          </w:p>
        </w:tc>
        <w:tc>
          <w:tcPr>
            <w:tcW w:w="6980" w:type="dxa"/>
            <w:tcBorders/>
            <w:shd w:fill="CCEEFF" w:val="clear"/>
            <w:vAlign w:val="center"/>
          </w:tcPr>
          <w:p>
            <w:pPr>
              <w:pStyle w:val="TableContents"/>
              <w:bidi w:val="0"/>
              <w:spacing w:before="0" w:after="0"/>
              <w:jc w:val="both"/>
              <w:rPr/>
            </w:pPr>
            <w:r>
              <w:rPr/>
              <w:t>Counterpart Originals</w:t>
            </w:r>
          </w:p>
        </w:tc>
        <w:tc>
          <w:tcPr>
            <w:tcW w:w="530" w:type="dxa"/>
            <w:tcBorders/>
            <w:shd w:fill="CCEEFF" w:val="clear"/>
            <w:vAlign w:val="center"/>
          </w:tcPr>
          <w:p>
            <w:pPr>
              <w:pStyle w:val="TableContents"/>
              <w:bidi w:val="0"/>
              <w:spacing w:before="0" w:after="0"/>
              <w:jc w:val="right"/>
              <w:rPr/>
            </w:pPr>
            <w:r>
              <w:rPr/>
              <w:t>47</w:t>
            </w:r>
          </w:p>
        </w:tc>
      </w:tr>
      <w:tr>
        <w:trPr/>
        <w:tc>
          <w:tcPr>
            <w:tcW w:w="75" w:type="dxa"/>
            <w:tcBorders/>
            <w:vAlign w:val="center"/>
          </w:tcPr>
          <w:p>
            <w:pPr>
              <w:pStyle w:val="TableContents"/>
              <w:bidi w:val="0"/>
              <w:spacing w:before="0" w:after="283"/>
              <w:jc w:val="both"/>
              <w:rPr/>
            </w:pPr>
            <w:r>
              <w:rPr/>
              <w:t> </w:t>
            </w:r>
          </w:p>
        </w:tc>
        <w:tc>
          <w:tcPr>
            <w:tcW w:w="1325" w:type="dxa"/>
            <w:tcBorders/>
            <w:vAlign w:val="center"/>
          </w:tcPr>
          <w:p>
            <w:pPr>
              <w:pStyle w:val="TableContents"/>
              <w:bidi w:val="0"/>
              <w:spacing w:before="0" w:after="0"/>
              <w:jc w:val="both"/>
              <w:rPr/>
            </w:pPr>
            <w:r>
              <w:rPr/>
              <w:t>Section 12.14</w:t>
            </w:r>
          </w:p>
        </w:tc>
        <w:tc>
          <w:tcPr>
            <w:tcW w:w="6980" w:type="dxa"/>
            <w:tcBorders/>
            <w:vAlign w:val="center"/>
          </w:tcPr>
          <w:p>
            <w:pPr>
              <w:pStyle w:val="TableContents"/>
              <w:bidi w:val="0"/>
              <w:spacing w:before="0" w:after="0"/>
              <w:jc w:val="both"/>
              <w:rPr/>
            </w:pPr>
            <w:r>
              <w:rPr/>
              <w:t>Table of Contents, Headings, etc</w:t>
            </w:r>
          </w:p>
        </w:tc>
        <w:tc>
          <w:tcPr>
            <w:tcW w:w="530" w:type="dxa"/>
            <w:tcBorders/>
            <w:vAlign w:val="center"/>
          </w:tcPr>
          <w:p>
            <w:pPr>
              <w:pStyle w:val="TableContents"/>
              <w:bidi w:val="0"/>
              <w:spacing w:before="0" w:after="0"/>
              <w:jc w:val="right"/>
              <w:rPr/>
            </w:pPr>
            <w:r>
              <w:rPr/>
              <w:t>47</w:t>
            </w:r>
          </w:p>
        </w:tc>
      </w:tr>
      <w:tr>
        <w:trPr/>
        <w:tc>
          <w:tcPr>
            <w:tcW w:w="75" w:type="dxa"/>
            <w:tcBorders/>
            <w:shd w:fill="CCEEFF" w:val="clear"/>
            <w:vAlign w:val="center"/>
          </w:tcPr>
          <w:p>
            <w:pPr>
              <w:pStyle w:val="TableContents"/>
              <w:bidi w:val="0"/>
              <w:spacing w:before="0" w:after="283"/>
              <w:jc w:val="both"/>
              <w:rPr/>
            </w:pPr>
            <w:r>
              <w:rPr/>
              <w:t> </w:t>
            </w:r>
          </w:p>
        </w:tc>
        <w:tc>
          <w:tcPr>
            <w:tcW w:w="1325" w:type="dxa"/>
            <w:tcBorders/>
            <w:shd w:fill="CCEEFF" w:val="clear"/>
            <w:vAlign w:val="center"/>
          </w:tcPr>
          <w:p>
            <w:pPr>
              <w:pStyle w:val="TableContents"/>
              <w:bidi w:val="0"/>
              <w:spacing w:before="0" w:after="0"/>
              <w:jc w:val="both"/>
              <w:rPr/>
            </w:pPr>
            <w:r>
              <w:rPr/>
              <w:t>Section 12.15</w:t>
            </w:r>
          </w:p>
        </w:tc>
        <w:tc>
          <w:tcPr>
            <w:tcW w:w="6980" w:type="dxa"/>
            <w:tcBorders/>
            <w:shd w:fill="CCEEFF" w:val="clear"/>
            <w:vAlign w:val="center"/>
          </w:tcPr>
          <w:p>
            <w:pPr>
              <w:pStyle w:val="TableContents"/>
              <w:bidi w:val="0"/>
              <w:spacing w:before="0" w:after="0"/>
              <w:jc w:val="both"/>
              <w:rPr/>
            </w:pPr>
            <w:r>
              <w:rPr/>
              <w:t>U.S.A. Patriot Act</w:t>
            </w:r>
          </w:p>
        </w:tc>
        <w:tc>
          <w:tcPr>
            <w:tcW w:w="530" w:type="dxa"/>
            <w:tcBorders/>
            <w:shd w:fill="CCEEFF" w:val="clear"/>
            <w:vAlign w:val="center"/>
          </w:tcPr>
          <w:p>
            <w:pPr>
              <w:pStyle w:val="TableContents"/>
              <w:bidi w:val="0"/>
              <w:spacing w:before="0" w:after="0"/>
              <w:jc w:val="right"/>
              <w:rPr/>
            </w:pPr>
            <w:r>
              <w:rPr/>
              <w:t>47</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iii</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CROSS-REFERENCE TABLE*</w:t>
      </w:r>
    </w:p>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18" w:name="zd31f0c5bd11c40f399bf5a03b5b798e7"/>
      <w:bookmarkStart w:id="19" w:name="zd31f0c5bd11c40f399bf5a03b5b798e7"/>
      <w:bookmarkEnd w:id="19"/>
    </w:p>
    <w:tbl>
      <w:tblPr>
        <w:tblW w:w="4750" w:type="dxa"/>
        <w:jc w:val="left"/>
        <w:tblInd w:w="0" w:type="dxa"/>
        <w:tblLayout w:type="fixed"/>
        <w:tblCellMar>
          <w:top w:w="0" w:type="dxa"/>
          <w:left w:w="0" w:type="dxa"/>
          <w:bottom w:w="0" w:type="dxa"/>
          <w:right w:w="0" w:type="dxa"/>
        </w:tblCellMar>
      </w:tblPr>
      <w:tblGrid>
        <w:gridCol w:w="2900"/>
        <w:gridCol w:w="1850"/>
      </w:tblGrid>
      <w:tr>
        <w:trPr/>
        <w:tc>
          <w:tcPr>
            <w:tcW w:w="2900" w:type="dxa"/>
            <w:tcBorders/>
            <w:vAlign w:val="center"/>
          </w:tcPr>
          <w:p>
            <w:pPr>
              <w:pStyle w:val="TableContents"/>
              <w:bidi w:val="0"/>
              <w:spacing w:before="0" w:after="0"/>
              <w:jc w:val="both"/>
              <w:rPr>
                <w:b/>
                <w:color w:val="000000"/>
              </w:rPr>
            </w:pPr>
            <w:r>
              <w:rPr>
                <w:b/>
                <w:color w:val="000000"/>
              </w:rPr>
              <w:t>Trust Indenture Act Section</w:t>
            </w:r>
          </w:p>
        </w:tc>
        <w:tc>
          <w:tcPr>
            <w:tcW w:w="1850" w:type="dxa"/>
            <w:tcBorders/>
            <w:vAlign w:val="center"/>
          </w:tcPr>
          <w:p>
            <w:pPr>
              <w:pStyle w:val="TableContents"/>
              <w:bidi w:val="0"/>
              <w:spacing w:before="0" w:after="0"/>
              <w:jc w:val="center"/>
              <w:rPr>
                <w:b/>
                <w:color w:val="000000"/>
              </w:rPr>
            </w:pPr>
            <w:r>
              <w:rPr>
                <w:b/>
                <w:color w:val="000000"/>
              </w:rPr>
              <w:t>Indenture Section</w:t>
            </w:r>
          </w:p>
        </w:tc>
      </w:tr>
      <w:tr>
        <w:trPr/>
        <w:tc>
          <w:tcPr>
            <w:tcW w:w="2900" w:type="dxa"/>
            <w:tcBorders/>
            <w:shd w:fill="CCEEFF" w:val="clear"/>
            <w:vAlign w:val="center"/>
          </w:tcPr>
          <w:p>
            <w:pPr>
              <w:pStyle w:val="TableContents"/>
              <w:bidi w:val="0"/>
              <w:spacing w:before="0" w:after="0"/>
              <w:jc w:val="both"/>
              <w:rPr>
                <w:color w:val="000000"/>
              </w:rPr>
            </w:pPr>
            <w:r>
              <w:rPr>
                <w:color w:val="000000"/>
              </w:rPr>
              <w:t>310(a)</w:t>
            </w:r>
          </w:p>
        </w:tc>
        <w:tc>
          <w:tcPr>
            <w:tcW w:w="1850" w:type="dxa"/>
            <w:tcBorders/>
            <w:shd w:fill="CCEEFF" w:val="clear"/>
            <w:vAlign w:val="center"/>
          </w:tcPr>
          <w:p>
            <w:pPr>
              <w:pStyle w:val="TableContents"/>
              <w:bidi w:val="0"/>
              <w:spacing w:before="0" w:after="0"/>
              <w:jc w:val="center"/>
              <w:rPr>
                <w:color w:val="000000"/>
              </w:rPr>
            </w:pPr>
            <w:r>
              <w:rPr>
                <w:color w:val="000000"/>
              </w:rPr>
              <w:t>7.10</w:t>
            </w:r>
          </w:p>
        </w:tc>
      </w:tr>
      <w:tr>
        <w:trPr/>
        <w:tc>
          <w:tcPr>
            <w:tcW w:w="2900" w:type="dxa"/>
            <w:tcBorders/>
            <w:vAlign w:val="center"/>
          </w:tcPr>
          <w:p>
            <w:pPr>
              <w:pStyle w:val="TableContents"/>
              <w:bidi w:val="0"/>
              <w:spacing w:before="0" w:after="0"/>
              <w:jc w:val="both"/>
              <w:rPr>
                <w:color w:val="000000"/>
              </w:rPr>
            </w:pPr>
            <w:r>
              <w:rPr>
                <w:color w:val="000000"/>
              </w:rPr>
              <w:t>311(a)</w:t>
            </w:r>
          </w:p>
        </w:tc>
        <w:tc>
          <w:tcPr>
            <w:tcW w:w="1850" w:type="dxa"/>
            <w:tcBorders/>
            <w:vAlign w:val="center"/>
          </w:tcPr>
          <w:p>
            <w:pPr>
              <w:pStyle w:val="TableContents"/>
              <w:bidi w:val="0"/>
              <w:spacing w:before="0" w:after="0"/>
              <w:jc w:val="center"/>
              <w:rPr>
                <w:color w:val="000000"/>
              </w:rPr>
            </w:pPr>
            <w:r>
              <w:rPr>
                <w:color w:val="000000"/>
              </w:rPr>
              <w:t>7.11</w:t>
            </w:r>
          </w:p>
        </w:tc>
      </w:tr>
      <w:tr>
        <w:trPr/>
        <w:tc>
          <w:tcPr>
            <w:tcW w:w="2900" w:type="dxa"/>
            <w:tcBorders/>
            <w:shd w:fill="CCEEFF" w:val="clear"/>
            <w:vAlign w:val="center"/>
          </w:tcPr>
          <w:p>
            <w:pPr>
              <w:pStyle w:val="TableContents"/>
              <w:bidi w:val="0"/>
              <w:spacing w:before="0" w:after="0"/>
              <w:jc w:val="both"/>
              <w:rPr>
                <w:color w:val="000000"/>
              </w:rPr>
            </w:pPr>
            <w:r>
              <w:rPr>
                <w:color w:val="000000"/>
              </w:rPr>
              <w:t>(b)</w:t>
            </w:r>
          </w:p>
        </w:tc>
        <w:tc>
          <w:tcPr>
            <w:tcW w:w="1850" w:type="dxa"/>
            <w:tcBorders/>
            <w:shd w:fill="CCEEFF" w:val="clear"/>
            <w:vAlign w:val="center"/>
          </w:tcPr>
          <w:p>
            <w:pPr>
              <w:pStyle w:val="TableContents"/>
              <w:bidi w:val="0"/>
              <w:spacing w:before="0" w:after="0"/>
              <w:jc w:val="center"/>
              <w:rPr>
                <w:color w:val="000000"/>
              </w:rPr>
            </w:pPr>
            <w:r>
              <w:rPr>
                <w:color w:val="000000"/>
              </w:rPr>
              <w:t>7.11</w:t>
            </w:r>
          </w:p>
        </w:tc>
      </w:tr>
      <w:tr>
        <w:trPr/>
        <w:tc>
          <w:tcPr>
            <w:tcW w:w="2900" w:type="dxa"/>
            <w:tcBorders/>
            <w:vAlign w:val="center"/>
          </w:tcPr>
          <w:p>
            <w:pPr>
              <w:pStyle w:val="TableContents"/>
              <w:bidi w:val="0"/>
              <w:spacing w:before="0" w:after="0"/>
              <w:jc w:val="both"/>
              <w:rPr>
                <w:color w:val="000000"/>
              </w:rPr>
            </w:pPr>
            <w:r>
              <w:rPr>
                <w:color w:val="000000"/>
              </w:rPr>
              <w:t>312(a)</w:t>
            </w:r>
          </w:p>
        </w:tc>
        <w:tc>
          <w:tcPr>
            <w:tcW w:w="1850" w:type="dxa"/>
            <w:tcBorders/>
            <w:vAlign w:val="center"/>
          </w:tcPr>
          <w:p>
            <w:pPr>
              <w:pStyle w:val="TableContents"/>
              <w:bidi w:val="0"/>
              <w:spacing w:before="0" w:after="0"/>
              <w:jc w:val="center"/>
              <w:rPr>
                <w:color w:val="000000"/>
              </w:rPr>
            </w:pPr>
            <w:r>
              <w:rPr>
                <w:color w:val="000000"/>
              </w:rPr>
              <w:t>2.06</w:t>
            </w:r>
          </w:p>
        </w:tc>
      </w:tr>
      <w:tr>
        <w:trPr/>
        <w:tc>
          <w:tcPr>
            <w:tcW w:w="2900" w:type="dxa"/>
            <w:tcBorders/>
            <w:shd w:fill="CCEEFF" w:val="clear"/>
            <w:vAlign w:val="center"/>
          </w:tcPr>
          <w:p>
            <w:pPr>
              <w:pStyle w:val="TableContents"/>
              <w:bidi w:val="0"/>
              <w:spacing w:before="0" w:after="0"/>
              <w:jc w:val="both"/>
              <w:rPr>
                <w:color w:val="000000"/>
              </w:rPr>
            </w:pPr>
            <w:r>
              <w:rPr>
                <w:color w:val="000000"/>
              </w:rPr>
              <w:t>(b)</w:t>
            </w:r>
          </w:p>
        </w:tc>
        <w:tc>
          <w:tcPr>
            <w:tcW w:w="1850" w:type="dxa"/>
            <w:tcBorders/>
            <w:shd w:fill="CCEEFF" w:val="clear"/>
            <w:vAlign w:val="center"/>
          </w:tcPr>
          <w:p>
            <w:pPr>
              <w:pStyle w:val="TableContents"/>
              <w:bidi w:val="0"/>
              <w:spacing w:before="0" w:after="0"/>
              <w:jc w:val="center"/>
              <w:rPr>
                <w:color w:val="000000"/>
              </w:rPr>
            </w:pPr>
            <w:r>
              <w:rPr>
                <w:color w:val="000000"/>
              </w:rPr>
              <w:t>12.03</w:t>
            </w:r>
          </w:p>
        </w:tc>
      </w:tr>
      <w:tr>
        <w:trPr/>
        <w:tc>
          <w:tcPr>
            <w:tcW w:w="2900" w:type="dxa"/>
            <w:tcBorders/>
            <w:vAlign w:val="center"/>
          </w:tcPr>
          <w:p>
            <w:pPr>
              <w:pStyle w:val="TableContents"/>
              <w:bidi w:val="0"/>
              <w:spacing w:before="0" w:after="0"/>
              <w:jc w:val="both"/>
              <w:rPr>
                <w:color w:val="000000"/>
              </w:rPr>
            </w:pPr>
            <w:r>
              <w:rPr>
                <w:color w:val="000000"/>
              </w:rPr>
              <w:t>(c)</w:t>
            </w:r>
          </w:p>
        </w:tc>
        <w:tc>
          <w:tcPr>
            <w:tcW w:w="1850" w:type="dxa"/>
            <w:tcBorders/>
            <w:vAlign w:val="center"/>
          </w:tcPr>
          <w:p>
            <w:pPr>
              <w:pStyle w:val="TableContents"/>
              <w:bidi w:val="0"/>
              <w:spacing w:before="0" w:after="0"/>
              <w:jc w:val="center"/>
              <w:rPr>
                <w:color w:val="000000"/>
              </w:rPr>
            </w:pPr>
            <w:r>
              <w:rPr>
                <w:color w:val="000000"/>
              </w:rPr>
              <w:t>12.03</w:t>
            </w:r>
          </w:p>
        </w:tc>
      </w:tr>
      <w:tr>
        <w:trPr/>
        <w:tc>
          <w:tcPr>
            <w:tcW w:w="2900" w:type="dxa"/>
            <w:tcBorders/>
            <w:shd w:fill="CCEEFF" w:val="clear"/>
            <w:vAlign w:val="center"/>
          </w:tcPr>
          <w:p>
            <w:pPr>
              <w:pStyle w:val="TableContents"/>
              <w:bidi w:val="0"/>
              <w:spacing w:before="0" w:after="0"/>
              <w:jc w:val="both"/>
              <w:rPr>
                <w:color w:val="000000"/>
              </w:rPr>
            </w:pPr>
            <w:r>
              <w:rPr>
                <w:color w:val="000000"/>
              </w:rPr>
              <w:t>313(a)</w:t>
            </w:r>
          </w:p>
        </w:tc>
        <w:tc>
          <w:tcPr>
            <w:tcW w:w="1850" w:type="dxa"/>
            <w:tcBorders/>
            <w:shd w:fill="CCEEFF" w:val="clear"/>
            <w:vAlign w:val="center"/>
          </w:tcPr>
          <w:p>
            <w:pPr>
              <w:pStyle w:val="TableContents"/>
              <w:bidi w:val="0"/>
              <w:spacing w:before="0" w:after="0"/>
              <w:jc w:val="center"/>
              <w:rPr>
                <w:color w:val="000000"/>
              </w:rPr>
            </w:pPr>
            <w:r>
              <w:rPr>
                <w:color w:val="000000"/>
              </w:rPr>
              <w:t>7.06</w:t>
            </w:r>
          </w:p>
        </w:tc>
      </w:tr>
      <w:tr>
        <w:trPr/>
        <w:tc>
          <w:tcPr>
            <w:tcW w:w="2900" w:type="dxa"/>
            <w:tcBorders/>
            <w:vAlign w:val="center"/>
          </w:tcPr>
          <w:p>
            <w:pPr>
              <w:pStyle w:val="TableContents"/>
              <w:bidi w:val="0"/>
              <w:spacing w:before="0" w:after="0"/>
              <w:jc w:val="both"/>
              <w:rPr>
                <w:color w:val="000000"/>
              </w:rPr>
            </w:pPr>
            <w:r>
              <w:rPr>
                <w:color w:val="000000"/>
              </w:rPr>
              <w:t>(b)(2)</w:t>
            </w:r>
          </w:p>
        </w:tc>
        <w:tc>
          <w:tcPr>
            <w:tcW w:w="1850" w:type="dxa"/>
            <w:tcBorders/>
            <w:vAlign w:val="center"/>
          </w:tcPr>
          <w:p>
            <w:pPr>
              <w:pStyle w:val="TableContents"/>
              <w:bidi w:val="0"/>
              <w:spacing w:before="0" w:after="0"/>
              <w:jc w:val="center"/>
              <w:rPr>
                <w:color w:val="000000"/>
              </w:rPr>
            </w:pPr>
            <w:r>
              <w:rPr>
                <w:color w:val="000000"/>
              </w:rPr>
              <w:t>7.07</w:t>
            </w:r>
          </w:p>
        </w:tc>
      </w:tr>
      <w:tr>
        <w:trPr/>
        <w:tc>
          <w:tcPr>
            <w:tcW w:w="2900" w:type="dxa"/>
            <w:tcBorders/>
            <w:shd w:fill="CCEEFF" w:val="clear"/>
            <w:vAlign w:val="center"/>
          </w:tcPr>
          <w:p>
            <w:pPr>
              <w:pStyle w:val="TableContents"/>
              <w:bidi w:val="0"/>
              <w:spacing w:before="0" w:after="0"/>
              <w:jc w:val="both"/>
              <w:rPr>
                <w:color w:val="000000"/>
              </w:rPr>
            </w:pPr>
            <w:r>
              <w:rPr>
                <w:color w:val="000000"/>
              </w:rPr>
              <w:t>(d)</w:t>
            </w:r>
          </w:p>
        </w:tc>
        <w:tc>
          <w:tcPr>
            <w:tcW w:w="1850" w:type="dxa"/>
            <w:tcBorders/>
            <w:shd w:fill="CCEEFF" w:val="clear"/>
            <w:vAlign w:val="center"/>
          </w:tcPr>
          <w:p>
            <w:pPr>
              <w:pStyle w:val="TableContents"/>
              <w:bidi w:val="0"/>
              <w:spacing w:before="0" w:after="0"/>
              <w:jc w:val="center"/>
              <w:rPr>
                <w:color w:val="000000"/>
              </w:rPr>
            </w:pPr>
            <w:r>
              <w:rPr>
                <w:color w:val="000000"/>
              </w:rPr>
              <w:t>7.06</w:t>
            </w:r>
          </w:p>
        </w:tc>
      </w:tr>
      <w:tr>
        <w:trPr/>
        <w:tc>
          <w:tcPr>
            <w:tcW w:w="2900" w:type="dxa"/>
            <w:tcBorders/>
            <w:vAlign w:val="center"/>
          </w:tcPr>
          <w:p>
            <w:pPr>
              <w:pStyle w:val="TableContents"/>
              <w:bidi w:val="0"/>
              <w:spacing w:before="0" w:after="0"/>
              <w:jc w:val="both"/>
              <w:rPr>
                <w:color w:val="000000"/>
              </w:rPr>
            </w:pPr>
            <w:r>
              <w:rPr>
                <w:color w:val="000000"/>
              </w:rPr>
              <w:t>314(a)</w:t>
            </w:r>
          </w:p>
        </w:tc>
        <w:tc>
          <w:tcPr>
            <w:tcW w:w="1850" w:type="dxa"/>
            <w:tcBorders/>
            <w:vAlign w:val="center"/>
          </w:tcPr>
          <w:p>
            <w:pPr>
              <w:pStyle w:val="TableContents"/>
              <w:bidi w:val="0"/>
              <w:spacing w:before="0" w:after="0"/>
              <w:jc w:val="center"/>
              <w:rPr>
                <w:color w:val="000000"/>
              </w:rPr>
            </w:pPr>
            <w:r>
              <w:rPr>
                <w:color w:val="000000"/>
              </w:rPr>
              <w:t>1.03</w:t>
            </w:r>
          </w:p>
        </w:tc>
      </w:tr>
      <w:tr>
        <w:trPr/>
        <w:tc>
          <w:tcPr>
            <w:tcW w:w="2900" w:type="dxa"/>
            <w:tcBorders/>
            <w:shd w:fill="CCEEFF" w:val="clear"/>
            <w:vAlign w:val="center"/>
          </w:tcPr>
          <w:p>
            <w:pPr>
              <w:pStyle w:val="TableContents"/>
              <w:bidi w:val="0"/>
              <w:spacing w:before="0" w:after="0"/>
              <w:jc w:val="both"/>
              <w:rPr>
                <w:color w:val="000000"/>
              </w:rPr>
            </w:pPr>
            <w:r>
              <w:rPr>
                <w:color w:val="000000"/>
              </w:rPr>
              <w:t>(a)(4)</w:t>
            </w:r>
          </w:p>
        </w:tc>
        <w:tc>
          <w:tcPr>
            <w:tcW w:w="1850" w:type="dxa"/>
            <w:tcBorders/>
            <w:shd w:fill="CCEEFF" w:val="clear"/>
            <w:vAlign w:val="center"/>
          </w:tcPr>
          <w:p>
            <w:pPr>
              <w:pStyle w:val="TableContents"/>
              <w:bidi w:val="0"/>
              <w:spacing w:before="0" w:after="0"/>
              <w:jc w:val="center"/>
              <w:rPr>
                <w:color w:val="000000"/>
              </w:rPr>
            </w:pPr>
            <w:r>
              <w:rPr>
                <w:color w:val="000000"/>
              </w:rPr>
              <w:t>4.05, 12.05</w:t>
            </w:r>
          </w:p>
        </w:tc>
      </w:tr>
      <w:tr>
        <w:trPr/>
        <w:tc>
          <w:tcPr>
            <w:tcW w:w="2900" w:type="dxa"/>
            <w:tcBorders/>
            <w:vAlign w:val="center"/>
          </w:tcPr>
          <w:p>
            <w:pPr>
              <w:pStyle w:val="TableContents"/>
              <w:bidi w:val="0"/>
              <w:spacing w:before="0" w:after="0"/>
              <w:jc w:val="both"/>
              <w:rPr>
                <w:color w:val="000000"/>
              </w:rPr>
            </w:pPr>
            <w:r>
              <w:rPr>
                <w:color w:val="000000"/>
              </w:rPr>
              <w:t>(b)</w:t>
            </w:r>
          </w:p>
        </w:tc>
        <w:tc>
          <w:tcPr>
            <w:tcW w:w="1850" w:type="dxa"/>
            <w:tcBorders/>
            <w:vAlign w:val="center"/>
          </w:tcPr>
          <w:p>
            <w:pPr>
              <w:pStyle w:val="TableContents"/>
              <w:bidi w:val="0"/>
              <w:spacing w:before="0" w:after="0"/>
              <w:jc w:val="center"/>
              <w:rPr>
                <w:color w:val="000000"/>
              </w:rPr>
            </w:pPr>
            <w:r>
              <w:rPr>
                <w:color w:val="000000"/>
              </w:rPr>
              <w:t>Not Applicable</w:t>
            </w:r>
          </w:p>
        </w:tc>
      </w:tr>
      <w:tr>
        <w:trPr/>
        <w:tc>
          <w:tcPr>
            <w:tcW w:w="2900" w:type="dxa"/>
            <w:tcBorders/>
            <w:shd w:fill="CCEEFF" w:val="clear"/>
            <w:vAlign w:val="center"/>
          </w:tcPr>
          <w:p>
            <w:pPr>
              <w:pStyle w:val="TableContents"/>
              <w:bidi w:val="0"/>
              <w:spacing w:before="0" w:after="0"/>
              <w:jc w:val="both"/>
              <w:rPr>
                <w:color w:val="000000"/>
              </w:rPr>
            </w:pPr>
            <w:r>
              <w:rPr>
                <w:color w:val="000000"/>
              </w:rPr>
              <w:t>(c)(1)</w:t>
            </w:r>
          </w:p>
        </w:tc>
        <w:tc>
          <w:tcPr>
            <w:tcW w:w="1850" w:type="dxa"/>
            <w:tcBorders/>
            <w:shd w:fill="CCEEFF" w:val="clear"/>
            <w:vAlign w:val="center"/>
          </w:tcPr>
          <w:p>
            <w:pPr>
              <w:pStyle w:val="TableContents"/>
              <w:bidi w:val="0"/>
              <w:spacing w:before="0" w:after="0"/>
              <w:jc w:val="center"/>
              <w:rPr>
                <w:color w:val="000000"/>
              </w:rPr>
            </w:pPr>
            <w:r>
              <w:rPr>
                <w:color w:val="000000"/>
              </w:rPr>
              <w:t>12.04</w:t>
            </w:r>
          </w:p>
        </w:tc>
      </w:tr>
      <w:tr>
        <w:trPr/>
        <w:tc>
          <w:tcPr>
            <w:tcW w:w="2900" w:type="dxa"/>
            <w:tcBorders/>
            <w:vAlign w:val="center"/>
          </w:tcPr>
          <w:p>
            <w:pPr>
              <w:pStyle w:val="TableContents"/>
              <w:bidi w:val="0"/>
              <w:spacing w:before="0" w:after="0"/>
              <w:jc w:val="both"/>
              <w:rPr>
                <w:color w:val="000000"/>
              </w:rPr>
            </w:pPr>
            <w:r>
              <w:rPr>
                <w:color w:val="000000"/>
              </w:rPr>
              <w:t>(c)(2)</w:t>
            </w:r>
          </w:p>
        </w:tc>
        <w:tc>
          <w:tcPr>
            <w:tcW w:w="1850" w:type="dxa"/>
            <w:tcBorders/>
            <w:vAlign w:val="center"/>
          </w:tcPr>
          <w:p>
            <w:pPr>
              <w:pStyle w:val="TableContents"/>
              <w:bidi w:val="0"/>
              <w:spacing w:before="0" w:after="0"/>
              <w:jc w:val="center"/>
              <w:rPr>
                <w:color w:val="000000"/>
              </w:rPr>
            </w:pPr>
            <w:r>
              <w:rPr>
                <w:color w:val="000000"/>
              </w:rPr>
              <w:t>12.04</w:t>
            </w:r>
          </w:p>
        </w:tc>
      </w:tr>
      <w:tr>
        <w:trPr/>
        <w:tc>
          <w:tcPr>
            <w:tcW w:w="2900" w:type="dxa"/>
            <w:tcBorders/>
            <w:shd w:fill="CCEEFF" w:val="clear"/>
            <w:vAlign w:val="center"/>
          </w:tcPr>
          <w:p>
            <w:pPr>
              <w:pStyle w:val="TableContents"/>
              <w:bidi w:val="0"/>
              <w:spacing w:before="0" w:after="0"/>
              <w:jc w:val="both"/>
              <w:rPr>
                <w:color w:val="000000"/>
              </w:rPr>
            </w:pPr>
            <w:r>
              <w:rPr>
                <w:color w:val="000000"/>
              </w:rPr>
              <w:t>(c)(3)</w:t>
            </w:r>
          </w:p>
        </w:tc>
        <w:tc>
          <w:tcPr>
            <w:tcW w:w="1850" w:type="dxa"/>
            <w:tcBorders/>
            <w:shd w:fill="CCEEFF" w:val="clear"/>
            <w:vAlign w:val="center"/>
          </w:tcPr>
          <w:p>
            <w:pPr>
              <w:pStyle w:val="TableContents"/>
              <w:bidi w:val="0"/>
              <w:spacing w:before="0" w:after="0"/>
              <w:jc w:val="center"/>
              <w:rPr>
                <w:color w:val="000000"/>
              </w:rPr>
            </w:pPr>
            <w:r>
              <w:rPr>
                <w:color w:val="000000"/>
              </w:rPr>
              <w:t>Not Applicable</w:t>
            </w:r>
          </w:p>
        </w:tc>
      </w:tr>
      <w:tr>
        <w:trPr/>
        <w:tc>
          <w:tcPr>
            <w:tcW w:w="2900" w:type="dxa"/>
            <w:tcBorders/>
            <w:vAlign w:val="center"/>
          </w:tcPr>
          <w:p>
            <w:pPr>
              <w:pStyle w:val="TableContents"/>
              <w:bidi w:val="0"/>
              <w:spacing w:before="0" w:after="0"/>
              <w:jc w:val="both"/>
              <w:rPr>
                <w:color w:val="000000"/>
              </w:rPr>
            </w:pPr>
            <w:r>
              <w:rPr>
                <w:color w:val="000000"/>
              </w:rPr>
              <w:t>(d)</w:t>
            </w:r>
          </w:p>
        </w:tc>
        <w:tc>
          <w:tcPr>
            <w:tcW w:w="1850" w:type="dxa"/>
            <w:tcBorders/>
            <w:vAlign w:val="center"/>
          </w:tcPr>
          <w:p>
            <w:pPr>
              <w:pStyle w:val="TableContents"/>
              <w:bidi w:val="0"/>
              <w:spacing w:before="0" w:after="0"/>
              <w:jc w:val="center"/>
              <w:rPr>
                <w:color w:val="000000"/>
              </w:rPr>
            </w:pPr>
            <w:r>
              <w:rPr>
                <w:color w:val="000000"/>
              </w:rPr>
              <w:t>Not Applicable</w:t>
            </w:r>
          </w:p>
        </w:tc>
      </w:tr>
      <w:tr>
        <w:trPr/>
        <w:tc>
          <w:tcPr>
            <w:tcW w:w="2900" w:type="dxa"/>
            <w:tcBorders/>
            <w:shd w:fill="CCEEFF" w:val="clear"/>
            <w:vAlign w:val="center"/>
          </w:tcPr>
          <w:p>
            <w:pPr>
              <w:pStyle w:val="TableContents"/>
              <w:bidi w:val="0"/>
              <w:spacing w:before="0" w:after="0"/>
              <w:jc w:val="both"/>
              <w:rPr>
                <w:color w:val="000000"/>
              </w:rPr>
            </w:pPr>
            <w:r>
              <w:rPr>
                <w:color w:val="000000"/>
              </w:rPr>
              <w:t>(e)</w:t>
            </w:r>
          </w:p>
        </w:tc>
        <w:tc>
          <w:tcPr>
            <w:tcW w:w="1850" w:type="dxa"/>
            <w:tcBorders/>
            <w:shd w:fill="CCEEFF" w:val="clear"/>
            <w:vAlign w:val="center"/>
          </w:tcPr>
          <w:p>
            <w:pPr>
              <w:pStyle w:val="TableContents"/>
              <w:bidi w:val="0"/>
              <w:spacing w:before="0" w:after="0"/>
              <w:jc w:val="center"/>
              <w:rPr>
                <w:color w:val="000000"/>
              </w:rPr>
            </w:pPr>
            <w:r>
              <w:rPr>
                <w:color w:val="000000"/>
              </w:rPr>
              <w:t>12.05</w:t>
            </w:r>
          </w:p>
        </w:tc>
      </w:tr>
      <w:tr>
        <w:trPr/>
        <w:tc>
          <w:tcPr>
            <w:tcW w:w="2900" w:type="dxa"/>
            <w:tcBorders/>
            <w:vAlign w:val="center"/>
          </w:tcPr>
          <w:p>
            <w:pPr>
              <w:pStyle w:val="TableContents"/>
              <w:bidi w:val="0"/>
              <w:spacing w:before="0" w:after="0"/>
              <w:jc w:val="both"/>
              <w:rPr>
                <w:color w:val="000000"/>
              </w:rPr>
            </w:pPr>
            <w:r>
              <w:rPr>
                <w:color w:val="000000"/>
              </w:rPr>
              <w:t>315(a)</w:t>
            </w:r>
          </w:p>
        </w:tc>
        <w:tc>
          <w:tcPr>
            <w:tcW w:w="1850" w:type="dxa"/>
            <w:tcBorders/>
            <w:vAlign w:val="center"/>
          </w:tcPr>
          <w:p>
            <w:pPr>
              <w:pStyle w:val="TableContents"/>
              <w:bidi w:val="0"/>
              <w:spacing w:before="0" w:after="0"/>
              <w:jc w:val="center"/>
              <w:rPr>
                <w:color w:val="000000"/>
              </w:rPr>
            </w:pPr>
            <w:r>
              <w:rPr>
                <w:color w:val="000000"/>
              </w:rPr>
              <w:t>7.01, 7.02</w:t>
            </w:r>
          </w:p>
        </w:tc>
      </w:tr>
      <w:tr>
        <w:trPr/>
        <w:tc>
          <w:tcPr>
            <w:tcW w:w="2900" w:type="dxa"/>
            <w:tcBorders/>
            <w:shd w:fill="CCEEFF" w:val="clear"/>
            <w:vAlign w:val="center"/>
          </w:tcPr>
          <w:p>
            <w:pPr>
              <w:pStyle w:val="TableContents"/>
              <w:bidi w:val="0"/>
              <w:spacing w:before="0" w:after="0"/>
              <w:jc w:val="both"/>
              <w:rPr>
                <w:color w:val="000000"/>
              </w:rPr>
            </w:pPr>
            <w:r>
              <w:rPr>
                <w:color w:val="000000"/>
              </w:rPr>
              <w:t>(b)</w:t>
            </w:r>
          </w:p>
        </w:tc>
        <w:tc>
          <w:tcPr>
            <w:tcW w:w="1850" w:type="dxa"/>
            <w:tcBorders/>
            <w:shd w:fill="CCEEFF" w:val="clear"/>
            <w:vAlign w:val="center"/>
          </w:tcPr>
          <w:p>
            <w:pPr>
              <w:pStyle w:val="TableContents"/>
              <w:bidi w:val="0"/>
              <w:spacing w:before="0" w:after="0"/>
              <w:jc w:val="center"/>
              <w:rPr>
                <w:color w:val="000000"/>
              </w:rPr>
            </w:pPr>
            <w:r>
              <w:rPr>
                <w:color w:val="000000"/>
              </w:rPr>
              <w:t>7.05, 12.02</w:t>
            </w:r>
          </w:p>
        </w:tc>
      </w:tr>
      <w:tr>
        <w:trPr/>
        <w:tc>
          <w:tcPr>
            <w:tcW w:w="2900" w:type="dxa"/>
            <w:tcBorders/>
            <w:vAlign w:val="center"/>
          </w:tcPr>
          <w:p>
            <w:pPr>
              <w:pStyle w:val="TableContents"/>
              <w:bidi w:val="0"/>
              <w:spacing w:before="0" w:after="0"/>
              <w:jc w:val="both"/>
              <w:rPr>
                <w:color w:val="000000"/>
              </w:rPr>
            </w:pPr>
            <w:r>
              <w:rPr>
                <w:color w:val="000000"/>
              </w:rPr>
              <w:t>(c)</w:t>
            </w:r>
          </w:p>
        </w:tc>
        <w:tc>
          <w:tcPr>
            <w:tcW w:w="1850" w:type="dxa"/>
            <w:tcBorders/>
            <w:vAlign w:val="center"/>
          </w:tcPr>
          <w:p>
            <w:pPr>
              <w:pStyle w:val="TableContents"/>
              <w:bidi w:val="0"/>
              <w:spacing w:before="0" w:after="0"/>
              <w:jc w:val="center"/>
              <w:rPr>
                <w:color w:val="000000"/>
              </w:rPr>
            </w:pPr>
            <w:r>
              <w:rPr>
                <w:color w:val="000000"/>
              </w:rPr>
              <w:t>7.01</w:t>
            </w:r>
          </w:p>
        </w:tc>
      </w:tr>
      <w:tr>
        <w:trPr/>
        <w:tc>
          <w:tcPr>
            <w:tcW w:w="2900" w:type="dxa"/>
            <w:tcBorders/>
            <w:shd w:fill="CCEEFF" w:val="clear"/>
            <w:vAlign w:val="center"/>
          </w:tcPr>
          <w:p>
            <w:pPr>
              <w:pStyle w:val="TableContents"/>
              <w:bidi w:val="0"/>
              <w:spacing w:before="0" w:after="0"/>
              <w:jc w:val="both"/>
              <w:rPr>
                <w:color w:val="000000"/>
              </w:rPr>
            </w:pPr>
            <w:r>
              <w:rPr>
                <w:color w:val="000000"/>
              </w:rPr>
              <w:t>(d)</w:t>
            </w:r>
          </w:p>
        </w:tc>
        <w:tc>
          <w:tcPr>
            <w:tcW w:w="1850" w:type="dxa"/>
            <w:tcBorders/>
            <w:shd w:fill="CCEEFF" w:val="clear"/>
            <w:vAlign w:val="center"/>
          </w:tcPr>
          <w:p>
            <w:pPr>
              <w:pStyle w:val="TableContents"/>
              <w:bidi w:val="0"/>
              <w:spacing w:before="0" w:after="0"/>
              <w:jc w:val="center"/>
              <w:rPr>
                <w:color w:val="000000"/>
              </w:rPr>
            </w:pPr>
            <w:r>
              <w:rPr>
                <w:color w:val="000000"/>
              </w:rPr>
              <w:t>7.01</w:t>
            </w:r>
          </w:p>
        </w:tc>
      </w:tr>
      <w:tr>
        <w:trPr/>
        <w:tc>
          <w:tcPr>
            <w:tcW w:w="2900" w:type="dxa"/>
            <w:tcBorders/>
            <w:vAlign w:val="center"/>
          </w:tcPr>
          <w:p>
            <w:pPr>
              <w:pStyle w:val="TableContents"/>
              <w:bidi w:val="0"/>
              <w:spacing w:before="0" w:after="0"/>
              <w:jc w:val="both"/>
              <w:rPr>
                <w:color w:val="000000"/>
              </w:rPr>
            </w:pPr>
            <w:r>
              <w:rPr>
                <w:color w:val="000000"/>
              </w:rPr>
              <w:t>(e)</w:t>
            </w:r>
          </w:p>
        </w:tc>
        <w:tc>
          <w:tcPr>
            <w:tcW w:w="1850" w:type="dxa"/>
            <w:tcBorders/>
            <w:vAlign w:val="center"/>
          </w:tcPr>
          <w:p>
            <w:pPr>
              <w:pStyle w:val="TableContents"/>
              <w:bidi w:val="0"/>
              <w:spacing w:before="0" w:after="0"/>
              <w:jc w:val="center"/>
              <w:rPr>
                <w:color w:val="000000"/>
              </w:rPr>
            </w:pPr>
            <w:r>
              <w:rPr>
                <w:color w:val="000000"/>
              </w:rPr>
              <w:t>6.11</w:t>
            </w:r>
          </w:p>
        </w:tc>
      </w:tr>
      <w:tr>
        <w:trPr/>
        <w:tc>
          <w:tcPr>
            <w:tcW w:w="2900" w:type="dxa"/>
            <w:tcBorders/>
            <w:shd w:fill="CCEEFF" w:val="clear"/>
            <w:vAlign w:val="center"/>
          </w:tcPr>
          <w:p>
            <w:pPr>
              <w:pStyle w:val="TableContents"/>
              <w:bidi w:val="0"/>
              <w:spacing w:before="0" w:after="0"/>
              <w:jc w:val="both"/>
              <w:rPr>
                <w:color w:val="000000"/>
              </w:rPr>
            </w:pPr>
            <w:r>
              <w:rPr>
                <w:color w:val="000000"/>
              </w:rPr>
              <w:t>316(a)</w:t>
            </w:r>
          </w:p>
        </w:tc>
        <w:tc>
          <w:tcPr>
            <w:tcW w:w="1850" w:type="dxa"/>
            <w:tcBorders/>
            <w:shd w:fill="CCEEFF" w:val="clear"/>
            <w:vAlign w:val="center"/>
          </w:tcPr>
          <w:p>
            <w:pPr>
              <w:pStyle w:val="TableContents"/>
              <w:bidi w:val="0"/>
              <w:spacing w:before="0" w:after="0"/>
              <w:jc w:val="center"/>
              <w:rPr>
                <w:color w:val="000000"/>
              </w:rPr>
            </w:pPr>
            <w:r>
              <w:rPr>
                <w:color w:val="000000"/>
              </w:rPr>
              <w:t>2.10</w:t>
            </w:r>
          </w:p>
        </w:tc>
      </w:tr>
      <w:tr>
        <w:trPr/>
        <w:tc>
          <w:tcPr>
            <w:tcW w:w="2900" w:type="dxa"/>
            <w:tcBorders/>
            <w:vAlign w:val="center"/>
          </w:tcPr>
          <w:p>
            <w:pPr>
              <w:pStyle w:val="TableContents"/>
              <w:bidi w:val="0"/>
              <w:spacing w:before="0" w:after="0"/>
              <w:jc w:val="both"/>
              <w:rPr>
                <w:color w:val="000000"/>
              </w:rPr>
            </w:pPr>
            <w:r>
              <w:rPr>
                <w:color w:val="000000"/>
              </w:rPr>
              <w:t>(a)(1)(A)</w:t>
            </w:r>
          </w:p>
        </w:tc>
        <w:tc>
          <w:tcPr>
            <w:tcW w:w="1850" w:type="dxa"/>
            <w:tcBorders/>
            <w:vAlign w:val="center"/>
          </w:tcPr>
          <w:p>
            <w:pPr>
              <w:pStyle w:val="TableContents"/>
              <w:bidi w:val="0"/>
              <w:spacing w:before="0" w:after="0"/>
              <w:jc w:val="center"/>
              <w:rPr>
                <w:color w:val="000000"/>
              </w:rPr>
            </w:pPr>
            <w:r>
              <w:rPr>
                <w:color w:val="000000"/>
              </w:rPr>
              <w:t>6.05</w:t>
            </w:r>
          </w:p>
        </w:tc>
      </w:tr>
      <w:tr>
        <w:trPr/>
        <w:tc>
          <w:tcPr>
            <w:tcW w:w="2900" w:type="dxa"/>
            <w:tcBorders/>
            <w:shd w:fill="CCEEFF" w:val="clear"/>
            <w:vAlign w:val="center"/>
          </w:tcPr>
          <w:p>
            <w:pPr>
              <w:pStyle w:val="TableContents"/>
              <w:bidi w:val="0"/>
              <w:spacing w:before="0" w:after="0"/>
              <w:jc w:val="both"/>
              <w:rPr>
                <w:color w:val="000000"/>
              </w:rPr>
            </w:pPr>
            <w:r>
              <w:rPr>
                <w:color w:val="000000"/>
              </w:rPr>
              <w:t>(a)(1)(B)</w:t>
            </w:r>
          </w:p>
        </w:tc>
        <w:tc>
          <w:tcPr>
            <w:tcW w:w="1850" w:type="dxa"/>
            <w:tcBorders/>
            <w:shd w:fill="CCEEFF" w:val="clear"/>
            <w:vAlign w:val="center"/>
          </w:tcPr>
          <w:p>
            <w:pPr>
              <w:pStyle w:val="TableContents"/>
              <w:bidi w:val="0"/>
              <w:spacing w:before="0" w:after="0"/>
              <w:jc w:val="center"/>
              <w:rPr>
                <w:color w:val="000000"/>
              </w:rPr>
            </w:pPr>
            <w:r>
              <w:rPr>
                <w:color w:val="000000"/>
              </w:rPr>
              <w:t>6.04</w:t>
            </w:r>
          </w:p>
        </w:tc>
      </w:tr>
      <w:tr>
        <w:trPr/>
        <w:tc>
          <w:tcPr>
            <w:tcW w:w="2900" w:type="dxa"/>
            <w:tcBorders/>
            <w:vAlign w:val="center"/>
          </w:tcPr>
          <w:p>
            <w:pPr>
              <w:pStyle w:val="TableContents"/>
              <w:bidi w:val="0"/>
              <w:spacing w:before="0" w:after="0"/>
              <w:jc w:val="both"/>
              <w:rPr>
                <w:color w:val="000000"/>
              </w:rPr>
            </w:pPr>
            <w:r>
              <w:rPr>
                <w:color w:val="000000"/>
              </w:rPr>
              <w:t>(a)(2)</w:t>
            </w:r>
          </w:p>
        </w:tc>
        <w:tc>
          <w:tcPr>
            <w:tcW w:w="1850" w:type="dxa"/>
            <w:tcBorders/>
            <w:vAlign w:val="center"/>
          </w:tcPr>
          <w:p>
            <w:pPr>
              <w:pStyle w:val="TableContents"/>
              <w:bidi w:val="0"/>
              <w:spacing w:before="0" w:after="0"/>
              <w:jc w:val="center"/>
              <w:rPr>
                <w:color w:val="000000"/>
              </w:rPr>
            </w:pPr>
            <w:r>
              <w:rPr>
                <w:color w:val="000000"/>
              </w:rPr>
              <w:t>Not Applicable</w:t>
            </w:r>
          </w:p>
        </w:tc>
      </w:tr>
      <w:tr>
        <w:trPr/>
        <w:tc>
          <w:tcPr>
            <w:tcW w:w="2900" w:type="dxa"/>
            <w:tcBorders/>
            <w:shd w:fill="CCEEFF" w:val="clear"/>
            <w:vAlign w:val="center"/>
          </w:tcPr>
          <w:p>
            <w:pPr>
              <w:pStyle w:val="TableContents"/>
              <w:bidi w:val="0"/>
              <w:spacing w:before="0" w:after="0"/>
              <w:jc w:val="both"/>
              <w:rPr>
                <w:color w:val="000000"/>
              </w:rPr>
            </w:pPr>
            <w:r>
              <w:rPr>
                <w:color w:val="000000"/>
              </w:rPr>
              <w:t>(b)</w:t>
            </w:r>
          </w:p>
        </w:tc>
        <w:tc>
          <w:tcPr>
            <w:tcW w:w="1850" w:type="dxa"/>
            <w:tcBorders/>
            <w:shd w:fill="CCEEFF" w:val="clear"/>
            <w:vAlign w:val="center"/>
          </w:tcPr>
          <w:p>
            <w:pPr>
              <w:pStyle w:val="TableContents"/>
              <w:bidi w:val="0"/>
              <w:spacing w:before="0" w:after="0"/>
              <w:jc w:val="center"/>
              <w:rPr>
                <w:color w:val="000000"/>
              </w:rPr>
            </w:pPr>
            <w:r>
              <w:rPr>
                <w:color w:val="000000"/>
              </w:rPr>
              <w:t>6.07</w:t>
            </w:r>
          </w:p>
        </w:tc>
      </w:tr>
      <w:tr>
        <w:trPr/>
        <w:tc>
          <w:tcPr>
            <w:tcW w:w="2900" w:type="dxa"/>
            <w:tcBorders/>
            <w:vAlign w:val="center"/>
          </w:tcPr>
          <w:p>
            <w:pPr>
              <w:pStyle w:val="TableContents"/>
              <w:bidi w:val="0"/>
              <w:spacing w:before="0" w:after="0"/>
              <w:jc w:val="both"/>
              <w:rPr>
                <w:color w:val="000000"/>
              </w:rPr>
            </w:pPr>
            <w:r>
              <w:rPr>
                <w:color w:val="000000"/>
              </w:rPr>
              <w:t>(c)</w:t>
            </w:r>
          </w:p>
        </w:tc>
        <w:tc>
          <w:tcPr>
            <w:tcW w:w="1850" w:type="dxa"/>
            <w:tcBorders/>
            <w:vAlign w:val="center"/>
          </w:tcPr>
          <w:p>
            <w:pPr>
              <w:pStyle w:val="TableContents"/>
              <w:bidi w:val="0"/>
              <w:spacing w:before="0" w:after="0"/>
              <w:jc w:val="center"/>
              <w:rPr>
                <w:color w:val="000000"/>
              </w:rPr>
            </w:pPr>
            <w:r>
              <w:rPr>
                <w:color w:val="000000"/>
              </w:rPr>
              <w:t>2.13</w:t>
            </w:r>
          </w:p>
        </w:tc>
      </w:tr>
      <w:tr>
        <w:trPr/>
        <w:tc>
          <w:tcPr>
            <w:tcW w:w="2900" w:type="dxa"/>
            <w:tcBorders/>
            <w:shd w:fill="CCEEFF" w:val="clear"/>
            <w:vAlign w:val="center"/>
          </w:tcPr>
          <w:p>
            <w:pPr>
              <w:pStyle w:val="TableContents"/>
              <w:bidi w:val="0"/>
              <w:spacing w:before="0" w:after="0"/>
              <w:jc w:val="both"/>
              <w:rPr>
                <w:color w:val="000000"/>
              </w:rPr>
            </w:pPr>
            <w:r>
              <w:rPr>
                <w:color w:val="000000"/>
              </w:rPr>
              <w:t>317(a)(1)</w:t>
            </w:r>
          </w:p>
        </w:tc>
        <w:tc>
          <w:tcPr>
            <w:tcW w:w="1850" w:type="dxa"/>
            <w:tcBorders/>
            <w:shd w:fill="CCEEFF" w:val="clear"/>
            <w:vAlign w:val="center"/>
          </w:tcPr>
          <w:p>
            <w:pPr>
              <w:pStyle w:val="TableContents"/>
              <w:bidi w:val="0"/>
              <w:spacing w:before="0" w:after="0"/>
              <w:jc w:val="center"/>
              <w:rPr>
                <w:color w:val="000000"/>
              </w:rPr>
            </w:pPr>
            <w:r>
              <w:rPr>
                <w:color w:val="000000"/>
              </w:rPr>
              <w:t>6.08</w:t>
            </w:r>
          </w:p>
        </w:tc>
      </w:tr>
      <w:tr>
        <w:trPr/>
        <w:tc>
          <w:tcPr>
            <w:tcW w:w="2900" w:type="dxa"/>
            <w:tcBorders/>
            <w:vAlign w:val="center"/>
          </w:tcPr>
          <w:p>
            <w:pPr>
              <w:pStyle w:val="TableContents"/>
              <w:bidi w:val="0"/>
              <w:spacing w:before="0" w:after="0"/>
              <w:jc w:val="both"/>
              <w:rPr>
                <w:color w:val="000000"/>
              </w:rPr>
            </w:pPr>
            <w:r>
              <w:rPr>
                <w:color w:val="000000"/>
              </w:rPr>
              <w:t>(a)(2)</w:t>
            </w:r>
          </w:p>
        </w:tc>
        <w:tc>
          <w:tcPr>
            <w:tcW w:w="1850" w:type="dxa"/>
            <w:tcBorders/>
            <w:vAlign w:val="center"/>
          </w:tcPr>
          <w:p>
            <w:pPr>
              <w:pStyle w:val="TableContents"/>
              <w:bidi w:val="0"/>
              <w:spacing w:before="0" w:after="0"/>
              <w:jc w:val="center"/>
              <w:rPr>
                <w:color w:val="000000"/>
              </w:rPr>
            </w:pPr>
            <w:r>
              <w:rPr>
                <w:color w:val="000000"/>
              </w:rPr>
              <w:t>6.09</w:t>
            </w:r>
          </w:p>
        </w:tc>
      </w:tr>
      <w:tr>
        <w:trPr/>
        <w:tc>
          <w:tcPr>
            <w:tcW w:w="2900" w:type="dxa"/>
            <w:tcBorders/>
            <w:shd w:fill="CCEEFF" w:val="clear"/>
            <w:vAlign w:val="center"/>
          </w:tcPr>
          <w:p>
            <w:pPr>
              <w:pStyle w:val="TableContents"/>
              <w:bidi w:val="0"/>
              <w:spacing w:before="0" w:after="0"/>
              <w:jc w:val="both"/>
              <w:rPr>
                <w:color w:val="000000"/>
              </w:rPr>
            </w:pPr>
            <w:r>
              <w:rPr>
                <w:color w:val="000000"/>
              </w:rPr>
              <w:t>(b)</w:t>
            </w:r>
          </w:p>
        </w:tc>
        <w:tc>
          <w:tcPr>
            <w:tcW w:w="1850" w:type="dxa"/>
            <w:tcBorders/>
            <w:shd w:fill="CCEEFF" w:val="clear"/>
            <w:vAlign w:val="center"/>
          </w:tcPr>
          <w:p>
            <w:pPr>
              <w:pStyle w:val="TableContents"/>
              <w:bidi w:val="0"/>
              <w:spacing w:before="0" w:after="0"/>
              <w:jc w:val="center"/>
              <w:rPr>
                <w:color w:val="000000"/>
              </w:rPr>
            </w:pPr>
            <w:r>
              <w:rPr>
                <w:color w:val="000000"/>
              </w:rPr>
              <w:t>2.05</w:t>
            </w:r>
          </w:p>
        </w:tc>
      </w:tr>
      <w:tr>
        <w:trPr/>
        <w:tc>
          <w:tcPr>
            <w:tcW w:w="2900" w:type="dxa"/>
            <w:tcBorders/>
            <w:vAlign w:val="center"/>
          </w:tcPr>
          <w:p>
            <w:pPr>
              <w:pStyle w:val="TableContents"/>
              <w:bidi w:val="0"/>
              <w:spacing w:before="0" w:after="0"/>
              <w:jc w:val="both"/>
              <w:rPr>
                <w:color w:val="000000"/>
              </w:rPr>
            </w:pPr>
            <w:r>
              <w:rPr>
                <w:color w:val="000000"/>
              </w:rPr>
              <w:t>318(a)</w:t>
            </w:r>
          </w:p>
        </w:tc>
        <w:tc>
          <w:tcPr>
            <w:tcW w:w="1850" w:type="dxa"/>
            <w:tcBorders/>
            <w:vAlign w:val="center"/>
          </w:tcPr>
          <w:p>
            <w:pPr>
              <w:pStyle w:val="TableContents"/>
              <w:bidi w:val="0"/>
              <w:spacing w:before="0" w:after="0"/>
              <w:jc w:val="center"/>
              <w:rPr>
                <w:color w:val="000000"/>
              </w:rPr>
            </w:pPr>
            <w:r>
              <w:rPr>
                <w:color w:val="000000"/>
              </w:rPr>
              <w:t>12.01</w:t>
            </w:r>
          </w:p>
        </w:tc>
      </w:tr>
      <w:tr>
        <w:trPr/>
        <w:tc>
          <w:tcPr>
            <w:tcW w:w="2900" w:type="dxa"/>
            <w:tcBorders/>
            <w:shd w:fill="CCEEFF" w:val="clear"/>
            <w:vAlign w:val="center"/>
          </w:tcPr>
          <w:p>
            <w:pPr>
              <w:pStyle w:val="TableContents"/>
              <w:bidi w:val="0"/>
              <w:spacing w:before="0" w:after="0"/>
              <w:jc w:val="both"/>
              <w:rPr>
                <w:color w:val="000000"/>
              </w:rPr>
            </w:pPr>
            <w:r>
              <w:rPr>
                <w:color w:val="000000"/>
              </w:rPr>
              <w:t>(b)</w:t>
            </w:r>
          </w:p>
        </w:tc>
        <w:tc>
          <w:tcPr>
            <w:tcW w:w="1850" w:type="dxa"/>
            <w:tcBorders/>
            <w:shd w:fill="CCEEFF" w:val="clear"/>
            <w:vAlign w:val="center"/>
          </w:tcPr>
          <w:p>
            <w:pPr>
              <w:pStyle w:val="TableContents"/>
              <w:bidi w:val="0"/>
              <w:spacing w:before="0" w:after="0"/>
              <w:jc w:val="center"/>
              <w:rPr>
                <w:color w:val="000000"/>
              </w:rPr>
            </w:pPr>
            <w:r>
              <w:rPr>
                <w:color w:val="000000"/>
              </w:rPr>
              <w:t>Not Applicable</w:t>
            </w:r>
          </w:p>
        </w:tc>
      </w:tr>
      <w:tr>
        <w:trPr/>
        <w:tc>
          <w:tcPr>
            <w:tcW w:w="2900" w:type="dxa"/>
            <w:tcBorders/>
            <w:vAlign w:val="center"/>
          </w:tcPr>
          <w:p>
            <w:pPr>
              <w:pStyle w:val="TableContents"/>
              <w:bidi w:val="0"/>
              <w:spacing w:before="0" w:after="0"/>
              <w:jc w:val="both"/>
              <w:rPr>
                <w:color w:val="000000"/>
              </w:rPr>
            </w:pPr>
            <w:r>
              <w:rPr>
                <w:color w:val="000000"/>
              </w:rPr>
              <w:t>(c)</w:t>
            </w:r>
          </w:p>
        </w:tc>
        <w:tc>
          <w:tcPr>
            <w:tcW w:w="1850" w:type="dxa"/>
            <w:tcBorders/>
            <w:vAlign w:val="center"/>
          </w:tcPr>
          <w:p>
            <w:pPr>
              <w:pStyle w:val="TableContents"/>
              <w:bidi w:val="0"/>
              <w:spacing w:before="0" w:after="0"/>
              <w:jc w:val="center"/>
              <w:rPr>
                <w:color w:val="000000"/>
              </w:rPr>
            </w:pPr>
            <w:r>
              <w:rPr>
                <w:color w:val="000000"/>
              </w:rPr>
              <w:t>12.01</w:t>
            </w:r>
          </w:p>
        </w:tc>
      </w:tr>
    </w:tbl>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Cross-Reference Table is not part of the Indenture.</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INDENTURE (this “</w:t>
      </w:r>
      <w:r>
        <w:rPr>
          <w:rFonts w:ascii="Times New Roman" w:hAnsi="Times New Roman"/>
          <w:i/>
          <w:color w:val="000000"/>
          <w:sz w:val="20"/>
        </w:rPr>
        <w:t>Base Indenture</w:t>
      </w:r>
      <w:r>
        <w:rPr>
          <w:rFonts w:ascii="Times New Roman" w:hAnsi="Times New Roman"/>
          <w:color w:val="000000"/>
          <w:sz w:val="20"/>
        </w:rPr>
        <w:t>”) dated as of August 13, 2026, among ICON INVESTMENTS SIX DESIGNATED ACTIVITY COMPANY, a designated activity company limited by shares in Ireland, ICON PUBLIC LIMITED COMPANY, a public limited company in Ireland and CITIBANK, N.A., a national banking association, as trustee (in such capacity the “</w:t>
      </w:r>
      <w:r>
        <w:rPr>
          <w:rFonts w:ascii="Times New Roman" w:hAnsi="Times New Roman"/>
          <w:i/>
          <w:color w:val="000000"/>
          <w:sz w:val="20"/>
        </w:rPr>
        <w:t>Trustee</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 the Parent and the Trustee agree as follows for the benefit of each other and for the equal and ratable benefit of the Holders (as defined herein) of the Notes issued from time to time under this Indenture.</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1</w:t>
        <w:br/>
      </w:r>
      <w:bookmarkStart w:id="20" w:name="DEFINITIONSANDINCORPORATI"/>
      <w:bookmarkEnd w:id="20"/>
      <w:r>
        <w:rPr>
          <w:rFonts w:ascii="Times New Roman" w:hAnsi="Times New Roman"/>
          <w:color w:val="000000"/>
          <w:sz w:val="20"/>
        </w:rPr>
        <w:t>DEFINITIONS AND INCORPORATION</w:t>
        <w:br/>
        <w:t>BY REFERENCE</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Section 1.01          </w:t>
      </w:r>
      <w:bookmarkStart w:id="21" w:name="Definitions"/>
      <w:bookmarkEnd w:id="21"/>
      <w:r>
        <w:rPr>
          <w:rFonts w:ascii="Times New Roman" w:hAnsi="Times New Roman"/>
          <w:i/>
          <w:color w:val="000000"/>
          <w:sz w:val="20"/>
        </w:rPr>
        <w:t>Definitions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Additional Notes</w:t>
      </w:r>
      <w:r>
        <w:rPr>
          <w:rFonts w:ascii="Times New Roman" w:hAnsi="Times New Roman"/>
          <w:color w:val="000000"/>
          <w:sz w:val="20"/>
        </w:rPr>
        <w:t>” with respect to a Series of Notes shall have the meaning assigned to such term in the Board Resolution, supplemental indenture or Officer’s Certificate pursuant to which such Series of Notes are issued.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Affiliate</w:t>
      </w:r>
      <w:r>
        <w:rPr>
          <w:rFonts w:ascii="Times New Roman" w:hAnsi="Times New Roman"/>
          <w:color w:val="000000"/>
          <w:sz w:val="20"/>
        </w:rPr>
        <w:t>” of any specified Person means any other Person directly or indirectly controlling or controlled by or under direct or indirect common control with such specified Person.  For purposes of this definition, “</w:t>
      </w:r>
      <w:r>
        <w:rPr>
          <w:rFonts w:ascii="Times New Roman" w:hAnsi="Times New Roman"/>
          <w:i/>
          <w:color w:val="000000"/>
          <w:sz w:val="20"/>
        </w:rPr>
        <w:t>control</w:t>
      </w:r>
      <w:r>
        <w:rPr>
          <w:rFonts w:ascii="Times New Roman" w:hAnsi="Times New Roman"/>
          <w:color w:val="000000"/>
          <w:sz w:val="20"/>
        </w:rPr>
        <w:t>”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w:t>
      </w:r>
      <w:r>
        <w:rPr>
          <w:rFonts w:ascii="Times New Roman" w:hAnsi="Times New Roman"/>
          <w:i/>
          <w:color w:val="000000"/>
          <w:sz w:val="20"/>
        </w:rPr>
        <w:t>controlling</w:t>
      </w:r>
      <w:r>
        <w:rPr>
          <w:rFonts w:ascii="Times New Roman" w:hAnsi="Times New Roman"/>
          <w:color w:val="000000"/>
          <w:sz w:val="20"/>
        </w:rPr>
        <w:t>” “</w:t>
      </w:r>
      <w:r>
        <w:rPr>
          <w:rFonts w:ascii="Times New Roman" w:hAnsi="Times New Roman"/>
          <w:i/>
          <w:color w:val="000000"/>
          <w:sz w:val="20"/>
        </w:rPr>
        <w:t>controlled by</w:t>
      </w:r>
      <w:r>
        <w:rPr>
          <w:rFonts w:ascii="Times New Roman" w:hAnsi="Times New Roman"/>
          <w:color w:val="000000"/>
          <w:sz w:val="20"/>
        </w:rPr>
        <w:t>” and “</w:t>
      </w:r>
      <w:r>
        <w:rPr>
          <w:rFonts w:ascii="Times New Roman" w:hAnsi="Times New Roman"/>
          <w:i/>
          <w:color w:val="000000"/>
          <w:sz w:val="20"/>
        </w:rPr>
        <w:t>under common control with</w:t>
      </w:r>
      <w:r>
        <w:rPr>
          <w:rFonts w:ascii="Times New Roman" w:hAnsi="Times New Roman"/>
          <w:color w:val="000000"/>
          <w:sz w:val="20"/>
        </w:rPr>
        <w:t>” have correlative meanings.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Agent</w:t>
      </w:r>
      <w:r>
        <w:rPr>
          <w:rFonts w:ascii="Times New Roman" w:hAnsi="Times New Roman"/>
          <w:color w:val="000000"/>
          <w:sz w:val="20"/>
        </w:rPr>
        <w:t>” means any Registrar, co-Registrar, Paying Agent, additional paying agent, or transfer agent.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Authentication Order</w:t>
      </w:r>
      <w:r>
        <w:rPr>
          <w:rFonts w:ascii="Times New Roman" w:hAnsi="Times New Roman"/>
          <w:color w:val="000000"/>
          <w:sz w:val="20"/>
        </w:rPr>
        <w:t>” means a written order signed in the name of the Issuer by at least one Officer.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Bankruptcy Code</w:t>
      </w:r>
      <w:r>
        <w:rPr>
          <w:rFonts w:ascii="Times New Roman" w:hAnsi="Times New Roman"/>
          <w:color w:val="000000"/>
          <w:sz w:val="20"/>
        </w:rPr>
        <w:t>” means Title 11 of the United States Code entitled “Bankruptcy”, as now or hereafter in effect, and any successor thereto.</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Bankruptcy Custodian</w:t>
      </w:r>
      <w:r>
        <w:rPr>
          <w:rFonts w:ascii="Times New Roman" w:hAnsi="Times New Roman"/>
          <w:color w:val="000000"/>
          <w:sz w:val="20"/>
        </w:rPr>
        <w:t>” means any receiver, interim receiver, receiver and manager, trustee, assignee, liquidator, examiner, custodian or similar official under any Bankruptcy Law.</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Bankruptcy Law</w:t>
      </w:r>
      <w:r>
        <w:rPr>
          <w:rFonts w:ascii="Times New Roman" w:hAnsi="Times New Roman"/>
          <w:color w:val="000000"/>
          <w:sz w:val="20"/>
        </w:rPr>
        <w:t>” means the Bankruptcy Code or any similar federal or state law for the relief of debtors or similar foreign law (including, without limitation, laws of Ireland relating to bankruptcy, insolvency, receivership, winding up, liquidation, examinership, reorganization or relief of debtors).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Board of Directors</w:t>
      </w:r>
      <w:r>
        <w:rPr>
          <w:rFonts w:ascii="Times New Roman" w:hAnsi="Times New Roman"/>
          <w:color w:val="000000"/>
          <w:sz w:val="20"/>
        </w:rPr>
        <w:t>” means: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         with respect to a corporation, the board of directors of the corporation or any committee thereof duly authorized to act on behalf of such board;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(2)         with respect to a partnership, the board of directors of the general partner of the partnership;</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(3)         with respect to a limited liability company managed by the member or members, the managing member or members or any controlling committee of managing members thereof;</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(4)        with respect to a limited liability company managed by a manager or managers, the manager or managers and any controlling committee of managers; and</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(5)         with respect to any other Person, the board or committee of such Person serving a similar function.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Board Resolution</w:t>
      </w:r>
      <w:r>
        <w:rPr>
          <w:rFonts w:ascii="Times New Roman" w:hAnsi="Times New Roman"/>
          <w:color w:val="000000"/>
          <w:sz w:val="20"/>
        </w:rPr>
        <w:t>” means a copy of a resolution certified by an Officer of the Issuer to have been adopted by the Board of Directors of the Issuer or pursuant to authorization or delegation of authority by the Board of Directors of the Issuer and to be in full force and effect on the date of the certificate and delivered to the Trustee.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Business Day</w:t>
      </w:r>
      <w:r>
        <w:rPr>
          <w:rFonts w:ascii="Times New Roman" w:hAnsi="Times New Roman"/>
          <w:color w:val="000000"/>
          <w:sz w:val="20"/>
        </w:rPr>
        <w:t>” means, unless otherwise specified with respect to any Series of Notes, any day that is not a Saturday, Sunday or other day on which commercial banks in New York City are authorized or required by law to remain closed.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Capital Stock</w:t>
      </w:r>
      <w:r>
        <w:rPr>
          <w:rFonts w:ascii="Times New Roman" w:hAnsi="Times New Roman"/>
          <w:color w:val="000000"/>
          <w:sz w:val="20"/>
        </w:rPr>
        <w:t>” of any Person means any and all shares, interests, participations, rights in or other equivalents (however designated) of such Person’s capital stock, partnership interests (whether general or limited), limited liability company interests, shares (parts sociales) in a Luxembourg private limited liability company, beneficial interests in a trust and any other interest or participation that confers on a Person the right to receive a share of the profits and losses of, or distributions of assets of, the issuing Person, including any Preferred Stock.</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Code</w:t>
      </w:r>
      <w:r>
        <w:rPr>
          <w:rFonts w:ascii="Times New Roman" w:hAnsi="Times New Roman"/>
          <w:color w:val="000000"/>
          <w:sz w:val="20"/>
        </w:rPr>
        <w:t>” means the U.S. Internal Revenue Code of 1986, as amended.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Companies Act</w:t>
      </w:r>
      <w:r>
        <w:rPr>
          <w:rFonts w:ascii="Times New Roman" w:hAnsi="Times New Roman"/>
          <w:color w:val="000000"/>
          <w:sz w:val="20"/>
        </w:rPr>
        <w:t>” means the Companies Act 2014 of Ireland (as amended).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continuing</w:t>
      </w:r>
      <w:r>
        <w:rPr>
          <w:rFonts w:ascii="Times New Roman" w:hAnsi="Times New Roman"/>
          <w:color w:val="000000"/>
          <w:sz w:val="20"/>
        </w:rPr>
        <w:t>” means, with respect to any Default or Event of Default, that such Default or Event of Default has not been cured or waived.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Corporate Trust Office of the Trustee</w:t>
      </w:r>
      <w:r>
        <w:rPr>
          <w:rFonts w:ascii="Times New Roman" w:hAnsi="Times New Roman"/>
          <w:color w:val="000000"/>
          <w:sz w:val="20"/>
        </w:rPr>
        <w:t>” will be at the address of the Trustee specified in Section 12.02 hereof or such other address as to which the Trustee may give notice to the Issuer.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Custodian</w:t>
      </w:r>
      <w:r>
        <w:rPr>
          <w:rFonts w:ascii="Times New Roman" w:hAnsi="Times New Roman"/>
          <w:color w:val="000000"/>
          <w:sz w:val="20"/>
        </w:rPr>
        <w:t>” means the Trustee, as custodian with respect to the Notes in global form, or any successor entity thereto.</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Default</w:t>
      </w:r>
      <w:r>
        <w:rPr>
          <w:rFonts w:ascii="Times New Roman" w:hAnsi="Times New Roman"/>
          <w:color w:val="000000"/>
          <w:sz w:val="20"/>
        </w:rPr>
        <w:t>” means any event that is, or with the passage of time or the giving of notice or both would be, an Event of Default.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Depositary</w:t>
      </w:r>
      <w:r>
        <w:rPr>
          <w:rFonts w:ascii="Times New Roman" w:hAnsi="Times New Roman"/>
          <w:color w:val="000000"/>
          <w:sz w:val="20"/>
        </w:rPr>
        <w:t>” means, with respect to the Notes issuable or issued in whole or in part in global form, the Person specified in Section 2.04 hereof as the Depositary with respect to the Notes, and any and all successors thereto appointed as depositary hereunder and having become such pursuant to the applicable provision of this Indenture.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DTC</w:t>
      </w:r>
      <w:r>
        <w:rPr>
          <w:rFonts w:ascii="Times New Roman" w:hAnsi="Times New Roman"/>
          <w:color w:val="000000"/>
          <w:sz w:val="20"/>
        </w:rPr>
        <w:t>” means The Depository Trust Company.</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Equity Interests</w:t>
      </w:r>
      <w:r>
        <w:rPr>
          <w:rFonts w:ascii="Times New Roman" w:hAnsi="Times New Roman"/>
          <w:color w:val="000000"/>
          <w:sz w:val="20"/>
        </w:rPr>
        <w:t>” means Capital Stock and all warrants, options or other rights to acquire Capital Stock (but excluding any indebtedness that is convertible into, or exchangeable for, Capital Stock).</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FATCA Withholding</w:t>
      </w:r>
      <w:r>
        <w:rPr>
          <w:rFonts w:ascii="Times New Roman" w:hAnsi="Times New Roman"/>
          <w:color w:val="000000"/>
          <w:sz w:val="20"/>
        </w:rPr>
        <w:t>” means any withholding or deduction required pursuant to an agreement described in section 1471(b) of the Code, or otherwise imposed pursuant to sections 1471 through 1474 of the Code, any regulations or agreements thereunder, any official interpretations thereof, or any law implementing an intergovernmental approach thereto.</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Exchange Act</w:t>
      </w:r>
      <w:r>
        <w:rPr>
          <w:rFonts w:ascii="Times New Roman" w:hAnsi="Times New Roman"/>
          <w:color w:val="000000"/>
          <w:sz w:val="20"/>
        </w:rPr>
        <w:t>” means the Securities Exchange Act of 1934, as amended.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GAAP</w:t>
      </w:r>
      <w:r>
        <w:rPr>
          <w:rFonts w:ascii="Times New Roman" w:hAnsi="Times New Roman"/>
          <w:color w:val="000000"/>
          <w:sz w:val="20"/>
        </w:rPr>
        <w:t>” means generally accepted accounting principles in the United States of America.</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Global Note</w:t>
      </w:r>
      <w:r>
        <w:rPr>
          <w:rFonts w:ascii="Times New Roman" w:hAnsi="Times New Roman"/>
          <w:color w:val="000000"/>
          <w:sz w:val="20"/>
        </w:rPr>
        <w:t>” or “</w:t>
      </w:r>
      <w:r>
        <w:rPr>
          <w:rFonts w:ascii="Times New Roman" w:hAnsi="Times New Roman"/>
          <w:i/>
          <w:color w:val="000000"/>
          <w:sz w:val="20"/>
        </w:rPr>
        <w:t>Global Notes</w:t>
      </w:r>
      <w:r>
        <w:rPr>
          <w:rFonts w:ascii="Times New Roman" w:hAnsi="Times New Roman"/>
          <w:color w:val="000000"/>
          <w:sz w:val="20"/>
        </w:rPr>
        <w:t>” means a Note or Notes, as the case may be, in the form established pursuant to Section 2.02 or 2.15 evidencing all or part of a Series of Notes, issued to the Depositary for such Series or its nominee, and registered in the name of such Depositary or nominee.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Government Securities</w:t>
      </w:r>
      <w:r>
        <w:rPr>
          <w:rFonts w:ascii="Times New Roman" w:hAnsi="Times New Roman"/>
          <w:color w:val="000000"/>
          <w:sz w:val="20"/>
        </w:rPr>
        <w:t>” means direct obligations (or certificates representing an ownership interest in such obligations) of the United States of America (including any agency or instrumentality thereof) for the payment of which the full faith and credit of the United States of America is pledged and which are not callable at the issuer’s option.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Governmental Authority</w:t>
      </w:r>
      <w:r>
        <w:rPr>
          <w:rFonts w:ascii="Times New Roman" w:hAnsi="Times New Roman"/>
          <w:color w:val="000000"/>
          <w:sz w:val="20"/>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Guarantee</w:t>
      </w:r>
      <w:r>
        <w:rPr>
          <w:rFonts w:ascii="Times New Roman" w:hAnsi="Times New Roman"/>
          <w:color w:val="000000"/>
          <w:sz w:val="20"/>
        </w:rPr>
        <w:t>” means any obligation, contingent or otherwise, of any Person directly or indirectly guaranteeing any indebtedness of any other Person and any obligation, direct or indirect, contingent or otherwise, of such Person: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         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(2)         entered into for the purpose of assuring in any other manner the obligee against loss in respect thereof (in whole or in part);</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term “</w:t>
      </w:r>
      <w:r>
        <w:rPr>
          <w:rFonts w:ascii="Times New Roman" w:hAnsi="Times New Roman"/>
          <w:i/>
          <w:color w:val="000000"/>
          <w:sz w:val="20"/>
        </w:rPr>
        <w:t>Guarantee</w:t>
      </w:r>
      <w:r>
        <w:rPr>
          <w:rFonts w:ascii="Times New Roman" w:hAnsi="Times New Roman"/>
          <w:color w:val="000000"/>
          <w:sz w:val="20"/>
        </w:rPr>
        <w:t>” shall not include endorsements for collection or deposit in the ordinary course of business.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terms “</w:t>
      </w:r>
      <w:r>
        <w:rPr>
          <w:rFonts w:ascii="Times New Roman" w:hAnsi="Times New Roman"/>
          <w:i/>
          <w:color w:val="000000"/>
          <w:sz w:val="20"/>
        </w:rPr>
        <w:t>Guarantee</w:t>
      </w:r>
      <w:r>
        <w:rPr>
          <w:rFonts w:ascii="Times New Roman" w:hAnsi="Times New Roman"/>
          <w:color w:val="000000"/>
          <w:sz w:val="20"/>
        </w:rPr>
        <w:t>” and “</w:t>
      </w:r>
      <w:r>
        <w:rPr>
          <w:rFonts w:ascii="Times New Roman" w:hAnsi="Times New Roman"/>
          <w:i/>
          <w:color w:val="000000"/>
          <w:sz w:val="20"/>
        </w:rPr>
        <w:t>Guaranteed</w:t>
      </w:r>
      <w:r>
        <w:rPr>
          <w:rFonts w:ascii="Times New Roman" w:hAnsi="Times New Roman"/>
          <w:color w:val="000000"/>
          <w:sz w:val="20"/>
        </w:rPr>
        <w:t>” shall have correlative meanings.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Holder</w:t>
      </w:r>
      <w:r>
        <w:rPr>
          <w:rFonts w:ascii="Times New Roman" w:hAnsi="Times New Roman"/>
          <w:color w:val="000000"/>
          <w:sz w:val="20"/>
        </w:rPr>
        <w:t>” means a Person in whose name a Note is registered.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Indebtedness For Borrowed Money</w:t>
      </w:r>
      <w:r>
        <w:rPr>
          <w:rFonts w:ascii="Times New Roman" w:hAnsi="Times New Roman"/>
          <w:color w:val="000000"/>
          <w:sz w:val="20"/>
        </w:rPr>
        <w:t>” of any Person means, without duplication, (a) all indebtedness of such Person for borrowed money, (b) all indebtedness of such Person evidenced by bonds, debentures, notes or similar instruments and (c) all Guarantee obligations of such Person with respect to indebtedness of the type described in clauses (a) and (b) above of others.  The Indebtedness For Borrowed Money of any Person shall include the Indebtedness For Borrowed Money of any other entity (including any partnership in which such Person is a general partner) to the extent such Person is liable therefor as a result of such Person’s ownership interest in or other contractual relationship with such entity, except to the extent the terms of such Indebtedness For Borrowed Money provide that such Person is not liable therefor.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Indenture</w:t>
      </w:r>
      <w:r>
        <w:rPr>
          <w:rFonts w:ascii="Times New Roman" w:hAnsi="Times New Roman"/>
          <w:color w:val="000000"/>
          <w:sz w:val="20"/>
        </w:rPr>
        <w:t>” means, with respect to any Series of Notes, this Indenture, as amended or supplemented from time to time in respect of such Series of Notes, and will include the form and terms of such Series of Notes established as contemplated hereunder.  For the avoidance of doubt, for purposes of determining the rights of Holders of any Series of Notes, and the terms applicable to such Series of Note, references herein to “this Indenture” shall mean the Indenture with respect to such Series.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Issue Date</w:t>
      </w:r>
      <w:r>
        <w:rPr>
          <w:rFonts w:ascii="Times New Roman" w:hAnsi="Times New Roman"/>
          <w:color w:val="000000"/>
          <w:sz w:val="20"/>
        </w:rPr>
        <w:t>” means the effective date of the Board Resolution, Officer’s Certificate or supplemental indenture pursuant to which the first Series of Notes is issued under this Base Indenture.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Issuer</w:t>
      </w:r>
      <w:r>
        <w:rPr>
          <w:rFonts w:ascii="Times New Roman" w:hAnsi="Times New Roman"/>
          <w:color w:val="000000"/>
          <w:sz w:val="20"/>
        </w:rPr>
        <w:t>” means ICON Investments Six Designated Activity Company, a designated activity company limited by shares incorporated in Ireland, and not any of its Subsidiaries, until a successor Person shall have become such in accordance with the applicable provisions of this Indenture, and thereafter “Issuer” shall mean such successor Person.</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Lien</w:t>
      </w:r>
      <w:r>
        <w:rPr>
          <w:rFonts w:ascii="Times New Roman" w:hAnsi="Times New Roman"/>
          <w:color w:val="000000"/>
          <w:sz w:val="20"/>
        </w:rPr>
        <w:t>” means, with respect to any asset, (a) any mortgage, deed of trust, lien, license, pledge, hypothecation, encumbrance, assignment,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provided that in no event shall any operating lease or any non-exclusive license, sub-license or cross-license to intellectual property be deemed to constitute a Lien.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Luxembourg</w:t>
      </w:r>
      <w:r>
        <w:rPr>
          <w:rFonts w:ascii="Times New Roman" w:hAnsi="Times New Roman"/>
          <w:color w:val="000000"/>
          <w:sz w:val="20"/>
        </w:rPr>
        <w:t>” means the Grand Duchy of Luxembourg.</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Notes</w:t>
      </w:r>
      <w:r>
        <w:rPr>
          <w:rFonts w:ascii="Times New Roman" w:hAnsi="Times New Roman"/>
          <w:color w:val="000000"/>
          <w:sz w:val="20"/>
        </w:rPr>
        <w:t>” means the debentures, notes or other debt instruments of the Issuer of any Series authenticated and delivered under this Indenture.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Officer</w:t>
      </w:r>
      <w:r>
        <w:rPr>
          <w:rFonts w:ascii="Times New Roman" w:hAnsi="Times New Roman"/>
          <w:color w:val="000000"/>
          <w:sz w:val="20"/>
        </w:rPr>
        <w:t>” means, with respect to any Person, the Chairman of the Board, the Chief Executive Officer, the President, the Chief Operating Officer, the Chief Financial Officer, any Vice-President, the Treasurer, any Assistant Treasurer, the Controller, any assistant Controller, the Secretary, any Assistant Secretary, any Director or authorized signatory of such Person.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Officer’s Certificate</w:t>
      </w:r>
      <w:r>
        <w:rPr>
          <w:rFonts w:ascii="Times New Roman" w:hAnsi="Times New Roman"/>
          <w:color w:val="000000"/>
          <w:sz w:val="20"/>
        </w:rPr>
        <w:t>” means a certificate signed by an Officer of the Parent or the Issuer, as applicable, and delivered to the Trustee.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Opinion of Counsel</w:t>
      </w:r>
      <w:r>
        <w:rPr>
          <w:rFonts w:ascii="Times New Roman" w:hAnsi="Times New Roman"/>
          <w:color w:val="000000"/>
          <w:sz w:val="20"/>
        </w:rPr>
        <w:t>” means an opinion meeting the requirements of this Indenture from legal counsel who is reasonably acceptable to the Trustee and delivered to the Trustee.  The counsel may be an employee of or counsel to the Issuer or any Subsidiary of the Issuer.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Parent</w:t>
      </w:r>
      <w:r>
        <w:rPr>
          <w:rFonts w:ascii="Times New Roman" w:hAnsi="Times New Roman"/>
          <w:color w:val="000000"/>
          <w:sz w:val="20"/>
        </w:rPr>
        <w:t>” means ICON Public Limited Company, a public limited company incorporated in Ireland, and not any of its Subsidiaries, until a successor Person shall have become such in accordance with the applicable provisions of this Indenture, and thereafter “Parent” shall mean such successor Person.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Person</w:t>
      </w:r>
      <w:r>
        <w:rPr>
          <w:rFonts w:ascii="Times New Roman" w:hAnsi="Times New Roman"/>
          <w:color w:val="000000"/>
          <w:sz w:val="20"/>
        </w:rPr>
        <w:t>” means any individual, corporation, company, partnership, joint venture, association, joint-stock company, trust, unincorporated organization, limited liability company or government or other entity.</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Place of Payment</w:t>
      </w:r>
      <w:r>
        <w:rPr>
          <w:rFonts w:ascii="Times New Roman" w:hAnsi="Times New Roman"/>
          <w:color w:val="000000"/>
          <w:sz w:val="20"/>
        </w:rPr>
        <w:t>”</w:t>
      </w:r>
      <w:r>
        <w:rPr>
          <w:rFonts w:ascii="Times New Roman" w:hAnsi="Times New Roman"/>
          <w:i/>
          <w:color w:val="000000"/>
          <w:sz w:val="20"/>
        </w:rPr>
        <w:t>,</w:t>
      </w:r>
      <w:r>
        <w:rPr>
          <w:rFonts w:ascii="Times New Roman" w:hAnsi="Times New Roman"/>
          <w:color w:val="000000"/>
          <w:sz w:val="20"/>
        </w:rPr>
        <w:t xml:space="preserve"> when used with respect to the Notes, means the place or places where the principal of (and premium, if any) and interest on the Notes are payable as contemplated by Section 4.02 hereof.</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Preferred Stock</w:t>
      </w:r>
      <w:r>
        <w:rPr>
          <w:rFonts w:ascii="Times New Roman" w:hAnsi="Times New Roman"/>
          <w:color w:val="000000"/>
          <w:sz w:val="20"/>
        </w:rPr>
        <w:t>”, as applied to the Capital Stock of any Person, means Capital Stock of any class of classes (however designated) which is preferred as to the payment of dividends or distributions, or as to the distribution of assets upon any voluntary or involuntary liquidation or dissolution of such Person, over shares of Capital Stock of any other class of such Person.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Responsible Officer</w:t>
      </w:r>
      <w:r>
        <w:rPr>
          <w:rFonts w:ascii="Times New Roman" w:hAnsi="Times New Roman"/>
          <w:color w:val="000000"/>
          <w:sz w:val="20"/>
        </w:rPr>
        <w:t>” when used with respect to the Trustee, means any officer within the corporate trust department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 and, in each case, who shall have direct responsibility for the administration of this Indenture.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SEC</w:t>
      </w:r>
      <w:r>
        <w:rPr>
          <w:rFonts w:ascii="Times New Roman" w:hAnsi="Times New Roman"/>
          <w:color w:val="000000"/>
          <w:sz w:val="20"/>
        </w:rPr>
        <w:t>” means the Securities and Exchange Commission.</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Securities Act</w:t>
      </w:r>
      <w:r>
        <w:rPr>
          <w:rFonts w:ascii="Times New Roman" w:hAnsi="Times New Roman"/>
          <w:color w:val="000000"/>
          <w:sz w:val="20"/>
        </w:rPr>
        <w:t>” means the Securities Act of 1933, as amended.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Series</w:t>
      </w:r>
      <w:r>
        <w:rPr>
          <w:rFonts w:ascii="Times New Roman" w:hAnsi="Times New Roman"/>
          <w:color w:val="000000"/>
          <w:sz w:val="20"/>
        </w:rPr>
        <w:t>” or “</w:t>
      </w:r>
      <w:r>
        <w:rPr>
          <w:rFonts w:ascii="Times New Roman" w:hAnsi="Times New Roman"/>
          <w:i/>
          <w:color w:val="000000"/>
          <w:sz w:val="20"/>
        </w:rPr>
        <w:t>Series of Notes</w:t>
      </w:r>
      <w:r>
        <w:rPr>
          <w:rFonts w:ascii="Times New Roman" w:hAnsi="Times New Roman"/>
          <w:color w:val="000000"/>
          <w:sz w:val="20"/>
        </w:rPr>
        <w:t>” means each series of debentures, notes or other debt instruments of the Issuer created pursuant to Sections 2.01 and 2.02 hereof.</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Significant Subsidiary</w:t>
      </w:r>
      <w:r>
        <w:rPr>
          <w:rFonts w:ascii="Times New Roman" w:hAnsi="Times New Roman"/>
          <w:color w:val="000000"/>
          <w:sz w:val="20"/>
        </w:rPr>
        <w:t>” means any Subsidiary that would be a “significant subsidiary” as defined in Article 1, Rule 1-02 of Regulation S-X under the Securities Act.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Stated Maturity</w:t>
      </w:r>
      <w:r>
        <w:rPr>
          <w:rFonts w:ascii="Times New Roman" w:hAnsi="Times New Roman"/>
          <w:color w:val="000000"/>
          <w:sz w:val="20"/>
        </w:rPr>
        <w:t>” means, with respect to any installment of interest or principal on any series of Indebtedness for Borrowed Money, the date on which the payment of interest or principal was scheduled to be paid in the documentation governing such Indebtedness for Borrowed Money as of its date of issue, and will not include any contingent obligations to repay, redeem or repurchase any such interest or principal prior to the date originally scheduled for the payment thereof.</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Subsidiary</w:t>
      </w:r>
      <w:r>
        <w:rPr>
          <w:rFonts w:ascii="Times New Roman" w:hAnsi="Times New Roman"/>
          <w:color w:val="000000"/>
          <w:sz w:val="20"/>
        </w:rPr>
        <w:t>” means, with respect to any Person (the “parent”) at any date, (i)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and (ii) in the case of any Person incorporated in Ireland, any subsidiary of that Person within the meaning of Section 7 of the Companies Act or Regulation 4 of the European Communities (Companies Group Accounts) Regulations 1992.</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Swap Agreement</w:t>
      </w:r>
      <w:r>
        <w:rPr>
          <w:rFonts w:ascii="Times New Roman" w:hAnsi="Times New Roman"/>
          <w:color w:val="000000"/>
          <w:sz w:val="20"/>
        </w:rPr>
        <w:t>”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the Parent or its Subsidiaries shall be a Swap Agreement.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Tax</w:t>
      </w:r>
      <w:r>
        <w:rPr>
          <w:rFonts w:ascii="Times New Roman" w:hAnsi="Times New Roman"/>
          <w:color w:val="000000"/>
          <w:sz w:val="20"/>
        </w:rPr>
        <w:t>” means all present or future taxes, levies, imposts, duties, assessments, withholdings or similar charges imposed by any Governmental Authority, including any interest, additions to tax or penalties applicable thereto.</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Trust Indenture Act</w:t>
      </w:r>
      <w:r>
        <w:rPr>
          <w:rFonts w:ascii="Times New Roman" w:hAnsi="Times New Roman"/>
          <w:color w:val="000000"/>
          <w:sz w:val="20"/>
        </w:rPr>
        <w:t>” means the Trust Indenture Act of 1939, as amended.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Trustee</w:t>
      </w:r>
      <w:r>
        <w:rPr>
          <w:rFonts w:ascii="Times New Roman" w:hAnsi="Times New Roman"/>
          <w:color w:val="000000"/>
          <w:sz w:val="20"/>
        </w:rPr>
        <w:t>” means Citibank, N.A., until a successor replaces it in accordance with the applicable provisions of this Indenture and thereafter means the successor serving hereunder.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Voting Stock</w:t>
      </w:r>
      <w:r>
        <w:rPr>
          <w:rFonts w:ascii="Times New Roman" w:hAnsi="Times New Roman"/>
          <w:color w:val="000000"/>
          <w:sz w:val="20"/>
        </w:rPr>
        <w:t>” of any specified Person as of any date means the Capital Stock of such Person of the class or classes that has the general voting power under ordinary circumstances to elect at least a majority of the Board of Directors of such Person (irrespective of whether or not at the time Capital Stock of any other class or classes shall have or might have voting power by reason of the happening of any contingency).</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Section 1.02          </w:t>
      </w:r>
      <w:r>
        <w:rPr>
          <w:rFonts w:ascii="Times New Roman" w:hAnsi="Times New Roman"/>
          <w:i/>
          <w:color w:val="000000"/>
          <w:sz w:val="20"/>
        </w:rPr>
        <w:t>Other Definitions</w:t>
      </w:r>
      <w:r>
        <w:rPr>
          <w:rFonts w:ascii="Times New Roman" w:hAnsi="Times New Roman"/>
          <w:color w:val="000000"/>
          <w:sz w:val="20"/>
        </w:rPr>
        <w:t>.</w:t>
      </w:r>
      <w:bookmarkStart w:id="22" w:name="OtherDefinitions."/>
      <w:bookmarkEnd w:id="22"/>
    </w:p>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23" w:name="z801901a2d63e4a3c9cc753af072d9b21"/>
      <w:bookmarkStart w:id="24" w:name="z801901a2d63e4a3c9cc753af072d9b21"/>
      <w:bookmarkEnd w:id="24"/>
    </w:p>
    <w:tbl>
      <w:tblPr>
        <w:tblW w:w="4780" w:type="dxa"/>
        <w:jc w:val="left"/>
        <w:tblInd w:w="0" w:type="dxa"/>
        <w:tblLayout w:type="fixed"/>
        <w:tblCellMar>
          <w:top w:w="0" w:type="dxa"/>
          <w:left w:w="0" w:type="dxa"/>
          <w:bottom w:w="0" w:type="dxa"/>
          <w:right w:w="0" w:type="dxa"/>
        </w:tblCellMar>
      </w:tblPr>
      <w:tblGrid>
        <w:gridCol w:w="2900"/>
        <w:gridCol w:w="1880"/>
      </w:tblGrid>
      <w:tr>
        <w:trPr/>
        <w:tc>
          <w:tcPr>
            <w:tcW w:w="2900" w:type="dxa"/>
            <w:tcBorders/>
            <w:vAlign w:val="center"/>
          </w:tcPr>
          <w:p>
            <w:pPr>
              <w:pStyle w:val="TableContents"/>
              <w:bidi w:val="0"/>
              <w:spacing w:before="0" w:after="0"/>
              <w:jc w:val="both"/>
              <w:rPr>
                <w:b/>
                <w:color w:val="000000"/>
              </w:rPr>
            </w:pPr>
            <w:r>
              <w:rPr>
                <w:b/>
                <w:color w:val="000000"/>
              </w:rPr>
              <w:t>Term</w:t>
            </w:r>
          </w:p>
        </w:tc>
        <w:tc>
          <w:tcPr>
            <w:tcW w:w="1880" w:type="dxa"/>
            <w:tcBorders/>
            <w:vAlign w:val="center"/>
          </w:tcPr>
          <w:p>
            <w:pPr>
              <w:pStyle w:val="TableContents"/>
              <w:bidi w:val="0"/>
              <w:spacing w:before="0" w:after="0"/>
              <w:jc w:val="center"/>
              <w:rPr>
                <w:b/>
                <w:color w:val="000000"/>
              </w:rPr>
            </w:pPr>
            <w:r>
              <w:rPr>
                <w:b/>
                <w:color w:val="000000"/>
              </w:rPr>
              <w:t>Defined in Section</w:t>
            </w:r>
          </w:p>
        </w:tc>
      </w:tr>
      <w:tr>
        <w:trPr/>
        <w:tc>
          <w:tcPr>
            <w:tcW w:w="2900" w:type="dxa"/>
            <w:tcBorders/>
            <w:shd w:fill="CCEEFF" w:val="clear"/>
            <w:vAlign w:val="center"/>
          </w:tcPr>
          <w:p>
            <w:pPr>
              <w:pStyle w:val="TableContents"/>
              <w:bidi w:val="0"/>
              <w:spacing w:before="0" w:after="0"/>
              <w:jc w:val="both"/>
              <w:rPr>
                <w:color w:val="000000"/>
              </w:rPr>
            </w:pPr>
            <w:r>
              <w:rPr>
                <w:color w:val="000000"/>
              </w:rPr>
              <w:t>“</w:t>
            </w:r>
            <w:r>
              <w:rPr>
                <w:i/>
                <w:color w:val="000000"/>
              </w:rPr>
              <w:t>Additional Amounts</w:t>
            </w:r>
            <w:r>
              <w:rPr>
                <w:color w:val="000000"/>
              </w:rPr>
              <w:t>”</w:t>
            </w:r>
          </w:p>
        </w:tc>
        <w:tc>
          <w:tcPr>
            <w:tcW w:w="1880" w:type="dxa"/>
            <w:tcBorders/>
            <w:shd w:fill="CCEEFF" w:val="clear"/>
            <w:vAlign w:val="center"/>
          </w:tcPr>
          <w:p>
            <w:pPr>
              <w:pStyle w:val="TableContents"/>
              <w:bidi w:val="0"/>
              <w:spacing w:before="0" w:after="0"/>
              <w:jc w:val="center"/>
              <w:rPr>
                <w:color w:val="000000"/>
              </w:rPr>
            </w:pPr>
            <w:r>
              <w:rPr>
                <w:color w:val="000000"/>
              </w:rPr>
              <w:t>4.06</w:t>
            </w:r>
          </w:p>
        </w:tc>
      </w:tr>
      <w:tr>
        <w:trPr/>
        <w:tc>
          <w:tcPr>
            <w:tcW w:w="2900" w:type="dxa"/>
            <w:tcBorders/>
            <w:vAlign w:val="center"/>
          </w:tcPr>
          <w:p>
            <w:pPr>
              <w:pStyle w:val="TableContents"/>
              <w:bidi w:val="0"/>
              <w:spacing w:before="0" w:after="0"/>
              <w:jc w:val="both"/>
              <w:rPr>
                <w:color w:val="000000"/>
              </w:rPr>
            </w:pPr>
            <w:r>
              <w:rPr>
                <w:color w:val="000000"/>
              </w:rPr>
              <w:t>“</w:t>
            </w:r>
            <w:r>
              <w:rPr>
                <w:i/>
                <w:color w:val="000000"/>
              </w:rPr>
              <w:t>Applicable Law</w:t>
            </w:r>
            <w:r>
              <w:rPr>
                <w:color w:val="000000"/>
              </w:rPr>
              <w:t>”</w:t>
            </w:r>
          </w:p>
        </w:tc>
        <w:tc>
          <w:tcPr>
            <w:tcW w:w="1880" w:type="dxa"/>
            <w:tcBorders/>
            <w:vAlign w:val="center"/>
          </w:tcPr>
          <w:p>
            <w:pPr>
              <w:pStyle w:val="TableContents"/>
              <w:bidi w:val="0"/>
              <w:spacing w:before="0" w:after="0"/>
              <w:jc w:val="center"/>
              <w:rPr>
                <w:color w:val="000000"/>
              </w:rPr>
            </w:pPr>
            <w:r>
              <w:rPr>
                <w:color w:val="000000"/>
              </w:rPr>
              <w:t>2.17(h)</w:t>
            </w:r>
          </w:p>
        </w:tc>
      </w:tr>
      <w:tr>
        <w:trPr/>
        <w:tc>
          <w:tcPr>
            <w:tcW w:w="2900" w:type="dxa"/>
            <w:tcBorders/>
            <w:shd w:fill="CCEEFF" w:val="clear"/>
            <w:vAlign w:val="center"/>
          </w:tcPr>
          <w:p>
            <w:pPr>
              <w:pStyle w:val="TableContents"/>
              <w:bidi w:val="0"/>
              <w:spacing w:before="0" w:after="0"/>
              <w:jc w:val="both"/>
              <w:rPr>
                <w:color w:val="000000"/>
              </w:rPr>
            </w:pPr>
            <w:r>
              <w:rPr>
                <w:color w:val="000000"/>
              </w:rPr>
              <w:t>“</w:t>
            </w:r>
            <w:r>
              <w:rPr>
                <w:i/>
                <w:color w:val="000000"/>
              </w:rPr>
              <w:t>Applicable Premium Deficit</w:t>
            </w:r>
            <w:r>
              <w:rPr>
                <w:color w:val="000000"/>
              </w:rPr>
              <w:t>”</w:t>
            </w:r>
          </w:p>
        </w:tc>
        <w:tc>
          <w:tcPr>
            <w:tcW w:w="1880" w:type="dxa"/>
            <w:tcBorders/>
            <w:shd w:fill="CCEEFF" w:val="clear"/>
            <w:vAlign w:val="center"/>
          </w:tcPr>
          <w:p>
            <w:pPr>
              <w:pStyle w:val="TableContents"/>
              <w:bidi w:val="0"/>
              <w:spacing w:before="0" w:after="0"/>
              <w:jc w:val="center"/>
              <w:rPr>
                <w:color w:val="000000"/>
              </w:rPr>
            </w:pPr>
            <w:r>
              <w:rPr>
                <w:color w:val="000000"/>
              </w:rPr>
              <w:t>8.04(a)</w:t>
            </w:r>
          </w:p>
        </w:tc>
      </w:tr>
      <w:tr>
        <w:trPr/>
        <w:tc>
          <w:tcPr>
            <w:tcW w:w="2900" w:type="dxa"/>
            <w:tcBorders/>
            <w:vAlign w:val="center"/>
          </w:tcPr>
          <w:p>
            <w:pPr>
              <w:pStyle w:val="TableContents"/>
              <w:bidi w:val="0"/>
              <w:spacing w:before="0" w:after="0"/>
              <w:jc w:val="both"/>
              <w:rPr>
                <w:color w:val="000000"/>
              </w:rPr>
            </w:pPr>
            <w:r>
              <w:rPr>
                <w:color w:val="000000"/>
              </w:rPr>
              <w:t>“</w:t>
            </w:r>
            <w:r>
              <w:rPr>
                <w:i/>
                <w:color w:val="000000"/>
              </w:rPr>
              <w:t>Covenant Defeasance</w:t>
            </w:r>
            <w:r>
              <w:rPr>
                <w:color w:val="000000"/>
              </w:rPr>
              <w:t>”</w:t>
            </w:r>
          </w:p>
        </w:tc>
        <w:tc>
          <w:tcPr>
            <w:tcW w:w="1880" w:type="dxa"/>
            <w:tcBorders/>
            <w:vAlign w:val="center"/>
          </w:tcPr>
          <w:p>
            <w:pPr>
              <w:pStyle w:val="TableContents"/>
              <w:bidi w:val="0"/>
              <w:spacing w:before="0" w:after="0"/>
              <w:jc w:val="center"/>
              <w:rPr>
                <w:color w:val="000000"/>
              </w:rPr>
            </w:pPr>
            <w:r>
              <w:rPr>
                <w:color w:val="000000"/>
              </w:rPr>
              <w:t>8.03</w:t>
            </w:r>
          </w:p>
        </w:tc>
      </w:tr>
      <w:tr>
        <w:trPr/>
        <w:tc>
          <w:tcPr>
            <w:tcW w:w="2900" w:type="dxa"/>
            <w:tcBorders/>
            <w:shd w:fill="CCEEFF" w:val="clear"/>
            <w:vAlign w:val="center"/>
          </w:tcPr>
          <w:p>
            <w:pPr>
              <w:pStyle w:val="TableContents"/>
              <w:bidi w:val="0"/>
              <w:spacing w:before="0" w:after="0"/>
              <w:jc w:val="both"/>
              <w:rPr>
                <w:color w:val="000000"/>
              </w:rPr>
            </w:pPr>
            <w:r>
              <w:rPr>
                <w:color w:val="000000"/>
              </w:rPr>
              <w:t>“</w:t>
            </w:r>
            <w:r>
              <w:rPr>
                <w:i/>
                <w:color w:val="000000"/>
              </w:rPr>
              <w:t>Event of Default</w:t>
            </w:r>
            <w:r>
              <w:rPr>
                <w:color w:val="000000"/>
              </w:rPr>
              <w:t>”</w:t>
            </w:r>
          </w:p>
        </w:tc>
        <w:tc>
          <w:tcPr>
            <w:tcW w:w="1880" w:type="dxa"/>
            <w:tcBorders/>
            <w:shd w:fill="CCEEFF" w:val="clear"/>
            <w:vAlign w:val="center"/>
          </w:tcPr>
          <w:p>
            <w:pPr>
              <w:pStyle w:val="TableContents"/>
              <w:bidi w:val="0"/>
              <w:spacing w:before="0" w:after="0"/>
              <w:jc w:val="center"/>
              <w:rPr>
                <w:color w:val="000000"/>
              </w:rPr>
            </w:pPr>
            <w:r>
              <w:rPr>
                <w:color w:val="000000"/>
              </w:rPr>
              <w:t>6.01</w:t>
            </w:r>
          </w:p>
        </w:tc>
      </w:tr>
      <w:tr>
        <w:trPr/>
        <w:tc>
          <w:tcPr>
            <w:tcW w:w="2900" w:type="dxa"/>
            <w:tcBorders/>
            <w:vAlign w:val="center"/>
          </w:tcPr>
          <w:p>
            <w:pPr>
              <w:pStyle w:val="TableContents"/>
              <w:bidi w:val="0"/>
              <w:spacing w:before="0" w:after="0"/>
              <w:jc w:val="both"/>
              <w:rPr>
                <w:color w:val="000000"/>
              </w:rPr>
            </w:pPr>
            <w:r>
              <w:rPr>
                <w:color w:val="000000"/>
              </w:rPr>
              <w:t>“</w:t>
            </w:r>
            <w:r>
              <w:rPr>
                <w:i/>
                <w:color w:val="000000"/>
              </w:rPr>
              <w:t>Electronic Signatures</w:t>
            </w:r>
            <w:r>
              <w:rPr>
                <w:color w:val="000000"/>
              </w:rPr>
              <w:t>”</w:t>
            </w:r>
          </w:p>
        </w:tc>
        <w:tc>
          <w:tcPr>
            <w:tcW w:w="1880" w:type="dxa"/>
            <w:tcBorders/>
            <w:vAlign w:val="center"/>
          </w:tcPr>
          <w:p>
            <w:pPr>
              <w:pStyle w:val="TableContents"/>
              <w:bidi w:val="0"/>
              <w:spacing w:before="0" w:after="0"/>
              <w:jc w:val="center"/>
              <w:rPr>
                <w:color w:val="000000"/>
              </w:rPr>
            </w:pPr>
            <w:r>
              <w:rPr>
                <w:color w:val="000000"/>
              </w:rPr>
              <w:t>12.13</w:t>
            </w:r>
          </w:p>
        </w:tc>
      </w:tr>
      <w:tr>
        <w:trPr/>
        <w:tc>
          <w:tcPr>
            <w:tcW w:w="2900" w:type="dxa"/>
            <w:tcBorders/>
            <w:shd w:fill="CCEEFF" w:val="clear"/>
            <w:vAlign w:val="center"/>
          </w:tcPr>
          <w:p>
            <w:pPr>
              <w:pStyle w:val="TableContents"/>
              <w:bidi w:val="0"/>
              <w:spacing w:before="0" w:after="0"/>
              <w:jc w:val="both"/>
              <w:rPr>
                <w:color w:val="000000"/>
              </w:rPr>
            </w:pPr>
            <w:r>
              <w:rPr>
                <w:color w:val="000000"/>
              </w:rPr>
              <w:t>“</w:t>
            </w:r>
            <w:r>
              <w:rPr>
                <w:i/>
                <w:color w:val="000000"/>
              </w:rPr>
              <w:t>Legal Defeasance</w:t>
            </w:r>
            <w:r>
              <w:rPr>
                <w:color w:val="000000"/>
              </w:rPr>
              <w:t>”</w:t>
            </w:r>
          </w:p>
        </w:tc>
        <w:tc>
          <w:tcPr>
            <w:tcW w:w="1880" w:type="dxa"/>
            <w:tcBorders/>
            <w:shd w:fill="CCEEFF" w:val="clear"/>
            <w:vAlign w:val="center"/>
          </w:tcPr>
          <w:p>
            <w:pPr>
              <w:pStyle w:val="TableContents"/>
              <w:bidi w:val="0"/>
              <w:spacing w:before="0" w:after="0"/>
              <w:jc w:val="center"/>
              <w:rPr>
                <w:color w:val="000000"/>
              </w:rPr>
            </w:pPr>
            <w:r>
              <w:rPr>
                <w:color w:val="000000"/>
              </w:rPr>
              <w:t>8.02</w:t>
            </w:r>
          </w:p>
        </w:tc>
      </w:tr>
      <w:tr>
        <w:trPr/>
        <w:tc>
          <w:tcPr>
            <w:tcW w:w="2900" w:type="dxa"/>
            <w:tcBorders/>
            <w:vAlign w:val="center"/>
          </w:tcPr>
          <w:p>
            <w:pPr>
              <w:pStyle w:val="TableContents"/>
              <w:bidi w:val="0"/>
              <w:spacing w:before="0" w:after="0"/>
              <w:jc w:val="both"/>
              <w:rPr>
                <w:color w:val="000000"/>
              </w:rPr>
            </w:pPr>
            <w:r>
              <w:rPr>
                <w:color w:val="000000"/>
              </w:rPr>
              <w:t>“</w:t>
            </w:r>
            <w:r>
              <w:rPr>
                <w:i/>
                <w:color w:val="000000"/>
              </w:rPr>
              <w:t>Paying Agent</w:t>
            </w:r>
            <w:r>
              <w:rPr>
                <w:color w:val="000000"/>
              </w:rPr>
              <w:t>”</w:t>
            </w:r>
          </w:p>
        </w:tc>
        <w:tc>
          <w:tcPr>
            <w:tcW w:w="1880" w:type="dxa"/>
            <w:tcBorders/>
            <w:vAlign w:val="center"/>
          </w:tcPr>
          <w:p>
            <w:pPr>
              <w:pStyle w:val="TableContents"/>
              <w:bidi w:val="0"/>
              <w:spacing w:before="0" w:after="0"/>
              <w:jc w:val="center"/>
              <w:rPr>
                <w:color w:val="000000"/>
              </w:rPr>
            </w:pPr>
            <w:r>
              <w:rPr>
                <w:color w:val="000000"/>
              </w:rPr>
              <w:t>2.04</w:t>
            </w:r>
          </w:p>
        </w:tc>
      </w:tr>
      <w:tr>
        <w:trPr/>
        <w:tc>
          <w:tcPr>
            <w:tcW w:w="2900" w:type="dxa"/>
            <w:tcBorders/>
            <w:shd w:fill="CCEEFF" w:val="clear"/>
            <w:vAlign w:val="center"/>
          </w:tcPr>
          <w:p>
            <w:pPr>
              <w:pStyle w:val="TableContents"/>
              <w:bidi w:val="0"/>
              <w:spacing w:before="0" w:after="0"/>
              <w:jc w:val="both"/>
              <w:rPr>
                <w:color w:val="000000"/>
              </w:rPr>
            </w:pPr>
            <w:r>
              <w:rPr>
                <w:color w:val="000000"/>
              </w:rPr>
              <w:t>“</w:t>
            </w:r>
            <w:r>
              <w:rPr>
                <w:i/>
                <w:color w:val="000000"/>
              </w:rPr>
              <w:t>Registrar</w:t>
            </w:r>
            <w:r>
              <w:rPr>
                <w:color w:val="000000"/>
              </w:rPr>
              <w:t>”</w:t>
            </w:r>
          </w:p>
        </w:tc>
        <w:tc>
          <w:tcPr>
            <w:tcW w:w="1880" w:type="dxa"/>
            <w:tcBorders/>
            <w:shd w:fill="CCEEFF" w:val="clear"/>
            <w:vAlign w:val="center"/>
          </w:tcPr>
          <w:p>
            <w:pPr>
              <w:pStyle w:val="TableContents"/>
              <w:bidi w:val="0"/>
              <w:spacing w:before="0" w:after="0"/>
              <w:jc w:val="center"/>
              <w:rPr>
                <w:color w:val="000000"/>
              </w:rPr>
            </w:pPr>
            <w:r>
              <w:rPr>
                <w:color w:val="000000"/>
              </w:rPr>
              <w:t>2.04</w:t>
            </w:r>
          </w:p>
        </w:tc>
      </w:tr>
      <w:tr>
        <w:trPr/>
        <w:tc>
          <w:tcPr>
            <w:tcW w:w="2900" w:type="dxa"/>
            <w:tcBorders/>
            <w:vAlign w:val="center"/>
          </w:tcPr>
          <w:p>
            <w:pPr>
              <w:pStyle w:val="TableContents"/>
              <w:bidi w:val="0"/>
              <w:spacing w:before="0" w:after="0"/>
              <w:jc w:val="both"/>
              <w:rPr>
                <w:color w:val="000000"/>
              </w:rPr>
            </w:pPr>
            <w:r>
              <w:rPr>
                <w:color w:val="000000"/>
              </w:rPr>
              <w:t>“</w:t>
            </w:r>
            <w:r>
              <w:rPr>
                <w:i/>
                <w:color w:val="000000"/>
              </w:rPr>
              <w:t>Tax Jurisdiction</w:t>
            </w:r>
            <w:r>
              <w:rPr>
                <w:color w:val="000000"/>
              </w:rPr>
              <w:t>”</w:t>
            </w:r>
          </w:p>
        </w:tc>
        <w:tc>
          <w:tcPr>
            <w:tcW w:w="1880" w:type="dxa"/>
            <w:tcBorders/>
            <w:vAlign w:val="center"/>
          </w:tcPr>
          <w:p>
            <w:pPr>
              <w:pStyle w:val="TableContents"/>
              <w:bidi w:val="0"/>
              <w:spacing w:before="0" w:after="0"/>
              <w:jc w:val="center"/>
              <w:rPr>
                <w:color w:val="000000"/>
              </w:rPr>
            </w:pPr>
            <w:r>
              <w:rPr>
                <w:color w:val="000000"/>
              </w:rPr>
              <w:t>4.06</w:t>
            </w:r>
          </w:p>
        </w:tc>
      </w:tr>
      <w:tr>
        <w:trPr/>
        <w:tc>
          <w:tcPr>
            <w:tcW w:w="2900" w:type="dxa"/>
            <w:tcBorders/>
            <w:shd w:fill="CCEEFF" w:val="clear"/>
            <w:vAlign w:val="center"/>
          </w:tcPr>
          <w:p>
            <w:pPr>
              <w:pStyle w:val="TableContents"/>
              <w:bidi w:val="0"/>
              <w:spacing w:before="0" w:after="0"/>
              <w:jc w:val="both"/>
              <w:rPr>
                <w:color w:val="000000"/>
              </w:rPr>
            </w:pPr>
            <w:r>
              <w:rPr>
                <w:color w:val="000000"/>
              </w:rPr>
              <w:t>“</w:t>
            </w:r>
            <w:r>
              <w:rPr>
                <w:i/>
                <w:color w:val="000000"/>
              </w:rPr>
              <w:t>Voluntary Assumption</w:t>
            </w:r>
            <w:r>
              <w:rPr>
                <w:color w:val="000000"/>
              </w:rPr>
              <w:t>”</w:t>
            </w:r>
          </w:p>
        </w:tc>
        <w:tc>
          <w:tcPr>
            <w:tcW w:w="1880" w:type="dxa"/>
            <w:tcBorders/>
            <w:shd w:fill="CCEEFF" w:val="clear"/>
            <w:vAlign w:val="center"/>
          </w:tcPr>
          <w:p>
            <w:pPr>
              <w:pStyle w:val="TableContents"/>
              <w:bidi w:val="0"/>
              <w:spacing w:before="0" w:after="0"/>
              <w:jc w:val="center"/>
              <w:rPr>
                <w:color w:val="000000"/>
              </w:rPr>
            </w:pPr>
            <w:r>
              <w:rPr>
                <w:color w:val="000000"/>
              </w:rPr>
              <w:t>5.01(b)</w:t>
            </w:r>
          </w:p>
        </w:tc>
      </w:tr>
    </w:tbl>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1.03          </w:t>
      </w:r>
      <w:r>
        <w:rPr>
          <w:rFonts w:ascii="Times New Roman" w:hAnsi="Times New Roman"/>
          <w:i/>
          <w:color w:val="000000"/>
          <w:sz w:val="20"/>
        </w:rPr>
        <w:t>Rules of Construction</w:t>
      </w:r>
      <w:r>
        <w:rPr>
          <w:rFonts w:ascii="Times New Roman" w:hAnsi="Times New Roman"/>
          <w:color w:val="000000"/>
          <w:sz w:val="20"/>
        </w:rPr>
        <w:t>.</w:t>
      </w:r>
      <w:bookmarkStart w:id="25" w:name="RulesofConstruction."/>
      <w:bookmarkEnd w:id="25"/>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Unless the context otherwise requires: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a term has the meaning assigned to it;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an accounting term not otherwise defined has the meaning assigned to it in accordance with GAAP;</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“or” is not exclusive;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words in the singular include the plural, and in the plural include the singular;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“will” shall be interpreted to express a command;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          provisions apply to successive events and transactions; and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(g)        references to sections of or rules under the Securities Act will be deemed to include substitute, replacement of successor sections or rules adopted by the SEC from time to time.</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1.04          </w:t>
      </w:r>
      <w:r>
        <w:rPr>
          <w:rFonts w:ascii="Times New Roman" w:hAnsi="Times New Roman"/>
          <w:i/>
          <w:color w:val="000000"/>
          <w:sz w:val="20"/>
        </w:rPr>
        <w:t>Incorporation by Reference of Trust Indenture Act</w:t>
      </w:r>
      <w:r>
        <w:rPr>
          <w:rFonts w:ascii="Times New Roman" w:hAnsi="Times New Roman"/>
          <w:color w:val="000000"/>
          <w:sz w:val="20"/>
        </w:rPr>
        <w:t>.</w:t>
      </w:r>
      <w:bookmarkStart w:id="26" w:name="IncorporationbyReferenceo"/>
      <w:bookmarkEnd w:id="26"/>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Whenever this Indenture refers to a provision of the Trust Indenture Act, the provision is incorporated by reference in and made a part of this Indenture.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following Trust Indenture Act terms used in this Indenture have the following meanings: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indenture securities</w:t>
      </w:r>
      <w:r>
        <w:rPr>
          <w:rFonts w:ascii="Times New Roman" w:hAnsi="Times New Roman"/>
          <w:color w:val="000000"/>
          <w:sz w:val="20"/>
        </w:rPr>
        <w:t>” means the Notes;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indenture security Holder</w:t>
      </w:r>
      <w:r>
        <w:rPr>
          <w:rFonts w:ascii="Times New Roman" w:hAnsi="Times New Roman"/>
          <w:color w:val="000000"/>
          <w:sz w:val="20"/>
        </w:rPr>
        <w:t>” means a Holder of a Note;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indenture to be qualified</w:t>
      </w:r>
      <w:r>
        <w:rPr>
          <w:rFonts w:ascii="Times New Roman" w:hAnsi="Times New Roman"/>
          <w:color w:val="000000"/>
          <w:sz w:val="20"/>
        </w:rPr>
        <w:t>” means this Indenture;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indenture trustee</w:t>
      </w:r>
      <w:r>
        <w:rPr>
          <w:rFonts w:ascii="Times New Roman" w:hAnsi="Times New Roman"/>
          <w:color w:val="000000"/>
          <w:sz w:val="20"/>
        </w:rPr>
        <w:t>” or “</w:t>
      </w:r>
      <w:r>
        <w:rPr>
          <w:rFonts w:ascii="Times New Roman" w:hAnsi="Times New Roman"/>
          <w:i/>
          <w:color w:val="000000"/>
          <w:sz w:val="20"/>
        </w:rPr>
        <w:t>institutional trustee</w:t>
      </w:r>
      <w:r>
        <w:rPr>
          <w:rFonts w:ascii="Times New Roman" w:hAnsi="Times New Roman"/>
          <w:color w:val="000000"/>
          <w:sz w:val="20"/>
        </w:rPr>
        <w:t>” means the Trustee; and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obligor</w:t>
      </w:r>
      <w:r>
        <w:rPr>
          <w:rFonts w:ascii="Times New Roman" w:hAnsi="Times New Roman"/>
          <w:color w:val="000000"/>
          <w:sz w:val="20"/>
        </w:rPr>
        <w:t>” on the Notes and the Parent Guarantee means the Issuer and the Parent, respectively, and any successor obligor upon the Notes and the Parent Guarantee, respectively.</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All other terms used in this Indenture that are defined by the Trust Indenture Act, defined by Trust Indenture Act reference to another statute or defined by SEC rule under the Trust Indenture Act and not otherwise defined herein are used herein as so defined.</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2</w:t>
        <w:br/>
        <w:t>THE NOTES</w:t>
      </w:r>
      <w:bookmarkStart w:id="27" w:name="THENOTES"/>
      <w:bookmarkEnd w:id="27"/>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2.01          </w:t>
      </w:r>
      <w:r>
        <w:rPr>
          <w:rFonts w:ascii="Times New Roman" w:hAnsi="Times New Roman"/>
          <w:i/>
          <w:color w:val="000000"/>
          <w:sz w:val="20"/>
        </w:rPr>
        <w:t>Issuable in Series</w:t>
      </w:r>
      <w:r>
        <w:rPr>
          <w:rFonts w:ascii="Times New Roman" w:hAnsi="Times New Roman"/>
          <w:color w:val="000000"/>
          <w:sz w:val="20"/>
        </w:rPr>
        <w:t>.</w:t>
      </w:r>
      <w:bookmarkStart w:id="28" w:name="IssuableinSeries."/>
      <w:bookmarkEnd w:id="28"/>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aggregate principal amount of Notes that may be authenticated and delivered under this Indenture is unlimited.  The Notes may be issued in one or more Series.  All Notes of a Series will be identical except as may be set forth or determined in the manner provided in a Board Resolution, supplemental indenture or Officer’s Certificate detailing the adoption of the terms thereof pursuant to authority granted under a Board Resolution.  In the case of Notes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will accrue) are to be determined.  Notes may differ between Series in respect of any matters, but otherwise all Series of Notes are equally and ratably entitled to the benefits of this Base Indenture.</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2.02          </w:t>
      </w:r>
      <w:r>
        <w:rPr>
          <w:rFonts w:ascii="Times New Roman" w:hAnsi="Times New Roman"/>
          <w:i/>
          <w:color w:val="000000"/>
          <w:sz w:val="20"/>
        </w:rPr>
        <w:t>Establishment of Terms of Series of Notes</w:t>
      </w:r>
      <w:r>
        <w:rPr>
          <w:rFonts w:ascii="Times New Roman" w:hAnsi="Times New Roman"/>
          <w:color w:val="000000"/>
          <w:sz w:val="20"/>
        </w:rPr>
        <w:t>.</w:t>
      </w:r>
      <w:bookmarkStart w:id="29" w:name="EstablishmentofTermsofSer"/>
      <w:bookmarkEnd w:id="29"/>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At or prior to the issuance of any Notes within a Series, the following will be established (as to such Series generally, in the case of Section 2.02(a) and either as to such Notes within such Series or as to such Series generally in the case of Sections 2.02(b) through 2.02(w)) by or pursuant to a Board Resolution, and set forth or determined in the manner provided in a Board Resolution, supplemental indenture or Officer’s Certificate: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the title of the Series (which will distinguish the Notes of that particular Series from the Notes of any other Series);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the total principal amount of the Notes of the Series issued and any limit on the future issuance of additional securities of that Series;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any stock exchange on which the Notes will be listed;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whether the Notes will be issued in individual certificates to each Holder or in the form of temporary or permanent Global Notes held by a Depositary on behalf of Holders;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the date or dates on which the principal of and any premium on the Notes of the Series is payable;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         any interest rate, which may be fixed or variable, the date from which interest will accrue, interest payment dates and record dates for interest payments;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(g)          the place or places where the principal of and interest, if any, on the Notes of the Series will be payable;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(h)          any right to extend or defer the interest payment periods and the duration of the extension;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           any mandatory or optional sinking funds or analogous provisions or provisions for redemption at the option of the Holder;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(j)           whether and under what circumstances any additional amounts with respect to the Notes will be payable;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(k)          any provisions for optional redemption or early repayment, including conditions precedent for such optional redemption;</w:t>
      </w:r>
    </w:p>
    <w:p>
      <w:pPr>
        <w:pStyle w:val="TextBody"/>
        <w:bidi w:val="0"/>
        <w:spacing w:before="0" w:after="0"/>
        <w:ind w:left="0" w:right="0" w:firstLine="72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(l)           any provisions that would require the redemption, repurchase or repayment of Notes;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(m)         whether payments on the Notes will be payable in currency or currency units or another form and whether payments will be payable by reference to any index or formula;</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         the portion of the principal amount of Notes that will be payable if the Stated Maturity is accelerated, if other than the entire principal amount;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(o)         any additional means of defeasance of the Notes, any additional conditions or limitations to defeasance of the Notes or any changes to those conditions or limitations;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         any addition to or change in the Events of Default which applies to any Notes of the Series and any change in the right of the Trustee or the requisite Holders of such Notes to declare the principal amount thereof due and payable pursuant to Section 6.02;</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(q)          any addition to, deletion of, or change in the covenants set forth in Articles 4 and 5 hereof which applies to Notes of the Series;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(r)          any restrictions or other provisions relating to the transfer or exchange of Notes;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         the provisions, if any, relating to conversion of any Notes of such Series, including if applicable, the conversion price, the conversion period, provisions as to whether conversion will be mandatory, at the option of the Holders thereof or at the option of the Issuer, the events requiring an adjustment of the conversion price and provisions affecting conversion if such Series of Notes are redeemed;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           the currency of payment and the denominations in which the Notes will be issuable;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(u)          the forms of the Notes of the Series and whether the Notes will be issuable as Global Notes; and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(v)          any other terms of the Notes of the Series (which may supplement, modify or delete any provision of this Indenture insofar as it applies to such Series, regardless of whether this Indenture expressly contemplates such supplement, modification or deletion).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All Notes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2.03          </w:t>
      </w:r>
      <w:r>
        <w:rPr>
          <w:rFonts w:ascii="Times New Roman" w:hAnsi="Times New Roman"/>
          <w:i/>
          <w:color w:val="000000"/>
          <w:sz w:val="20"/>
        </w:rPr>
        <w:t>Execution and Authentication</w:t>
      </w:r>
      <w:r>
        <w:rPr>
          <w:rFonts w:ascii="Times New Roman" w:hAnsi="Times New Roman"/>
          <w:color w:val="000000"/>
          <w:sz w:val="20"/>
        </w:rPr>
        <w:t>.</w:t>
      </w:r>
      <w:bookmarkStart w:id="30" w:name="ExecutionandAuthenticatio"/>
      <w:bookmarkEnd w:id="30"/>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At least one Officer must sign the Notes for the Issuer by manual, facsimile or electronic (including PDF) signature.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an Officer whose signature is on a Note no longer holds that office at the time a Note is authenticated, the Note will nevertheless be valid.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Note will not be valid until authenticated by the manual, facsimile or electronic (including PDF) signature of the Trustee.  The signature will be conclusive evidence that the Note has been authenticated under this Indenture.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Trustee will at any time, and from time to time, authenticate Notes for original issue in the principal amount provided in the Board Resolution, supplemental indenture hereto or Officer’s Certificate, upon receipt by the Trustee of an Authentication Order.  Such Authentication Order may authorize authentication and delivery pursuant to written instructions from the Issuer or its duly authorized agent or agents.  Each Note will be dated the date of its authentication unless otherwise provided by a Board Resolution, a supplemental indenture hereto or an Officer’s Certificate.</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aggregate principal amount of Notes of any Series outstanding at any time may not exceed any limit upon the maximum principal amount for such Series set forth in the Board Resolution, supplemental indenture hereto or Officer’s Certificate delivered pursuant to Section 2.02, except as provided in Section 2.08.</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Prior to the issuance of Notes of any Series, the Trustee will have received:  (a) the Board Resolution, supplemental indenture hereto or Officer’s Certificate establishing the form and the terms of the Notes of that Series or of Notes within that Series, (b) an Officer’s Certificate complying with Section 12.05, and (c) an Opinion of Counsel complying with Section 12.05; </w:t>
      </w:r>
      <w:r>
        <w:rPr>
          <w:rFonts w:ascii="Times New Roman" w:hAnsi="Times New Roman"/>
          <w:i/>
          <w:color w:val="000000"/>
          <w:sz w:val="20"/>
        </w:rPr>
        <w:t>provided</w:t>
      </w:r>
      <w:r>
        <w:rPr>
          <w:rFonts w:ascii="Times New Roman" w:hAnsi="Times New Roman"/>
          <w:color w:val="000000"/>
          <w:sz w:val="20"/>
        </w:rPr>
        <w:t xml:space="preserve"> that no Opinion of Counsel shall be required in connection with the authentication of any Notes on the date hereof.</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Trustee will have the right to decline to authenticate and deliver any Notes of such Series if (a) the Trustee, being advised by counsel, determines that such action may not be taken lawfully or (b) a trust committee of directors and/or vice-presidents of the Trustee determines in good faith that such action would expose the Trustee to personal liability to Holders of any then outstanding Series of Notes.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Trustee may appoint an authenticating agent acceptable to the Issuer to authenticate Notes.  An authenticating agent may authenticate Notes whenever the Trustee may do so.  Each reference in this Indenture to authentication by the Trustee includes authentication by such authenticating agent.  An authenticating agent has the same rights as an Agent to deal with Holders, the Issuer or an Affiliate of the Issuer.</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2.04          </w:t>
      </w:r>
      <w:r>
        <w:rPr>
          <w:rFonts w:ascii="Times New Roman" w:hAnsi="Times New Roman"/>
          <w:i/>
          <w:color w:val="000000"/>
          <w:sz w:val="20"/>
        </w:rPr>
        <w:t>Registrar and Paying Agent</w:t>
      </w:r>
      <w:r>
        <w:rPr>
          <w:rFonts w:ascii="Times New Roman" w:hAnsi="Times New Roman"/>
          <w:color w:val="000000"/>
          <w:sz w:val="20"/>
        </w:rPr>
        <w:t>.</w:t>
      </w:r>
      <w:bookmarkStart w:id="31" w:name="RegistrarandPayingAgent."/>
      <w:bookmarkEnd w:id="31"/>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 will maintain, with respect to each Series of Notes, an office or agency where Notes may be presented for registration of transfer or for exchange (“</w:t>
      </w:r>
      <w:r>
        <w:rPr>
          <w:rFonts w:ascii="Times New Roman" w:hAnsi="Times New Roman"/>
          <w:i/>
          <w:color w:val="000000"/>
          <w:sz w:val="20"/>
        </w:rPr>
        <w:t>Registrar</w:t>
      </w:r>
      <w:r>
        <w:rPr>
          <w:rFonts w:ascii="Times New Roman" w:hAnsi="Times New Roman"/>
          <w:color w:val="000000"/>
          <w:sz w:val="20"/>
        </w:rPr>
        <w:t>”) and an office or agency where Notes of such Series may be presented for payment (“</w:t>
      </w:r>
      <w:r>
        <w:rPr>
          <w:rFonts w:ascii="Times New Roman" w:hAnsi="Times New Roman"/>
          <w:i/>
          <w:color w:val="000000"/>
          <w:sz w:val="20"/>
        </w:rPr>
        <w:t>Paying Agent</w:t>
      </w:r>
      <w:r>
        <w:rPr>
          <w:rFonts w:ascii="Times New Roman" w:hAnsi="Times New Roman"/>
          <w:color w:val="000000"/>
          <w:sz w:val="20"/>
        </w:rPr>
        <w:t>”).  The Registrar will keep a register of each Series of Notes and of their transfer and exchange.  The Issuer may appoint one or more co-Registrars and one or more additional paying agents.  The term “</w:t>
      </w:r>
      <w:r>
        <w:rPr>
          <w:rFonts w:ascii="Times New Roman" w:hAnsi="Times New Roman"/>
          <w:i/>
          <w:color w:val="000000"/>
          <w:sz w:val="20"/>
        </w:rPr>
        <w:t>Registrar’</w:t>
      </w:r>
      <w:r>
        <w:rPr>
          <w:rFonts w:ascii="Times New Roman" w:hAnsi="Times New Roman"/>
          <w:color w:val="000000"/>
          <w:sz w:val="20"/>
        </w:rPr>
        <w:t>” includes any co-Registrar and the term “</w:t>
      </w:r>
      <w:r>
        <w:rPr>
          <w:rFonts w:ascii="Times New Roman" w:hAnsi="Times New Roman"/>
          <w:i/>
          <w:color w:val="000000"/>
          <w:sz w:val="20"/>
        </w:rPr>
        <w:t>Paying Agent</w:t>
      </w:r>
      <w:r>
        <w:rPr>
          <w:rFonts w:ascii="Times New Roman" w:hAnsi="Times New Roman"/>
          <w:color w:val="000000"/>
          <w:sz w:val="20"/>
        </w:rPr>
        <w:t>” includes any additional paying agent.  The Issuer may change any Paying Agent or Registrar without notice to any Holder.  The Issuer will notify the Trustee in writing of the name and address of any Agent not a party to this Indenture.  If the Issuer fails to appoint or maintain another entity as Registrar or Paying Agent, the Trustee shall act as such.  The Issuer or any of its Subsidiaries may act as Paying Agent or Registrar.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a Holder has given wire transfer instructions to the Issuer and the Issuer is the Paying Agent, the Issuer will pay all principal, interest and premium, if any, on that Holder’s Notes in accordance with these instructions until given written notice to the contrary.  All other payments on the Notes of any Series will be made at the Corporate Trust Office of the Trustee, unless the Issuer elects to make interest payments by checks mailed to the Holders at their addresses in the books and records of the Registrar.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 initially appoints the Trustee to act as the Registrar and Paying Agent and to act as custodian of any Global Note (or Global Notes) with respect to each Series unless another Registrar or Paying Agent, as the case may be, is appointed prior to the time Notes of that Series are first issued.  The Issuer may change the Paying Agent or Registrar with respect to the Notes of any Series without prior notice to the Holders.</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2.05          </w:t>
      </w:r>
      <w:r>
        <w:rPr>
          <w:rFonts w:ascii="Times New Roman" w:hAnsi="Times New Roman"/>
          <w:i/>
          <w:color w:val="000000"/>
          <w:sz w:val="20"/>
        </w:rPr>
        <w:t>Paying Agent to Hold Money</w:t>
      </w:r>
      <w:r>
        <w:rPr>
          <w:rFonts w:ascii="Times New Roman" w:hAnsi="Times New Roman"/>
          <w:color w:val="000000"/>
          <w:sz w:val="20"/>
        </w:rPr>
        <w:t>.</w:t>
      </w:r>
      <w:bookmarkStart w:id="32" w:name="PayingAgenttoHoldMoney."/>
      <w:bookmarkEnd w:id="32"/>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 will require each Paying Agent other than the Trustee to agree in writing that the Paying Agent will hold in trust for the benefit of Holders of any Series of Notes or the Trustee, all money held by the Paying Agent for the payment of principal of, premium on, if any, or interest on such Series of Notes, and will notify the Trustee in writing of any default by the Issuer in making any such payment.  While any such default continues, the Trustee may require a Paying Agent to pay all money held by it with respect to such series of Notes to the Trustee.  The Issuer at any time may require a Paying Agent to pay all money held by it with respect to such series of Notes to the Trustee.  Upon payment over to the Trustee, the Paying Agent (if other than the Issuer or any of its Subsidiaries) will have no further liability for such money.  If the Issuer or a Subsidiary acts as Paying Agent, it will segregate and hold in a separate trust fund for the benefit of the Holders of any Series of Notes all money held by it as Paying Agent.  Upon any bankruptcy or reorganization proceedings relating to the Issuer, the Trustee will serve as Paying Agent for the Notes.  The Issuer shall two (2) Business Days prior to the day on which the Paying Agent is to receive any payment of principal, premium, if any, and interest on the Notes, email (or equivalent message) to the Paying Agent that the payment instructions relating to such payment have been sent to the Paying Agent.  For the avoidance of doubt, the Paying Agent and the Trustee shall be held harmless and have no liability with respect to payments or disbursements to be made by the Paying Agent and Trustee (i) for which payment instructions are not made or that are not otherwise deposited by the respective times set forth in this Section 2.05; and (ii) until the Paying Agent and Trustee have confirmed receipt of funds sufficient to make such relevant payment.</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2.06          </w:t>
      </w:r>
      <w:r>
        <w:rPr>
          <w:rFonts w:ascii="Times New Roman" w:hAnsi="Times New Roman"/>
          <w:i/>
          <w:color w:val="000000"/>
          <w:sz w:val="20"/>
        </w:rPr>
        <w:t>Holder Lists</w:t>
      </w:r>
      <w:r>
        <w:rPr>
          <w:rFonts w:ascii="Times New Roman" w:hAnsi="Times New Roman"/>
          <w:color w:val="000000"/>
          <w:sz w:val="20"/>
        </w:rPr>
        <w:t>.</w:t>
      </w:r>
      <w:bookmarkStart w:id="33" w:name="HolderLists."/>
      <w:bookmarkEnd w:id="33"/>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Trustee will preserve in as current a form as is reasonably practicable the most recent list available to it of the names and addresses of Holders of each Series of Notes and will otherwise comply with Trust Indenture Act § 312(a).  If the Trustee is not the Registrar, the Issuer will furnish to the Trustee at least seven Business Days before each interest payment date and at such other times as the Trustee may request in writing, a list in such form and as of such date as the Trustee may reasonably require of the names and addresses of the Holders of each Series of Notes.</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2.07          </w:t>
      </w:r>
      <w:r>
        <w:rPr>
          <w:rFonts w:ascii="Times New Roman" w:hAnsi="Times New Roman"/>
          <w:i/>
          <w:color w:val="000000"/>
          <w:sz w:val="20"/>
        </w:rPr>
        <w:t>Transfer and Exchange</w:t>
      </w:r>
      <w:r>
        <w:rPr>
          <w:rFonts w:ascii="Times New Roman" w:hAnsi="Times New Roman"/>
          <w:color w:val="000000"/>
          <w:sz w:val="20"/>
        </w:rPr>
        <w:t>.</w:t>
      </w:r>
      <w:bookmarkStart w:id="34" w:name="TransferandExchange."/>
      <w:bookmarkEnd w:id="34"/>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When Notes of a Series are presented to the Registrar or a co-Registrar with a request to register a transfer or to exchange them for an equal principal amount of Notes of the same Series of other denominations, the Registrar will register the transfer or make the exchange as requested if its requirements for such transactions are met.  To permit registrations of transfers and exchanges, the Issuer shall execute and the Trustee shall authenticate Notes at the Registrar’s request.  A Holder may transfer or exchange Notes only in accordance with this Indenture.  Upon any transfer or exchange, the Registrar and the Trustee may require a Holder, among other things, to furnish appropriate endorsements or transfer documents.  No service charge shall be made for any registration of transfer or exchange (except as otherwise expressly permitted herein), but the Issuer and/or the Trustee may require payment of a sum sufficient to cover any transfer Tax, any other reasonable expenses (including the reasonable fees and expenses of the Trustee or Registrar) or similar governmental charge payable in connection therewith (other than any such transfer Tax or similar governmental charge payable upon exchanges pursuant to Sections 2.11, 3.06 or 9.05).</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Neither the Issuer nor the Registrar will be required (a) to issue, register the transfer or purchase of, or exchange Notes of any Series for the period beginning at the opening of business 15 days immediately preceding the sending of a notice of redemption of Notes of that Series selected for redemption and ending at the close of business on the day such notice is sent or (b) to issue, register the transfer or purchase of, or exchange Notes of any Series selected for redemption.</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2.08          </w:t>
      </w:r>
      <w:r>
        <w:rPr>
          <w:rFonts w:ascii="Times New Roman" w:hAnsi="Times New Roman"/>
          <w:i/>
          <w:color w:val="000000"/>
          <w:sz w:val="20"/>
        </w:rPr>
        <w:t>Replacement Notes</w:t>
      </w:r>
      <w:r>
        <w:rPr>
          <w:rFonts w:ascii="Times New Roman" w:hAnsi="Times New Roman"/>
          <w:color w:val="000000"/>
          <w:sz w:val="20"/>
        </w:rPr>
        <w:t>.</w:t>
      </w:r>
      <w:bookmarkStart w:id="35" w:name="ReplacementNotes."/>
      <w:bookmarkEnd w:id="35"/>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any mutilated Note is surrendered to the Trustee or the Issuer and the Trustee receives evidence to its satisfaction of the destruction, loss or theft of any Note, the Issuer will issue and the Trustee, upon receipt of an Authentication Order, will authenticate and deliver a replacement Note of the same Series and of like tenor and principal amount in exchange and substitution for the mutilated Note if the Trustee’s requirements are met.  Upon written request for replacement of a Note by a Holder, the Trustee and the Issuer shall receive an indemnity bond sufficient in the judgment of the Trustee and the Issuer to protect the Issuer, the Trustee, any Agent and any authenticating agent from any loss that any of them may suffer if a Note is replaced.  The Issuer may charge the Holder for its expenses in replacing a Note, with any expense of the Trustee to be reimbursed in accordance with the terms of this Indenture.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Every replacement Note is an additional obligation of the Issuer and will be entitled to all of the benefits of this Indenture equally and proportionately with all other Notes of such Series duly issued hereunder.</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2.09          </w:t>
      </w:r>
      <w:r>
        <w:rPr>
          <w:rFonts w:ascii="Times New Roman" w:hAnsi="Times New Roman"/>
          <w:i/>
          <w:color w:val="000000"/>
          <w:sz w:val="20"/>
        </w:rPr>
        <w:t>Outstanding Notes</w:t>
      </w:r>
      <w:r>
        <w:rPr>
          <w:rFonts w:ascii="Times New Roman" w:hAnsi="Times New Roman"/>
          <w:color w:val="000000"/>
          <w:sz w:val="20"/>
        </w:rPr>
        <w:t>.</w:t>
      </w:r>
      <w:bookmarkStart w:id="36" w:name="OutstandingNotes."/>
      <w:bookmarkEnd w:id="36"/>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Notes outstanding at any time are all the Notes authenticated by the Trustee except for those canceled by it, those delivered to it for cancellation, those paid under this Indenture, those reductions in the interest in a Global Note effected by the Trustee in accordance with the provisions hereof, and those described in this Section 2.09 as not outstanding.  Except as set forth in Section 2.10 hereof, a Note does not cease to be outstanding because the Issuer or an Affiliate of the Issuer holds the Note.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a Note is replaced pursuant to Section 2.08 hereof, it ceases to be outstanding and shall be deemed cancelled for all purposes unless the Trustee receives proof satisfactory to it that the replaced Note is held by a protected purchaser.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the principal amount of any Note is considered paid under Section 4.01 hereof, it ceases to be outstanding, shall be deemed cancelled, and interest on it ceases to accrue.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the Paying Agent (other than the Issuer, a Subsidiary or an Affiliate of any thereof) holds, on a redemption date or maturity date, money sufficient to pay Notes payable on that date, then on and after that date such Notes will be deemed to be no longer outstanding, shall be deemed cancelled, and will cease to accrue interest.</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2.10          </w:t>
      </w:r>
      <w:r>
        <w:rPr>
          <w:rFonts w:ascii="Times New Roman" w:hAnsi="Times New Roman"/>
          <w:i/>
          <w:color w:val="000000"/>
          <w:sz w:val="20"/>
        </w:rPr>
        <w:t>Treasury Notes</w:t>
      </w:r>
      <w:r>
        <w:rPr>
          <w:rFonts w:ascii="Times New Roman" w:hAnsi="Times New Roman"/>
          <w:color w:val="000000"/>
          <w:sz w:val="20"/>
        </w:rPr>
        <w:t>.</w:t>
      </w:r>
      <w:bookmarkStart w:id="37" w:name="TreasuryNotes."/>
      <w:bookmarkEnd w:id="37"/>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determining whether the Holders of the required principal amount of Notes of a Series have concurred in any direction, waiver or consent, Notes owned by the Issuer or the Parent, or by any Person directly or indirectly controlling or controlled by or under direct or indirect common control with the Issuer or the Parent, will be considered as though not outstanding, except that for the purposes of determining whether the Trustee will be protected in conclusively relying on any such direction, waiver or consent, only Notes of a Series that a Responsible Officer of the Trustee actually knows are so owned will be so disregarded.</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2.11          </w:t>
      </w:r>
      <w:r>
        <w:rPr>
          <w:rFonts w:ascii="Times New Roman" w:hAnsi="Times New Roman"/>
          <w:i/>
          <w:color w:val="000000"/>
          <w:sz w:val="20"/>
        </w:rPr>
        <w:t>Temporary Notes</w:t>
      </w:r>
      <w:r>
        <w:rPr>
          <w:rFonts w:ascii="Times New Roman" w:hAnsi="Times New Roman"/>
          <w:color w:val="000000"/>
          <w:sz w:val="20"/>
        </w:rPr>
        <w:t>.</w:t>
      </w:r>
      <w:bookmarkStart w:id="38" w:name="TemporaryNotes."/>
      <w:bookmarkEnd w:id="38"/>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Until certificates representing Notes are ready for delivery, the Issuer may prepare and the Trustee, upon receipt of an Authentication Order, will authenticate temporary Notes.  Temporary Notes will be substantially in the form of certificated Notes but may have variations that the Issuer considers appropriate for temporary Notes and as may be reasonably acceptable to the Trustee.  Without unreasonable delay, the Issuer will prepare and the Trustee will, upon receipt of an Authentication Order, authenticate definitive Notes in exchange for temporary Notes.  Holders of temporary Notes will be entitled to all of the benefits of this Indenture.</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2.12          </w:t>
      </w:r>
      <w:r>
        <w:rPr>
          <w:rFonts w:ascii="Times New Roman" w:hAnsi="Times New Roman"/>
          <w:i/>
          <w:color w:val="000000"/>
          <w:sz w:val="20"/>
        </w:rPr>
        <w:t>Cancellation</w:t>
      </w:r>
      <w:r>
        <w:rPr>
          <w:rFonts w:ascii="Times New Roman" w:hAnsi="Times New Roman"/>
          <w:color w:val="000000"/>
          <w:sz w:val="20"/>
        </w:rPr>
        <w:t>.</w:t>
      </w:r>
      <w:bookmarkStart w:id="39" w:name="Cancellation."/>
      <w:bookmarkEnd w:id="39"/>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 or its agents or representatives at any time may deliver Notes to the Trustee for cancellation.  The Registrar and Paying Agent will forward to the Trustee any Notes surrendered to them for registration of transfer, exchange, redemption, purchase, cancellation, replacement or payment.  The Trustee and no one else will promptly cancel all Notes surrendered for registration of transfer, exchange, redemption, purchase, payment, replacement or cancellation and will dispose of such canceled Notes (subject to the record retention requirement of the Exchange Act) and in accordance with the Trustee’s customary procedures.  Upon written request and at the expense of the Issuer, certification of the cancellation of such Notes will be delivered to the Issuer.  The Issuer may not issue new Notes to replace Notes that they have paid or that have been delivered to the Trustee for cancellation.</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2.13          </w:t>
      </w:r>
      <w:r>
        <w:rPr>
          <w:rFonts w:ascii="Times New Roman" w:hAnsi="Times New Roman"/>
          <w:i/>
          <w:color w:val="000000"/>
          <w:sz w:val="20"/>
        </w:rPr>
        <w:t>Persons Deemed Owners</w:t>
      </w:r>
      <w:r>
        <w:rPr>
          <w:rFonts w:ascii="Times New Roman" w:hAnsi="Times New Roman"/>
          <w:color w:val="000000"/>
          <w:sz w:val="20"/>
        </w:rPr>
        <w:t>.</w:t>
      </w:r>
      <w:bookmarkStart w:id="40" w:name="PersonsDeemedOwners."/>
      <w:bookmarkEnd w:id="40"/>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 the Trustee and any agent of the Issuer or the Trustee shall (subject to Section 2.15(e)) treat the Person in whose name such Global Note is registered as the absolute owner of such Global Note for all purposes, including for the purpose of receiving payment of principal of, and any premium and any interest, if any, on, such Global Note and for all other purposes whatsoever, whether or not such Global Note be overdue, and neither the Issuer nor Trustee nor any of their respective agents shall be affected by notice to the contrary.</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Neither the Issuer, nor the Trustee, nor any of their respective agents will have any responsibility or liability for any aspect of the records relating to, or payments made on account of, beneficial ownership interests of a Global Note or for maintaining, supervising or reviewing any records relating to such beneficial ownership interests.</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2.14          </w:t>
      </w:r>
      <w:r>
        <w:rPr>
          <w:rFonts w:ascii="Times New Roman" w:hAnsi="Times New Roman"/>
          <w:i/>
          <w:color w:val="000000"/>
          <w:sz w:val="20"/>
        </w:rPr>
        <w:t>Defaulted Interest</w:t>
      </w:r>
      <w:r>
        <w:rPr>
          <w:rFonts w:ascii="Times New Roman" w:hAnsi="Times New Roman"/>
          <w:color w:val="000000"/>
          <w:sz w:val="20"/>
        </w:rPr>
        <w:t>.</w:t>
      </w:r>
      <w:bookmarkStart w:id="41" w:name="DefaultedInterest."/>
      <w:bookmarkEnd w:id="41"/>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If the Issuer defaults in a payment of interest on a Series of Notes, it will pay the defaulted interest in any lawful manner plus, to the extent lawful, any interest payable on the defaulted interest, to the Persons who are Holders of the Notes of such Series on a subsequent special record date.  The Issuer will notify the Trustee in writing of the amount of defaulted interest proposed to be paid on each Note and the date of the proposed payment.  The Issuer will fix or cause to be fixed each such special record date and payment date; </w:t>
      </w:r>
      <w:r>
        <w:rPr>
          <w:rFonts w:ascii="Times New Roman" w:hAnsi="Times New Roman"/>
          <w:i/>
          <w:color w:val="000000"/>
          <w:sz w:val="20"/>
        </w:rPr>
        <w:t>provided</w:t>
      </w:r>
      <w:r>
        <w:rPr>
          <w:rFonts w:ascii="Times New Roman" w:hAnsi="Times New Roman"/>
          <w:color w:val="000000"/>
          <w:sz w:val="20"/>
        </w:rPr>
        <w:t>, that no such special record date may be less than 10 days prior to the related payment date for such defaulted interest.  At least 10 days before such special record date, the Issuer will deliver or cause to be delivered to Holders of the applicable Series of Notes a notice that states the special record date, the related payment date and the amount of such interest to be paid.</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2.15          </w:t>
      </w:r>
      <w:r>
        <w:rPr>
          <w:rFonts w:ascii="Times New Roman" w:hAnsi="Times New Roman"/>
          <w:i/>
          <w:color w:val="000000"/>
          <w:sz w:val="20"/>
        </w:rPr>
        <w:t>Global Notes</w:t>
      </w:r>
      <w:r>
        <w:rPr>
          <w:rFonts w:ascii="Times New Roman" w:hAnsi="Times New Roman"/>
          <w:color w:val="000000"/>
          <w:sz w:val="20"/>
        </w:rPr>
        <w:t>.</w:t>
      </w:r>
      <w:bookmarkStart w:id="42" w:name="GlobalNotes."/>
      <w:bookmarkEnd w:id="42"/>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w:t>
      </w:r>
      <w:r>
        <w:rPr>
          <w:rFonts w:ascii="Times New Roman" w:hAnsi="Times New Roman"/>
          <w:color w:val="000000"/>
          <w:sz w:val="20"/>
          <w:u w:val="single"/>
        </w:rPr>
        <w:t>Terms of Notes</w:t>
      </w:r>
      <w:r>
        <w:rPr>
          <w:rFonts w:ascii="Times New Roman" w:hAnsi="Times New Roman"/>
          <w:color w:val="000000"/>
          <w:sz w:val="20"/>
        </w:rPr>
        <w:t>.  A Board Resolution, a supplemental indenture hereto or an Officer’s Certificate will establish whether the Notes of a Series will be issued in whole or in part in the form of one or more Global Notes and the Depositary, if any, for such Global Note or Notes.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w:t>
      </w:r>
      <w:r>
        <w:rPr>
          <w:rFonts w:ascii="Times New Roman" w:hAnsi="Times New Roman"/>
          <w:color w:val="000000"/>
          <w:sz w:val="20"/>
          <w:u w:val="single"/>
        </w:rPr>
        <w:t>Legend</w:t>
      </w:r>
      <w:r>
        <w:rPr>
          <w:rFonts w:ascii="Times New Roman" w:hAnsi="Times New Roman"/>
          <w:color w:val="000000"/>
          <w:sz w:val="20"/>
        </w:rPr>
        <w:t>.  Any Global Note issued hereunder will bear a legend in substantially the following form:</w:t>
      </w:r>
    </w:p>
    <w:p>
      <w:pPr>
        <w:pStyle w:val="TextBody"/>
        <w:bidi w:val="0"/>
        <w:spacing w:before="0" w:after="0"/>
        <w:jc w:val="both"/>
        <w:rPr>
          <w:color w:val="000000"/>
        </w:rPr>
      </w:pPr>
      <w:r>
        <w:rPr>
          <w:color w:val="000000"/>
        </w:rPr>
        <w:t> </w:t>
      </w:r>
    </w:p>
    <w:p>
      <w:pPr>
        <w:pStyle w:val="TextBody"/>
        <w:bidi w:val="0"/>
        <w:spacing w:before="0" w:after="0"/>
        <w:ind w:left="1440" w:right="1440" w:hanging="0"/>
        <w:jc w:val="both"/>
        <w:rPr>
          <w:color w:val="000000"/>
        </w:rPr>
      </w:pPr>
      <w:r>
        <w:rPr>
          <w:color w:val="000000"/>
        </w:rPr>
        <w:t>“</w:t>
      </w:r>
      <w:r>
        <w:rPr>
          <w:rFonts w:ascii="Times New Roman" w:hAnsi="Times New Roman"/>
          <w:color w:val="000000"/>
          <w:sz w:val="20"/>
        </w:rPr>
        <w:t>THIS NOTE IS A GLOBAL NOTE WITHIN THE MEANING OF THE INDENTURE HEREINAFTER REFERRED TO AND IS REGISTERED IN THE NAME OF THE DEPOSITARY OR A NOMINEE OF THE DEPOSITARY.  THIS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Acts of Holders</w:t>
      </w:r>
      <w:r>
        <w:rPr>
          <w:rFonts w:ascii="Times New Roman" w:hAnsi="Times New Roman"/>
          <w:color w:val="000000"/>
          <w:sz w:val="20"/>
        </w:rPr>
        <w:t>.  The Depositary, as a Holder, may appoint agents and otherwise authorize participants to give or take any request, demand, authorization, direction, notice, consent, waiver or other action which a Holder is entitled to give or take under this Indenture.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Payments</w:t>
      </w:r>
      <w:r>
        <w:rPr>
          <w:rFonts w:ascii="Times New Roman" w:hAnsi="Times New Roman"/>
          <w:color w:val="000000"/>
          <w:sz w:val="20"/>
        </w:rPr>
        <w:t>.  Notwithstanding the other provisions of this Indenture, unless otherwise specified as contemplated by Section 2.02, payment of the principal of and premium, if any and interest, if any, on any Global Note will be made to the Holder thereof.</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(e)         </w:t>
      </w:r>
      <w:r>
        <w:rPr>
          <w:rFonts w:ascii="Times New Roman" w:hAnsi="Times New Roman"/>
          <w:color w:val="000000"/>
          <w:sz w:val="20"/>
          <w:u w:val="single"/>
        </w:rPr>
        <w:t>Rights of Beneficial Owners</w:t>
      </w:r>
      <w:r>
        <w:rPr>
          <w:rFonts w:ascii="Times New Roman" w:hAnsi="Times New Roman"/>
          <w:color w:val="000000"/>
          <w:sz w:val="20"/>
        </w:rPr>
        <w:t>.  No beneficial owner of a beneficial interest in any Global Note held on its behalf by a Depositary shall have any rights under this Indenture with respect to such Global Note, and such Depositary shall be treated by the Issuer, the Trustee, and any agent of the Issuer or the Trustee as the sole beneficial owner of such Note for all purposes whatsoever.</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2.16          </w:t>
      </w:r>
      <w:r>
        <w:rPr>
          <w:rFonts w:ascii="Times New Roman" w:hAnsi="Times New Roman"/>
          <w:i/>
          <w:color w:val="000000"/>
          <w:sz w:val="20"/>
        </w:rPr>
        <w:t>CUSIP, ISIN and Common Code Numbers</w:t>
      </w:r>
      <w:r>
        <w:rPr>
          <w:rFonts w:ascii="Times New Roman" w:hAnsi="Times New Roman"/>
          <w:color w:val="000000"/>
          <w:sz w:val="20"/>
        </w:rPr>
        <w:t>.</w:t>
      </w:r>
      <w:bookmarkStart w:id="43" w:name="CUSIPISINandCommonCodeNum"/>
      <w:bookmarkEnd w:id="43"/>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The Issuer in issuing the Notes may use “CUSIP,” “ISIN” and/or “Common Code” numbers (if then generally in use), and, if so, the Trustee shall use “CUSIP,” “ISIN” and/or “Common Code” numbers in notices of redemption as a convenience to Holders; </w:t>
      </w:r>
      <w:r>
        <w:rPr>
          <w:rFonts w:ascii="Times New Roman" w:hAnsi="Times New Roman"/>
          <w:i/>
          <w:color w:val="000000"/>
          <w:sz w:val="20"/>
        </w:rPr>
        <w:t>provided</w:t>
      </w:r>
      <w:r>
        <w:rPr>
          <w:rFonts w:ascii="Times New Roman" w:hAnsi="Times New Roman"/>
          <w:color w:val="000000"/>
          <w:sz w:val="20"/>
        </w:rPr>
        <w:t>, that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omission of such numbers.  The Issuer will promptly notify the Trustee in writing of any change in the “CUSIP,” “ISIN” and/or “Common Code” numbers.</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2.17          </w:t>
      </w:r>
      <w:r>
        <w:rPr>
          <w:rFonts w:ascii="Times New Roman" w:hAnsi="Times New Roman"/>
          <w:i/>
          <w:color w:val="000000"/>
          <w:sz w:val="20"/>
        </w:rPr>
        <w:t>Agents</w:t>
      </w:r>
      <w:r>
        <w:rPr>
          <w:rFonts w:ascii="Times New Roman" w:hAnsi="Times New Roman"/>
          <w:color w:val="000000"/>
          <w:sz w:val="20"/>
        </w:rPr>
        <w:t>.</w:t>
      </w:r>
      <w:bookmarkStart w:id="44" w:name="Agents."/>
      <w:bookmarkEnd w:id="44"/>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val="false"/>
          <w:i w:val="false"/>
          <w:caps w:val="false"/>
          <w:smallCaps w:val="false"/>
          <w:color w:val="000000"/>
          <w:sz w:val="20"/>
        </w:rPr>
        <w:t>(a)</w:t>
      </w:r>
      <w:r>
        <w:rPr>
          <w:rFonts w:ascii="Times New Roman" w:hAnsi="Times New Roman"/>
          <w:caps w:val="false"/>
          <w:smallCaps w:val="false"/>
          <w:color w:val="000000"/>
          <w:sz w:val="20"/>
        </w:rPr>
        <w:t> </w:t>
      </w:r>
      <w:r>
        <w:rPr>
          <w:rFonts w:ascii="Times New Roman" w:hAnsi="Times New Roman"/>
          <w:color w:val="000000"/>
          <w:sz w:val="20"/>
        </w:rPr>
        <w:t>         </w:t>
      </w:r>
      <w:r>
        <w:rPr>
          <w:rFonts w:ascii="Times New Roman" w:hAnsi="Times New Roman"/>
          <w:i/>
          <w:color w:val="000000"/>
          <w:sz w:val="20"/>
        </w:rPr>
        <w:t>Actions of Agents</w:t>
      </w:r>
      <w:r>
        <w:rPr>
          <w:rFonts w:ascii="Times New Roman" w:hAnsi="Times New Roman"/>
          <w:color w:val="000000"/>
          <w:sz w:val="20"/>
        </w:rPr>
        <w:t>.  The rights, powers, duties and obligations and actions of each Agent under this Indenture are several and not joint or joint and several.</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i w:val="false"/>
          <w:caps w:val="false"/>
          <w:smallCaps w:val="false"/>
          <w:color w:val="000000"/>
          <w:sz w:val="20"/>
        </w:rPr>
        <w:t>(b)</w:t>
      </w:r>
      <w:r>
        <w:rPr>
          <w:rFonts w:ascii="Times New Roman" w:hAnsi="Times New Roman"/>
          <w:caps w:val="false"/>
          <w:smallCaps w:val="false"/>
          <w:color w:val="000000"/>
          <w:sz w:val="20"/>
        </w:rPr>
        <w:t> </w:t>
      </w:r>
      <w:r>
        <w:rPr>
          <w:rFonts w:ascii="Times New Roman" w:hAnsi="Times New Roman"/>
          <w:color w:val="000000"/>
          <w:sz w:val="20"/>
        </w:rPr>
        <w:t>         </w:t>
      </w:r>
      <w:r>
        <w:rPr>
          <w:rFonts w:ascii="Times New Roman" w:hAnsi="Times New Roman"/>
          <w:i/>
          <w:color w:val="000000"/>
          <w:sz w:val="20"/>
        </w:rPr>
        <w:t>Agents of the Trustee</w:t>
      </w:r>
      <w:r>
        <w:rPr>
          <w:rFonts w:ascii="Times New Roman" w:hAnsi="Times New Roman"/>
          <w:color w:val="000000"/>
          <w:sz w:val="20"/>
        </w:rPr>
        <w:t>.  The Issuer and the Agents acknowledge and agree that in the event of a Default or Event of Default, the Trustee may, by notice in writing to the Issuer and the Agents, require that the Agents act as agents of, and take instructions exclusively from, the Trustee.  Until they have received such written notice from the Trustee, the Agents shall act solely as agents of the Issuer and need have no concern for the interests of Holders.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i w:val="false"/>
          <w:caps w:val="false"/>
          <w:smallCaps w:val="false"/>
          <w:color w:val="000000"/>
          <w:sz w:val="20"/>
        </w:rPr>
        <w:t>(c)</w:t>
      </w:r>
      <w:r>
        <w:rPr>
          <w:rFonts w:ascii="Times New Roman" w:hAnsi="Times New Roman"/>
          <w:color w:val="000000"/>
          <w:sz w:val="20"/>
        </w:rPr>
        <w:t>          </w:t>
      </w:r>
      <w:r>
        <w:rPr>
          <w:rFonts w:ascii="Times New Roman" w:hAnsi="Times New Roman"/>
          <w:i/>
          <w:color w:val="000000"/>
          <w:sz w:val="20"/>
        </w:rPr>
        <w:t>Publication of Notices</w:t>
      </w:r>
      <w:r>
        <w:rPr>
          <w:rFonts w:ascii="Times New Roman" w:hAnsi="Times New Roman"/>
          <w:color w:val="000000"/>
          <w:sz w:val="20"/>
        </w:rPr>
        <w:t>.  For so long as the Notes are held as Book-Entry Interests in Global Notes, any obligation the Agents may have to publish a notice to Holders on behalf of the Issuer will be satisfied upon delivery of the notice to DTC.</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i w:val="false"/>
          <w:caps w:val="false"/>
          <w:smallCaps w:val="false"/>
          <w:color w:val="000000"/>
          <w:sz w:val="20"/>
        </w:rPr>
        <w:t>(d)</w:t>
      </w:r>
      <w:r>
        <w:rPr>
          <w:rFonts w:ascii="Times New Roman" w:hAnsi="Times New Roman"/>
          <w:color w:val="000000"/>
          <w:sz w:val="20"/>
        </w:rPr>
        <w:t xml:space="preserve">         </w:t>
      </w:r>
      <w:r>
        <w:rPr>
          <w:rFonts w:ascii="Times New Roman" w:hAnsi="Times New Roman"/>
          <w:i/>
          <w:color w:val="000000"/>
          <w:sz w:val="20"/>
        </w:rPr>
        <w:t>Instructions to Agents</w:t>
      </w:r>
      <w:r>
        <w:rPr>
          <w:rFonts w:ascii="Times New Roman" w:hAnsi="Times New Roman"/>
          <w:color w:val="000000"/>
          <w:sz w:val="20"/>
        </w:rPr>
        <w:t>.  In the event that instructions given to any Agent are not reasonably clear, then such Agent shall be entitled to seek clarification from the Issuer or other party entitled to give the Agents instructions under this Indenture by written request promptly and in any event within one Business Day of receipt by such Agent of such instructions.  If an Agent has sought clarification in accordance with this Section 2.17, then such Agent shall be entitled to take no action until such clarification is provided, and shall not incur any liability for not taking any action pending receipt of such clarification.</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i w:val="false"/>
          <w:caps w:val="false"/>
          <w:smallCaps w:val="false"/>
          <w:color w:val="000000"/>
          <w:sz w:val="20"/>
        </w:rPr>
        <w:t>(e)</w:t>
      </w:r>
      <w:r>
        <w:rPr>
          <w:rFonts w:ascii="Times New Roman" w:hAnsi="Times New Roman"/>
          <w:color w:val="000000"/>
          <w:sz w:val="20"/>
        </w:rPr>
        <w:t xml:space="preserve">         </w:t>
      </w:r>
      <w:r>
        <w:rPr>
          <w:rFonts w:ascii="Times New Roman" w:hAnsi="Times New Roman"/>
          <w:i/>
          <w:color w:val="000000"/>
          <w:sz w:val="20"/>
        </w:rPr>
        <w:t>Duty of Agents</w:t>
      </w:r>
      <w:r>
        <w:rPr>
          <w:rFonts w:ascii="Times New Roman" w:hAnsi="Times New Roman"/>
          <w:color w:val="000000"/>
          <w:sz w:val="20"/>
        </w:rPr>
        <w:t>.  Save as provided in this Section 2.17, no Agent shall be under any duty (fiduciary or otherwise) or other obligation towards, or have any relationship of agency or trust for or with, any person other than the Issuer.  The Agents shall only be obliged to perform those duties expressly set out in this Indenture and no implied obligations shall be read into this Indenture against the Agents.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i w:val="false"/>
          <w:caps w:val="false"/>
          <w:smallCaps w:val="false"/>
          <w:color w:val="000000"/>
          <w:sz w:val="20"/>
        </w:rPr>
        <w:t>(f)</w:t>
      </w:r>
      <w:r>
        <w:rPr>
          <w:rFonts w:ascii="Times New Roman" w:hAnsi="Times New Roman"/>
          <w:color w:val="000000"/>
          <w:sz w:val="20"/>
        </w:rPr>
        <w:t>          </w:t>
      </w:r>
      <w:r>
        <w:rPr>
          <w:rFonts w:ascii="Times New Roman" w:hAnsi="Times New Roman"/>
          <w:i/>
          <w:color w:val="000000"/>
          <w:sz w:val="20"/>
        </w:rPr>
        <w:t>Payments Made by Agents</w:t>
      </w:r>
      <w:r>
        <w:rPr>
          <w:rFonts w:ascii="Times New Roman" w:hAnsi="Times New Roman"/>
          <w:color w:val="000000"/>
          <w:sz w:val="20"/>
        </w:rPr>
        <w:t>.  No Agent shall be required to make any payment under this Indenture unless and until it has received the full amount to be paid in accordance with the terms of this Indenture.  To the extent that an Agent has made a payment for which it did not receive the full amount, the Issuer will reimburse the Agent the full amount of any shortfall.</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i w:val="false"/>
          <w:caps w:val="false"/>
          <w:smallCaps w:val="false"/>
          <w:color w:val="000000"/>
          <w:sz w:val="20"/>
        </w:rPr>
        <w:t>(g)</w:t>
      </w:r>
      <w:r>
        <w:rPr>
          <w:rFonts w:ascii="Times New Roman" w:hAnsi="Times New Roman"/>
          <w:color w:val="000000"/>
          <w:sz w:val="20"/>
        </w:rPr>
        <w:t>          </w:t>
      </w:r>
      <w:r>
        <w:rPr>
          <w:rFonts w:ascii="Times New Roman" w:hAnsi="Times New Roman"/>
          <w:i/>
          <w:color w:val="000000"/>
          <w:sz w:val="20"/>
        </w:rPr>
        <w:t>Roles of the Agents</w:t>
      </w:r>
      <w:r>
        <w:rPr>
          <w:rFonts w:ascii="Times New Roman" w:hAnsi="Times New Roman"/>
          <w:color w:val="000000"/>
          <w:sz w:val="20"/>
        </w:rPr>
        <w:t>.  The roles, duties and functions of the Agents are of a mechanical nature and each Agent shall only perform those acts and duties as specifically set out in this Indenture and no other acts, covenants, obligations or duties shall be implied or read into this Indenture against any of the Agents.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i w:val="false"/>
          <w:caps w:val="false"/>
          <w:smallCaps w:val="false"/>
          <w:color w:val="000000"/>
          <w:sz w:val="20"/>
        </w:rPr>
        <w:t>(h)</w:t>
      </w:r>
      <w:r>
        <w:rPr>
          <w:rFonts w:ascii="Times New Roman" w:hAnsi="Times New Roman"/>
          <w:color w:val="000000"/>
          <w:sz w:val="20"/>
        </w:rPr>
        <w:t xml:space="preserve">       </w:t>
      </w:r>
      <w:r>
        <w:rPr>
          <w:rFonts w:ascii="Times New Roman" w:hAnsi="Times New Roman"/>
          <w:i/>
          <w:color w:val="000000"/>
          <w:sz w:val="20"/>
        </w:rPr>
        <w:t>Mutual Undertaking Regarding Information Reporting and Collection Obligations</w:t>
      </w:r>
      <w:r>
        <w:rPr>
          <w:rFonts w:ascii="Times New Roman" w:hAnsi="Times New Roman"/>
          <w:color w:val="000000"/>
          <w:sz w:val="20"/>
        </w:rPr>
        <w:t xml:space="preserve">.  Each party to this Indenture shall, within 10 Business Days of a written request by another party to this Indenture, supply to such other party such forms, documentation and other information relating to it, its operations, or the Notes as that other party reasonably requests for the purposes of that other party’s compliance with Applicable Law and shall notify the relevant other party reasonably promptly in the event that it becomes aware that any of the forms, documentation or other information provided by such party is (or becomes) inaccurate in any material respect;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no party to this Indenture shall be required to provide any forms, documentation or other information pursuant to this Section 2.17(h) to the extent that:  (i) any such form, documentation or other information (or the information required to be provided on such form or documentation) is not reasonably available to such party and cannot be obtained by such party using reasonable efforts; or (ii) doing so would or might in the reasonable opinion of such party constitute a breach of any:  (a) Applicable Law; (b) fiduciary duty; or (c) duty of confidentiality.  For purposes of this Section 2.17(h), “</w:t>
      </w:r>
      <w:r>
        <w:rPr>
          <w:rFonts w:ascii="Times New Roman" w:hAnsi="Times New Roman"/>
          <w:i/>
          <w:color w:val="000000"/>
          <w:sz w:val="20"/>
        </w:rPr>
        <w:t>Applicable Law</w:t>
      </w:r>
      <w:r>
        <w:rPr>
          <w:rFonts w:ascii="Times New Roman" w:hAnsi="Times New Roman"/>
          <w:color w:val="000000"/>
          <w:sz w:val="20"/>
        </w:rPr>
        <w:t>” shall be deemed to include (i) any published rule or published practice of any Governmental Authority by which any party to this Indenture is bound or with which it is accustomed to comply; (ii) any agreement between any Governmental Authorities; and (iii) any agreement between any Governmental Authority and any party to this Indenture that is customarily entered into by institutions of a similar nature, in each case, which facilitates the implementation of any information reporting or exchange of information regime.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          [</w:t>
      </w:r>
      <w:r>
        <w:rPr>
          <w:rFonts w:ascii="Times New Roman" w:hAnsi="Times New Roman"/>
          <w:i/>
          <w:color w:val="000000"/>
          <w:sz w:val="20"/>
        </w:rPr>
        <w:t>Reserved</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i w:val="false"/>
          <w:caps w:val="false"/>
          <w:smallCaps w:val="false"/>
          <w:color w:val="000000"/>
          <w:sz w:val="20"/>
        </w:rPr>
        <w:t>(j)</w:t>
      </w:r>
      <w:r>
        <w:rPr>
          <w:rFonts w:ascii="Times New Roman" w:hAnsi="Times New Roman"/>
          <w:color w:val="000000"/>
          <w:sz w:val="20"/>
        </w:rPr>
        <w:t>          </w:t>
      </w:r>
      <w:r>
        <w:rPr>
          <w:rFonts w:ascii="Times New Roman" w:hAnsi="Times New Roman"/>
          <w:i/>
          <w:color w:val="000000"/>
          <w:sz w:val="20"/>
        </w:rPr>
        <w:t>Agent Right to Withhold</w:t>
      </w:r>
      <w:r>
        <w:rPr>
          <w:rFonts w:ascii="Times New Roman" w:hAnsi="Times New Roman"/>
          <w:color w:val="000000"/>
          <w:sz w:val="20"/>
        </w:rPr>
        <w:t>.  Notwithstanding any other provision of this Agreement, each Agent shall be entitled to make a deduction or withholding from any payment which it makes under the Notes for or on account of any Tax, if and only to the extent so required by Applicable Law, in which event the Agent shall make such payment after such deduction or withholding has been made and shall account to the relevant Governmental Authority within the time allowed for the amount so deducted or withheld or, at its option, shall reasonably promptly after making such payment return to the Issuer the amount so deducted or withheld, in which case, the Issuer shall so account to the relevant Governmental Authority for such amount.  For the avoidance of doubt, FATCA Withholding is a deduction or withholding which is deemed to be required by Applicable Law for the purposes of this Section 2.17(j).</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i w:val="false"/>
          <w:caps w:val="false"/>
          <w:smallCaps w:val="false"/>
          <w:color w:val="000000"/>
          <w:sz w:val="20"/>
        </w:rPr>
        <w:t>(k)</w:t>
      </w:r>
      <w:r>
        <w:rPr>
          <w:rFonts w:ascii="Times New Roman" w:hAnsi="Times New Roman"/>
          <w:color w:val="000000"/>
          <w:sz w:val="20"/>
        </w:rPr>
        <w:t xml:space="preserve">        </w:t>
      </w:r>
      <w:r>
        <w:rPr>
          <w:rFonts w:ascii="Times New Roman" w:hAnsi="Times New Roman"/>
          <w:i/>
          <w:color w:val="000000"/>
          <w:sz w:val="20"/>
        </w:rPr>
        <w:t>Issuer Right to Redirect</w:t>
      </w:r>
      <w:r>
        <w:rPr>
          <w:rFonts w:ascii="Times New Roman" w:hAnsi="Times New Roman"/>
          <w:color w:val="000000"/>
          <w:sz w:val="20"/>
        </w:rPr>
        <w:t>.  In the event that the Issuer determines in its sole discretion that any deduction or withholding for or on account of any Tax will be required by Applicable Law in connection with any payment due to any of the Agents on any Notes, then the Issuer may, at its option, redirect or reorganize any such payment in any way that it sees fit in order that the payment may be made without such deduction or withholding provided that, any such redirected or reorganized payment is made through a recognized institution of international standing and otherwise made in accordance with this Agreement.  The Issuer will promptly notify the Agents and the Trustee in writing of any such redirection or reorganization.  For the avoidance of doubt, FATCA Withholding is a deduction or withholding which is deemed to be required by Applicable Law for the purposes of this Section 2.17(k).</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i w:val="false"/>
          <w:caps w:val="false"/>
          <w:smallCaps w:val="false"/>
          <w:color w:val="000000"/>
          <w:sz w:val="20"/>
        </w:rPr>
        <w:t>(l)</w:t>
      </w:r>
      <w:r>
        <w:rPr>
          <w:rFonts w:ascii="Times New Roman" w:hAnsi="Times New Roman"/>
          <w:caps w:val="false"/>
          <w:smallCaps w:val="false"/>
          <w:color w:val="000000"/>
          <w:sz w:val="20"/>
        </w:rPr>
        <w:t> </w:t>
      </w:r>
      <w:r>
        <w:rPr>
          <w:rFonts w:ascii="Times New Roman" w:hAnsi="Times New Roman"/>
          <w:color w:val="000000"/>
          <w:sz w:val="20"/>
        </w:rPr>
        <w:t>         </w:t>
      </w:r>
      <w:r>
        <w:rPr>
          <w:rFonts w:ascii="Times New Roman" w:hAnsi="Times New Roman"/>
          <w:i/>
          <w:color w:val="000000"/>
          <w:sz w:val="20"/>
        </w:rPr>
        <w:t>Resignation of Agent</w:t>
      </w:r>
      <w:r>
        <w:rPr>
          <w:rFonts w:ascii="Times New Roman" w:hAnsi="Times New Roman"/>
          <w:color w:val="000000"/>
          <w:sz w:val="20"/>
        </w:rPr>
        <w:t>.  Any Agent may resign and be discharged from its duties under this Indenture at any time by giving thirty (30) days’ prior written notice of such resignation to the Trustee and Issuer.  The Trustee or Issuer may remove any Agent at any time by giving thirty (30) days’ prior written notice to any Agent.  Upon such notice, a successor Agent shall be appointed by the Issuer, who shall provide written notice of such to the Trustee.  Such successor Agent shall become the Agent hereunder upon the resignation or removal date specified in such notice.  If the Issuer is unable to replace the resigning Agent within thirty (30) days after such notice, the Agent shall deliver any funds then held hereunder in its possession to the Trustee or such Agent may itself appoint as its replacement any reputable and experienced financial institution or may apply to a court of competent jurisdiction for the appointment of a successor Agent or for other appropriate relief.  The costs and expenses (including its counsels’ fees and expenses) incurred by the Agent in connection with such proceeding shall be paid by the Issuer.  Upon receipt of the identity of the successor Agent, the Agent shall deliver any funds then held hereunder to the successor Agent, less the Agent’s fees, costs and expenses or other obligations owed to the Agent.  Upon its resignation and delivery of any funds, the Agent shall be discharged of and from any and all further obligations arising in connection with this Indenture, but shall continue to enjoy the benefit of Section 7.07.</w:t>
      </w:r>
    </w:p>
    <w:p>
      <w:pPr>
        <w:pStyle w:val="TextBody"/>
        <w:bidi w:val="0"/>
        <w:spacing w:before="0" w:after="0"/>
        <w:jc w:val="center"/>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3</w:t>
        <w:br/>
      </w:r>
      <w:bookmarkStart w:id="45" w:name="REDEMPTIONANDPREPAYMENT"/>
      <w:bookmarkEnd w:id="45"/>
      <w:r>
        <w:rPr>
          <w:rFonts w:ascii="Times New Roman" w:hAnsi="Times New Roman"/>
          <w:color w:val="000000"/>
          <w:sz w:val="20"/>
        </w:rPr>
        <w:t>REDEMPTION AND PREPAYMENT</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3.01          </w:t>
      </w:r>
      <w:r>
        <w:rPr>
          <w:rFonts w:ascii="Times New Roman" w:hAnsi="Times New Roman"/>
          <w:i/>
          <w:color w:val="000000"/>
          <w:sz w:val="20"/>
        </w:rPr>
        <w:t>Notices to Trustee</w:t>
      </w:r>
      <w:r>
        <w:rPr>
          <w:rFonts w:ascii="Times New Roman" w:hAnsi="Times New Roman"/>
          <w:color w:val="000000"/>
          <w:sz w:val="20"/>
        </w:rPr>
        <w:t>.</w:t>
      </w:r>
      <w:bookmarkStart w:id="46" w:name="NoticestoTrustee."/>
      <w:bookmarkEnd w:id="46"/>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 may, with respect to any Series of Notes, reserve the right, or may covenant, to redeem and pay such Series of Notes or any part thereof prior to the Stated Maturity thereof at such time and on such terms as provided for in the Board Resolution, Officer’s Certificate or supplemental indenture relating to such Series.  If a Series of Notes is redeemable and the Issuer wants or is obligated to redeem prior to the Stated Maturity thereof all or part of the Series of Notes pursuant to the terms of such Notes, it must furnish to the Trustee, at least 10 days (or such shorter period as may be permitted by the Trustee) but not more than 60 days before a redemption date, an Officer’s Certificate setting forth:</w:t>
      </w:r>
    </w:p>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47" w:name="z3d2b7616d2f24da5ab3be0fd3f7a54c0"/>
      <w:bookmarkStart w:id="48" w:name="z3d2b7616d2f24da5ab3be0fd3f7a54c0"/>
      <w:bookmarkEnd w:id="48"/>
    </w:p>
    <w:tbl>
      <w:tblPr>
        <w:tblW w:w="2320" w:type="dxa"/>
        <w:jc w:val="left"/>
        <w:tblInd w:w="0" w:type="dxa"/>
        <w:tblLayout w:type="fixed"/>
        <w:tblCellMar>
          <w:top w:w="0" w:type="dxa"/>
          <w:left w:w="0" w:type="dxa"/>
          <w:bottom w:w="0" w:type="dxa"/>
          <w:right w:w="0" w:type="dxa"/>
        </w:tblCellMar>
      </w:tblPr>
      <w:tblGrid>
        <w:gridCol w:w="75"/>
        <w:gridCol w:w="290"/>
        <w:gridCol w:w="1955"/>
      </w:tblGrid>
      <w:tr>
        <w:trPr/>
        <w:tc>
          <w:tcPr>
            <w:tcW w:w="75"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0"/>
              <w:jc w:val="both"/>
              <w:rPr>
                <w:color w:val="000000"/>
              </w:rPr>
            </w:pPr>
            <w:r>
              <w:rPr>
                <w:color w:val="000000"/>
              </w:rPr>
              <w:t>(1)</w:t>
            </w:r>
          </w:p>
        </w:tc>
        <w:tc>
          <w:tcPr>
            <w:tcW w:w="1955" w:type="dxa"/>
            <w:tcBorders/>
            <w:vAlign w:val="center"/>
          </w:tcPr>
          <w:p>
            <w:pPr>
              <w:pStyle w:val="TableContents"/>
              <w:bidi w:val="0"/>
              <w:spacing w:before="0" w:after="0"/>
              <w:jc w:val="both"/>
              <w:rPr>
                <w:color w:val="000000"/>
              </w:rPr>
            </w:pPr>
            <w:r>
              <w:rPr>
                <w:color w:val="000000"/>
              </w:rPr>
              <w:t>the redemption date;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9" w:name="zb61b2ab8fbd54680b677b6c9f68223af"/>
      <w:bookmarkStart w:id="50" w:name="zb61b2ab8fbd54680b677b6c9f68223af"/>
      <w:bookmarkEnd w:id="50"/>
    </w:p>
    <w:tbl>
      <w:tblPr>
        <w:tblW w:w="6220" w:type="dxa"/>
        <w:jc w:val="left"/>
        <w:tblInd w:w="0" w:type="dxa"/>
        <w:tblLayout w:type="fixed"/>
        <w:tblCellMar>
          <w:top w:w="0" w:type="dxa"/>
          <w:left w:w="0" w:type="dxa"/>
          <w:bottom w:w="0" w:type="dxa"/>
          <w:right w:w="0" w:type="dxa"/>
        </w:tblCellMar>
      </w:tblPr>
      <w:tblGrid>
        <w:gridCol w:w="75"/>
        <w:gridCol w:w="290"/>
        <w:gridCol w:w="5855"/>
      </w:tblGrid>
      <w:tr>
        <w:trPr/>
        <w:tc>
          <w:tcPr>
            <w:tcW w:w="75"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0"/>
              <w:jc w:val="both"/>
              <w:rPr>
                <w:color w:val="000000"/>
              </w:rPr>
            </w:pPr>
            <w:r>
              <w:rPr>
                <w:color w:val="000000"/>
              </w:rPr>
              <w:t>(2)</w:t>
            </w:r>
          </w:p>
        </w:tc>
        <w:tc>
          <w:tcPr>
            <w:tcW w:w="5855" w:type="dxa"/>
            <w:tcBorders/>
            <w:vAlign w:val="center"/>
          </w:tcPr>
          <w:p>
            <w:pPr>
              <w:pStyle w:val="TableContents"/>
              <w:bidi w:val="0"/>
              <w:spacing w:before="0" w:after="0"/>
              <w:jc w:val="both"/>
              <w:rPr>
                <w:color w:val="000000"/>
              </w:rPr>
            </w:pPr>
            <w:r>
              <w:rPr>
                <w:color w:val="000000"/>
              </w:rPr>
              <w:t>the principal amount of Notes of a Series to be redeemed;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1" w:name="zcde35f6ceb9641eca30148172dc75f25"/>
      <w:bookmarkStart w:id="52" w:name="zcde35f6ceb9641eca30148172dc75f25"/>
      <w:bookmarkEnd w:id="52"/>
    </w:p>
    <w:tbl>
      <w:tblPr>
        <w:tblW w:w="5200" w:type="dxa"/>
        <w:jc w:val="left"/>
        <w:tblInd w:w="0" w:type="dxa"/>
        <w:tblLayout w:type="fixed"/>
        <w:tblCellMar>
          <w:top w:w="0" w:type="dxa"/>
          <w:left w:w="0" w:type="dxa"/>
          <w:bottom w:w="0" w:type="dxa"/>
          <w:right w:w="0" w:type="dxa"/>
        </w:tblCellMar>
      </w:tblPr>
      <w:tblGrid>
        <w:gridCol w:w="75"/>
        <w:gridCol w:w="290"/>
        <w:gridCol w:w="4835"/>
      </w:tblGrid>
      <w:tr>
        <w:trPr/>
        <w:tc>
          <w:tcPr>
            <w:tcW w:w="75"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0"/>
              <w:jc w:val="both"/>
              <w:rPr>
                <w:color w:val="000000"/>
              </w:rPr>
            </w:pPr>
            <w:r>
              <w:rPr>
                <w:color w:val="000000"/>
              </w:rPr>
              <w:t>(3)</w:t>
            </w:r>
          </w:p>
        </w:tc>
        <w:tc>
          <w:tcPr>
            <w:tcW w:w="4835" w:type="dxa"/>
            <w:tcBorders/>
            <w:vAlign w:val="center"/>
          </w:tcPr>
          <w:p>
            <w:pPr>
              <w:pStyle w:val="TableContents"/>
              <w:bidi w:val="0"/>
              <w:spacing w:before="0" w:after="0"/>
              <w:jc w:val="both"/>
              <w:rPr>
                <w:color w:val="000000"/>
              </w:rPr>
            </w:pPr>
            <w:r>
              <w:rPr>
                <w:color w:val="000000"/>
              </w:rPr>
              <w:t>the appropriate calculation of the redemption price.</w:t>
            </w:r>
          </w:p>
        </w:tc>
      </w:tr>
    </w:tbl>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3.02          </w:t>
      </w:r>
      <w:r>
        <w:rPr>
          <w:rFonts w:ascii="Times New Roman" w:hAnsi="Times New Roman"/>
          <w:i/>
          <w:color w:val="000000"/>
          <w:sz w:val="20"/>
        </w:rPr>
        <w:t>Selection of Notes to Be Redeemed or Purchased</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Unless otherwise indicated for a particular Series in the Board Resolution, Officer’s Certificate or supplemental indenture under which such Series of Notes is issued or in the form of Note for such Series, if less than all of the Notes of a Series are to be redeemed at any time, Notes of such Series to be redeemed will be selected on a </w:t>
      </w:r>
      <w:r>
        <w:rPr>
          <w:rFonts w:ascii="Times New Roman" w:hAnsi="Times New Roman"/>
          <w:i/>
          <w:color w:val="000000"/>
          <w:sz w:val="20"/>
        </w:rPr>
        <w:t>pro rata</w:t>
      </w:r>
      <w:r>
        <w:rPr>
          <w:rFonts w:ascii="Times New Roman" w:hAnsi="Times New Roman"/>
          <w:color w:val="000000"/>
          <w:sz w:val="20"/>
        </w:rPr>
        <w:t xml:space="preserve"> pass-through distribution or by lot basis unless otherwise required by law or applicable stock exchange or Depositary requirements.  In the event of partial redemption by lot, the particular Notes of a Series to be redeemed will be selected, unless otherwise provided herein, not less than 10 days (or such shorter period as may be permitted by the Trustee) but not more than 60 days prior to the redemption date by the Trustee from the outstanding Notes of such Series not previously called for redemption.</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the case of Notes issued in definitive form, upon selection, the Trustee will promptly notify the Issuer in writing of the Notes of a Series selected for redemption or purchase and, in the case of any Note of such Series selected for partial redemption or purchase, the principal amount thereof to be redeemed or purchased.  Notes of a Series and portions of Notes of a Series selected will be in minimum amounts of $200,000 or whole multiples of $1,000 in excess thereof or, with respect to Notes of any Series issuable in other denominations pursuant to Section 2.02(n), the minimum principal denomination for each Series and integral multiples thereof; except that if all of the Notes of a Holder are to be redeemed or purchased, the entire outstanding amount of Notes of such Series held by such Holder shall be redeemed or purchased.  Except as provided in the preceding sentence, provisions of this Indenture that apply to Notes called for redemption or purchase also apply to portions of Notes of a Series called for redemption or purchase.  Unless otherwise specified pursuant to Section 2.02(n), no Notes of $200,000 or less can be redeemed in part.</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3.03          </w:t>
      </w:r>
      <w:r>
        <w:rPr>
          <w:rFonts w:ascii="Times New Roman" w:hAnsi="Times New Roman"/>
          <w:i/>
          <w:color w:val="000000"/>
          <w:sz w:val="20"/>
        </w:rPr>
        <w:t>Notice of Redemption</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Unless otherwise indicated for a particular Series in the Board Resolution, Officer’s Certificate or supplemental indenture under which such Series of Notes is issued or in the form of Note for such Series, at least 10 days but not more than 60 days before a redemption date, the Issuer will send electronically, or mail by first-class mail, a notice of redemption to each Holder whose Notes are to be redeemed at its registered address, except that redemption notices may be sent or mailed more than 60 days prior to a redemption date if the notice is issued in connection with a defeasance of the Notes of a Series or a satisfaction and discharge of the Notes of any Series pursuant to Articles 8 or 11 hereof.</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notice will identify the Notes (by CUSIP, ISIN and/or Common Code, if applicable) to be redeemed and will state: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the redemption date and whether the redemption is conditioned on any transaction or event;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the appropriate calculation of the redemption price;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if any Note is being redeemed in part only, the notice of redemption that relates to that Note will state the portion of the principal amount of such Note that is to be redeemed and that, if Notes are issued in definitive form, after the redemption date upon surrender of such Note, a new Note in principal amount equal to the unredeemed portion of the original Note will be issued in the name of the Holder of Notes upon cancellation of the original Note;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that, on and after the redemption date, interest ceases to accrue on Notes or portions of Notes called for redemption;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the name and address of the Paying Agent;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          that Notes of the Series called for redemption must be surrendered to the Paying Agent to collect the redemption price;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(g)        that, unless the Issuer defaults in making such redemption payment, interest on Notes of the Series called for redemption ceases to accrue on and after the redemption date;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(h)          if such notice is conditioned upon the occurrence of one or more conditions precedent, the nature of such conditions precedent;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          the paragraph of the Notes and/or Section of this Indenture pursuant to which the Notes called for redemption are being redeemed;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(j)          that no representation is made as to the correctness or accuracy of the CUSIP, ISIN and/or Common Code number, if any, listed in such notice or printed on the Notes; and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(k)          any other information as may be required by the terms of the particular Series of the Notes of the Series being redeemed.</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At the Issuer’s written request, the Trustee will give the notice of redemption in the Issuer’s name and at the Issuer’s expense;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Issuer has delivered to the Trustee, at least 10 days prior to the redemption date, an Officer’s Certificate requesting that the Trustee give such notice and setting forth the information to be stated in such notice as provided in the preceding paragraph.</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Notice of any redemption of the Notes of a Series may, at the Issuer’s discretion, be subject to one or more conditions precedent, including, but not limited to, completion of an offering or financing, change of control or other corporate transaction or event. If such redemption or purchase is so subject to satisfaction of one or more conditions precedent, such notice shall describe each such condition, and if applicable, shall state that, in the Issuer’s discretion, the redemption date may be delayed until such time (including more than 60 days after the date the notice of redemption was sent) as any or all such conditions shall be satisfied (or waived by the Issuer in its sole discretion), or such redemption may not occur and such notice may be rescinded in the event that any or all such conditions shall not have been satisfied (or waived by the Issuer in its sole discretion) by the redemption date, or by the redemption date as so delayed. In addition, the Issuer may provide in such notice that payment of the redemption price and performance of the Issuer’s obligations with respect to such redemption may be performed by another Person.</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3.04          </w:t>
      </w:r>
      <w:r>
        <w:rPr>
          <w:rFonts w:ascii="Times New Roman" w:hAnsi="Times New Roman"/>
          <w:i/>
          <w:color w:val="000000"/>
          <w:sz w:val="20"/>
        </w:rPr>
        <w:t>Effect of Notice of Redemption</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Once notice of redemption is delivered in accordance with Section 3.03 hereof, Notes called for redemption become irrevocably due and payable on the redemption date at the redemption price, subject to the satisfaction of any conditions precedent contained in such notice of redemption.</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3.05          </w:t>
      </w:r>
      <w:r>
        <w:rPr>
          <w:rFonts w:ascii="Times New Roman" w:hAnsi="Times New Roman"/>
          <w:i/>
          <w:color w:val="000000"/>
          <w:sz w:val="20"/>
        </w:rPr>
        <w:t>Deposit of Redemption or Purchase Price</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On or before 10:00 a.m., New York City time, on the redemption or purchase date (or such other time as specified in the supplemental indenture, Officer’s Certificate or Board Resolutions with respect to any Series of Notes), the Issuer will deposit with the Trustee money sufficient to pay the redemption or purchase price of and accrued interest, if any, on all Notes to be redeemed or purchased on that date.  Upon payment of any amount in connection with redemption, the Trustee will promptly return to the Issuer any money so deposited with the Trustee by the Issuer in excess of the amounts necessary to pay the redemption or purchase price of, and accrued interest, if any, on, all Notes to be redeemed or purchased.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the Issuer complies with the provisions of the preceding paragraph, on and after the redemption or purchase date, interest will cease to accrue on the Notes or the portions of Notes called for redemption or purchase.  If a redemption date falls on a day that is not a Business Day, the related payment of the redemption price and accrued interest, if any, on all Notes to be redeemed will be made on the next succeeding Business Day as if made on the date the redemption date, and no interest shall accrue for the intervening period.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Issuer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3.06          </w:t>
      </w:r>
      <w:r>
        <w:rPr>
          <w:rFonts w:ascii="Times New Roman" w:hAnsi="Times New Roman"/>
          <w:i/>
          <w:color w:val="000000"/>
          <w:sz w:val="20"/>
        </w:rPr>
        <w:t>Notes Redeemed or Purchased in Part</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the Notes are issued in definitive form, upon surrender of a Note that is redeemed or purchased in part, the Issuer will issue and, upon receipt of an Authentication Order, the Trustee will authenticate for the Holder at the expense of the Issuer a new Note of the same Series and equal in principal amount to the unredeemed or unpurchased portion of the Note surrendered.</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4</w:t>
        <w:br/>
        <w:t>COVENANTS</w:t>
      </w:r>
    </w:p>
    <w:p>
      <w:pPr>
        <w:pStyle w:val="TextBody"/>
        <w:bidi w:val="0"/>
        <w:spacing w:before="0" w:after="0"/>
        <w:jc w:val="center"/>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4.01          </w:t>
      </w:r>
      <w:r>
        <w:rPr>
          <w:rFonts w:ascii="Times New Roman" w:hAnsi="Times New Roman"/>
          <w:i/>
          <w:color w:val="000000"/>
          <w:sz w:val="20"/>
        </w:rPr>
        <w:t>Payment of Notes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 will pay or cause to be paid the principal of, premium on, if any, and interest on, the Notes of each Series on the dates and in the manner provided in the Notes of such Series.  Principal, premium, if any, and interest will be considered paid on the date due if the Paying Agent, if other than the Issuer or a Subsidiary thereof, holds on or before 12:00 noon, New York City time, on the due date money deposited by the Issuer in immediately available funds and designated for and sufficient to pay all principal, premium, if any, and interest, if any, then due.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 will pay interest (including post-petition interest in any proceeding under any Bankruptcy Law) on overdue principal at the then applicable interest rate on the Notes to the extent lawful; it will pay interest (including post-petition interest in any proceeding under any Bankruptcy Law) on overdue installments of interest, if any (without regard to any applicable grace period), at the same rate to the extent lawful.</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4.02          </w:t>
      </w:r>
      <w:r>
        <w:rPr>
          <w:rFonts w:ascii="Times New Roman" w:hAnsi="Times New Roman"/>
          <w:i/>
          <w:color w:val="000000"/>
          <w:sz w:val="20"/>
        </w:rPr>
        <w:t>Maintenance of Office or Agency</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 will maintain in each Place of Payment for Notes an office or agency where Notes may be presented or surrendered for payment, where Notes may be surrendered for registration of transfer or for exchange and where notices and demands to or upon the Issuer in respect of the Notes and this Indenture may be served.  The Issuer will give prompt written notice to the Trustee of the location, and any change in the location, of such office or agency.  If at any time the Issuer fails to maintain any such required office or agency or fails to furnish the Trustee with the address thereof, such presentations, surrenders, notices and demands may be made or served at the Corporate Trust Office of the Trustee, and the Issuer hereby appoints the Trustee as its agent to receive all such presentations, surrenders, notices and demands.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The Issuer may also from time to time designate one or more other offices or agencies where the Notes may be presented or surrendered for any or all such purposes and may from time to time rescind such designations;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no such designation or rescission will in any manner relieve the Issuer of its obligation to maintain an office or agency in each Place of Payment for Notes for such purposes.  The Issuer will give prompt written notice to the Trustee of any such designation or rescission and of any change in the location of any such other office or agency.</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 hereby designates the Corporate Trust Office of the Trustee as one such office or agency of the Issuer in accordance with Section 2.04 hereof.</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4.03          </w:t>
      </w:r>
      <w:r>
        <w:rPr>
          <w:rFonts w:ascii="Times New Roman" w:hAnsi="Times New Roman"/>
          <w:i/>
          <w:color w:val="000000"/>
          <w:sz w:val="20"/>
        </w:rPr>
        <w:t>SEC Reports; Financial Statements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the Issuer or the Parent is subject to the requirements of Section 13 or 15(d) of the Exchange Act, the Issuer or the Parent, as the case may be, shall file with the Trustee, within 15 days after it files the same with the SEC, copies of the annual reports and the information, documents and other reports (or copies of such portions of any of the foregoing as the SEC may by rules and regulations prescribe) that the Issuer or the Parent is required to file with the SEC pursuant to Section 13 or 15(d) of the Exchange Act.  If this Indenture is qualified under the Trust Indenture Act, but not otherwise, the Issuer and the Parent shall also comply with the provisions of Trust Indenture Act § 314(a).  Delivery of such reports, information and documents to the Trustee shall be for informational purposes only, and the Trustee’s receipt thereof shall not constitute constructive notice or actual knowledge of any information contained therein or determinable from information contained therein, including the Issuer’s compliance with any of its covenants hereunder (as to which the Trustee is entitled to rely exclusively on Officers’ Certificates or certificates delivered pursuant to Section 4.05).  The Trustee is under not duty to examine such reports, information or documents to ensure compliance with the provisions of this Indenture or to ascertain the correctness or otherwise of the information or the statements contained therein.</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Notwithstanding the foregoing, to the extent the Issuer or the Parent files the information and reports referred to in the preceding paragraph with the SEC and such information is publicly available on the internet, the Issuer and the Parent shall be deemed to be in compliance with its obligations to furnish such information to the Trustee pursuant to this Section 4.03.</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4.04          </w:t>
      </w:r>
      <w:r>
        <w:rPr>
          <w:rFonts w:ascii="Times New Roman" w:hAnsi="Times New Roman"/>
          <w:i/>
          <w:color w:val="000000"/>
          <w:sz w:val="20"/>
        </w:rPr>
        <w:t>Stay, Extension and Usury Laws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Each of the Issuer and the Parent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each of the Issuer and the Parent (to the extent that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4.05          </w:t>
      </w:r>
      <w:r>
        <w:rPr>
          <w:rFonts w:ascii="Times New Roman" w:hAnsi="Times New Roman"/>
          <w:i/>
          <w:color w:val="000000"/>
          <w:sz w:val="20"/>
        </w:rPr>
        <w:t>Compliance Certificate</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Parent shall deliver to the Trustee, in compliance with Trust Indenture Act § 314(a)(4), within one hundred twenty (120) days after the end of each fiscal year of the Parent (commencing with the fiscal year ending December 31, 2026), an Officer’s Certificate, stating that a review of the activities of the Issuer and the Parent during the preceding fiscal year has been made under the supervision of the signing Officers with a view to determining whether the Issuer and the Parent has kept, observed, performed and fulfilled its obligations under this Indenture, and further stating, as to each such Officer signing such certificate, that to his or her knowledge the Issuer and the Parent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So long as any of the Notes are outstanding, the Issuer will deliver to the Trustee, within 30 days after becoming aware of any Default or Event of Default, an Officer’s Certificate specifying such Default or Event of Default and what action the Issuer is taking or proposes to take with respect thereto unless such Default or Event of Default has been cured or waived in such period.</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4.06          </w:t>
      </w:r>
      <w:r>
        <w:rPr>
          <w:rFonts w:ascii="Times New Roman" w:hAnsi="Times New Roman"/>
          <w:i/>
          <w:color w:val="000000"/>
          <w:sz w:val="20"/>
        </w:rPr>
        <w:t>Additional Amounts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All payments made by or on behalf of the Issuer or the Parent under or with respect to the Notes or the Parent Guarantee will be made without withholding or deduction for, or on account of, any present or future Taxes unless the withholding or deduction of such Taxes is then required by law.  If any deduction or withholding for, or on account of, any Taxes imposed or levied by or on behalf of (1) any jurisdiction in which the Issuer or the Parent (including any successor entity) is then incorporated, organized, engaged in business or resident for Tax purposes or any political subdivision or Governmental Authority thereof or therein or (2) any jurisdiction from or through which payment is made by or on behalf of the Issuer or the Parent (including any successor entity), including, without limitation, the jurisdiction of any Paying Agent or any political subdivision or Governmental Authority thereof or therein (each of (1) and (2), a “</w:t>
      </w:r>
      <w:r>
        <w:rPr>
          <w:rFonts w:ascii="Times New Roman" w:hAnsi="Times New Roman"/>
          <w:i/>
          <w:color w:val="000000"/>
          <w:sz w:val="20"/>
        </w:rPr>
        <w:t>Tax Jurisdiction</w:t>
      </w:r>
      <w:r>
        <w:rPr>
          <w:rFonts w:ascii="Times New Roman" w:hAnsi="Times New Roman"/>
          <w:color w:val="000000"/>
          <w:sz w:val="20"/>
        </w:rPr>
        <w:t>”), will at any time be required to be made from any payments by or on behalf of the Issuer or the Parent under or with respect to the Notes or the Parent Guarantee, including, without limitation, payments of principal, redemption price, interest or premium, the Issuer or the Parent, as applicable, will pay such additional amounts (the “</w:t>
      </w:r>
      <w:r>
        <w:rPr>
          <w:rFonts w:ascii="Times New Roman" w:hAnsi="Times New Roman"/>
          <w:i/>
          <w:color w:val="000000"/>
          <w:sz w:val="20"/>
        </w:rPr>
        <w:t>Additional Amounts</w:t>
      </w:r>
      <w:r>
        <w:rPr>
          <w:rFonts w:ascii="Times New Roman" w:hAnsi="Times New Roman"/>
          <w:color w:val="000000"/>
          <w:sz w:val="20"/>
        </w:rPr>
        <w:t xml:space="preserve">”) to the applicable Holder as may be necessary in order that the net amounts received in respect of such payments by the applicable beneficial owner of Notes (including payments of Additional Amounts) after such withholding or deduction by any applicable withholding agent will equal the amounts that would have been received in respect of such payments in the absence of such withholding or deduction; </w:t>
      </w:r>
      <w:r>
        <w:rPr>
          <w:rFonts w:ascii="Times New Roman" w:hAnsi="Times New Roman"/>
          <w:i/>
          <w:color w:val="000000"/>
          <w:sz w:val="20"/>
        </w:rPr>
        <w:t>provided</w:t>
      </w:r>
      <w:r>
        <w:rPr>
          <w:rFonts w:ascii="Times New Roman" w:hAnsi="Times New Roman"/>
          <w:color w:val="000000"/>
          <w:sz w:val="20"/>
        </w:rPr>
        <w:t xml:space="preserve"> that no Additional Amounts will be payable with respect to:</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any Taxes, to the extent such Taxes would not have been imposed but for the Holder or the beneficial owner of the Notes (or a fiduciary, settlor, beneficiary, member or shareholder of, or possessor of a power over, such Holder or beneficial owner, if such Holder or beneficial owner is an estate, trust, partnership or corporation) being or having been a citizen or resident or national of, being or having been incorporated or organized or being or having been engaged in a trade or business in or having any other present or former connection with the relevant Tax Jurisdiction other than a connection arising solely as a result of the acquisition or holding of any note, the exercise or enforcement of rights under any Note or this Indenture or the Parent Guarantee or the receipt of any payment in respect of any Note or the Parent Guarantee;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any Taxes, to the extent such Taxes were imposed as a result of the presentation of a Note for payment (where presentation is required) more than 30 days after the relevant payment is first made available for payment to the Holder (except to the extent that the Holder would have been entitled to Additional Amounts had the Note been presented on any day on or before the last day of such 30-day period);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any estate, inheritance, gift, wealth, sales, transfer, or similar Taxes;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any Taxes withheld or deducted as a result of the presentation of any Note for payment by or on behalf of a Holder of Notes who would have been able to avoid such withholding or deduction by presenting the relevant Note to another Paying Agent designated by the Issuer under this Indenture;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any Taxes imposed other than by deduction or withholding from payments by or on behalf of the Issuer or the Parent under, or with respect to, the Notes or the Parent Guarantee;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        any Taxes to the extent such Taxes are imposed or withheld by reason of the failure of the Holder or beneficial owner of Notes to accurately comply with a reasonable request in writing from an applicable withholding agent at least 30 days before any such withholding or deduction would be payable, to meet any certification, identification, information or other reporting requirements, whether required by statute, treaty, regulation or administrative practice of a Tax Jurisdiction, as a precondition to exemption from, or reduction in the rate of deduction or withholding of, Taxes imposed by the relevant Tax Jurisdiction, but in each case, only to the extent the Holder or beneficial owner is legally eligible to comply with such requirements;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(g)         any Taxes imposed or withheld by reason of the failure of the Holder or beneficial owner of the Notes to comply with the requirements of Sections 1471 through 1474 of the Code, as of the Issue Date (or any amended or successor version that is substantively comparable and not materially more onerous to comply with) and any current or future regulations or official interpretations thereof, any agreements entered into pursuant to current Section 1471(b) of the Code (or any amended or successor version described above) and any intergovernmental agreement, treaty, convention or similar agreement among Governmental Authorities (and related legislation, official regulations or other administrative guidance) implementing any of the foregoing;</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(h)        any Taxes imposed on or with respect to any payment by or on behalf of the Issuer or the Parent to the Holder if such Holder is a fiduciary, partnership, limited liability company or Person other than the sole beneficial owner of such payment to the extent that such Taxes would not have been imposed had such beneficial owner been the Holder; or</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          any combination of the foregoing clauses (a) through (h) above.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addition to the foregoing, the Issuer or the Parent will also pay and indemnify the Holder or beneficial owner for any present or future stamp, issue, court, documentary, intangible, recording, registration, transfer, excise, property, filing or similar Taxes which are levied by any Tax Jurisdiction on the execution, delivery, issuance, or registration of any of the Notes, this Indenture, the Parent Guarantee or any other document referred to therein, or the receipt of any payments with respect thereto, or levied by any Tax Jurisdiction on the enforcement of any Note or the Parent Guarantee; provided solely in the case of any such Taxes imposed in respect of the receipt of any payment, that such Tax is not a Tax described in clauses (a) through (i) above other than clause (e).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the Issuer or the Parent becomes aware that it will be obligated to pay Additional Amounts with respect to any payment under or with respect to the Notes or the Parent Guarantee, the Issuer or the Parent, as the case may be, will deliver to the Trustee (with a copy to the Paying Agent) on a date that is at least 30 days prior to the date of that payment (unless the obligation to pay Additional Amounts arises after the 30th day prior to that payment date, in which case the Issuer or the Parent shall notify the Trustee (with a copy to the Paying Agent) promptly thereafter) an Officer’s Certificate stating the fact that Additional Amounts will be payable and the amount estimated to be so payable.  The Officer’s Certificate must also set forth any other information reasonably necessary to enable the Paying Agents to pay Additional Amounts on the relevant payment date.  The Trustee and the Paying Agent shall be entitled to rely on an Officer’s Certificate as conclusive proof that such payments are necessary.  The Issuer or the Parent will provide the Trustee (with a copy to the Paying Agent) with documentation reasonably satisfactory to the Trustee evidencing the payment of Additional Amounts.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 or the Parent will make all withholdings and deductions (within the time period and in the minimum amount) required by law and will remit the full amount deducted or withheld to the relevant Tax authority in accordance with applicable law.  The Issuer or the Parent will use its reasonable efforts to obtain Tax receipts from each Tax authority evidencing the payment of any Taxes so deducted or withheld.  Upon request, the Issuer or the Parent will furnish to the Trustee (or to a Holder upon request), within 60 days after the date the payment of any Taxes so deducted or withheld is made, certified copies of Tax receipts evidencing payment by the Issuer or the Parent, as the case may be, or if, notwithstanding such entity’s efforts to obtain receipts, receipts are not obtained, other evidence of payments (reasonably satisfactory to the Trustee) by such entity.</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Whenever in this Indenture or the Notes there is mentioned, in any context, the payment of amounts based upon the principal amount of such Notes or of principal, interest or of any other amount payable under, or with respect to, any of the Notes or the Parent Guarantee, such mention shall be deemed to include mention of the payment of Additional Amounts to the extent that, in such context, Additional Amounts are, were or would be payable in respect thereof.</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The above obligations will survive any termination, defeasance or discharge of this Indenture and any transfer by a Holder or beneficial owner of its Notes, and will apply, </w:t>
      </w:r>
      <w:r>
        <w:rPr>
          <w:rFonts w:ascii="Times New Roman" w:hAnsi="Times New Roman"/>
          <w:i/>
          <w:color w:val="000000"/>
          <w:sz w:val="20"/>
        </w:rPr>
        <w:t>mutatis mutandis</w:t>
      </w:r>
      <w:r>
        <w:rPr>
          <w:rFonts w:ascii="Times New Roman" w:hAnsi="Times New Roman"/>
          <w:color w:val="000000"/>
          <w:sz w:val="20"/>
        </w:rPr>
        <w:t>, to any jurisdiction in which any successor Person to the Issuer or the Parent is incorporated, organized, engaged in business or resident for tax purposes, any jurisdiction from or through which payment is made by or on behalf of such Person, and, in each case, any political subdivision or Governmental Authority thereof or therein.</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5</w:t>
        <w:br/>
        <w:t>SUCCESSORS</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5.01          </w:t>
      </w:r>
      <w:r>
        <w:rPr>
          <w:rFonts w:ascii="Times New Roman" w:hAnsi="Times New Roman"/>
          <w:i/>
          <w:color w:val="000000"/>
          <w:sz w:val="20"/>
        </w:rPr>
        <w:t>Consolidation, Merger or Sale of Assets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The Parent will not:  (1) consolidate with or merge or amalgamate with or into another Person (whether or not the Parent is the surviving Person), or (2) directly or indirectly, sell, assign, transfer, convey, lease or otherwise dispose of all or substantially all of the assets of the Parent and its Subsidiaries taken as a whole, in one or more related transactions, to another Person, unless:</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(1)          either:  (a) the Parent is the surviving Person; or (b) the Person formed by or surviving any such consolidation, amalgamation or merger (if other than the Parent) or to which such sale, assignment, transfer, conveyance, lease or other disposition has been made is an entity organized or existing under the laws of the United States, any state of the United States or the District of Columbia, Luxembourg, Ireland or a country that is a member of the Organization for Economic Cooperation and Development (or any successor);</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(2)          the Person formed by or surviving any such consolidation, amalgamation or merger (if other than the Parent) or the Person to which such sale, assignment, transfer, conveyance, lease or other disposition has been made assumes all the obligations of the Parent under the Parent Guarantee and this Indenture;</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(3)          immediately after such transaction, no Event of Default exists; and</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(4)        the Parent shall have delivered to the Trustee an Officer’s Certificate and an Opinion of Counsel, each stating that such consolidation, merger or transfer and such supplemental indenture (if any) comply with the Indenture.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In the event that any Person shall become the owner of 100% of the Voting Stock of the Parent, such Person may, but is not obligated to, assume the performance of the Parent’s covenants and obligations under this Indenture as a guarantor under the Notes (a “</w:t>
      </w:r>
      <w:r>
        <w:rPr>
          <w:rFonts w:ascii="Times New Roman" w:hAnsi="Times New Roman"/>
          <w:i/>
          <w:color w:val="000000"/>
          <w:sz w:val="20"/>
        </w:rPr>
        <w:t>Voluntary Assumption</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The Issuer shall not consolidate or merge with or into another Person (whether or not the Issuer is the surviving Person) unless:</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(1)         either:  (a) the Issuer is the surviving Person; or (b) the Person formed by or surviving any such consolidation or merger (if other than the Issuer) is an entity organized or existing under the laws of the United States, any state of the United States or the District of Columbia, Luxembourg, Ireland or a country that is a member of the Organization of Economic Cooperation and Development (or any successor); and, if such Person is not a corporation, a co-obligor of the Notes is a corporation organized or existing under any such laws;</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(2)          the Person formed by or surviving any such consolidation or merger (if other than the Issuer) or the Person to which such sale, assignment, transfer, conveyance, lease or other disposition has been made assumes all the obligations of the Issuer under the Notes and this Indenture; and</w:t>
      </w:r>
    </w:p>
    <w:p>
      <w:pPr>
        <w:pStyle w:val="TextBody"/>
        <w:bidi w:val="0"/>
        <w:spacing w:before="0" w:after="0"/>
        <w:ind w:left="720" w:right="0" w:firstLine="72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(3)          immediately after such transaction, no Event of Default exists.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This Section 5.01 will not apply to any sale, assignment, transfer, conveyance, lease or other disposition of assets that is between or among the Parent and its Subsidiaries.  Section 5.01(a)(3) will not apply to any merger, amalgamation or consolidation of the Parent with or into one of its Subsidiaries for any purposes or with or into an Affiliate solely for the purpose of reincorporating the Parent in another jurisdiction.  Section 5.01(c) will not apply to any merger or consolidation of the Issuer (1) with or into the Parent or one of the Parent’s Subsidiaries for any purpose so long as the surviving Person becomes a primary obligor of the Notes or (2) with or into an Affiliate solely for the purpose of reorganizing the Issuer in another jurisdiction so long as the surviving Person becomes a primary obligor of the Notes;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if such Person is not a corporation, a co-obligor of the Notes is a corporation organized or existing under the laws of the United States, any state of the United States or the District of Columbia, Luxembourg, Ireland or a country that is a member of the Organization for Economic Cooperation and Development (or any successor).</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5.02          </w:t>
      </w:r>
      <w:r>
        <w:rPr>
          <w:rFonts w:ascii="Times New Roman" w:hAnsi="Times New Roman"/>
          <w:i/>
          <w:color w:val="000000"/>
          <w:sz w:val="20"/>
        </w:rPr>
        <w:t>Successor Corporation Substituted</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Upon any Voluntary Assumption, consolidation or merger, or any sale, assignment, transfer, lease, conveyance or other disposition of all or substantially all of the properties or assets of the Issuer in a transaction that is subject to, and that complies with the provisions of, Section 5.01 hereof, the Person undertaking a Voluntary Assumption or the successor Person formed by or surviving any such Voluntary Assumption, consolidation, amalgamation or merger (if other than the Parent or the Issuer) or the Person to which such sale, assignment, transfer, conveyance, lease or other disposition has been made will be the successor to the Parent or the Issuer and shall succeed to, and be substituted for, and may exercise every right and power of the Parent or the Issuer, as the case may be, under this Indenture and the Parent or the Issuer, except in the case of a lease, shall be released from the obligation to pay the principal of, premium on, if any, and interest on, the Notes.</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6</w:t>
        <w:br/>
        <w:t>DEFAULTS AND REMEDIES</w:t>
      </w:r>
    </w:p>
    <w:p>
      <w:pPr>
        <w:pStyle w:val="TextBody"/>
        <w:bidi w:val="0"/>
        <w:spacing w:before="0" w:after="0"/>
        <w:ind w:left="720" w:right="0" w:hanging="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6.01          </w:t>
      </w:r>
      <w:r>
        <w:rPr>
          <w:rFonts w:ascii="Times New Roman" w:hAnsi="Times New Roman"/>
          <w:i/>
          <w:color w:val="000000"/>
          <w:sz w:val="20"/>
        </w:rPr>
        <w:t>Events of Default</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Each of the following is an “</w:t>
      </w:r>
      <w:r>
        <w:rPr>
          <w:rFonts w:ascii="Times New Roman" w:hAnsi="Times New Roman"/>
          <w:i/>
          <w:color w:val="000000"/>
          <w:sz w:val="20"/>
        </w:rPr>
        <w:t>Event of Default</w:t>
      </w:r>
      <w:r>
        <w:rPr>
          <w:rFonts w:ascii="Times New Roman" w:hAnsi="Times New Roman"/>
          <w:color w:val="000000"/>
          <w:sz w:val="20"/>
        </w:rPr>
        <w:t>” in respect of the Notes of any Series, unless in the establishing Board Resolution, Officer’s Certificate or supplemental indenture, it is provided that such Series shall not have the benefit of such Event of Default: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(1)          default for 30 days in the payment when due of interest on the Notes of any Series;</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(2)         default in the payment when due (at maturity, upon redemption or otherwise) of the principal of, or premium, if any, on the Notes of any Series;</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(3)          failure by the Issuer or the Parent to comply with any of the other agreements in this Indenture (other than a failure that is the subject of clause (1) or (2) above) for 90 days after receipt by the Parent of written notice of such failure from the Trustee (or receipt by the Parent and the Trustee of written notice of such failure from the Holders of at least 25% in aggregate then-outstanding principal amount of the Notes of such Series voting as a single class);</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(4)          one or more defaults shall have occurred under any of the agreements, indentures or instruments under which the Parent, the Issuer or any Significant Subsidiary has outstanding Indebtedness For Borrowed Money in excess of $250.0 million, individually or in the aggregate, and either (a) such default results from the failure to pay such Indebtedness For Borrowed Money at its stated final maturity and such default has not been cured or the Indebtedness For Borrowed Money repaid in full within 60 days of the default or (b) such default or defaults have resulted in the acceleration of the maturity of such Indebtedness For Borrowed Money and such acceleration has not been rescinded or such Indebtedness For Borrowed Money repaid in full within 60 days of the acceleration; provided that this clause (4) shall not apply to (i) secured Indebtedness For Borrowed Money that becomes due as a result of the voluntary sale or transfer of the property or assets securing such Indebtedness For Borrowed Money, (ii) any redemption, repurchase, conversion, exchange or settlement with respect to any debt securities or other Indebtedness For Borrowed Money, the terms of which provide for conversion into, or exchange for, Equity Interests of the Parent, cash in lieu thereof or a combination of Equity Interests and cash in lieu thereof pursuant to its terms unless such redemption, repurchase, conversion, exchange or settlement results from a default thereunder or an event of the type that constitutes an Event of Default, (iii) any early payment requirement or unwinding or termination with respect to any Swap Agreement (other than any such payment requirement or termination resulting from a default by Parent or any Subsidiary) or (iv) Indebtedness For Borrowed Money of any Person whose Equity Interests are being acquired in a transaction otherwise permitted under the Indenture and which Indebtedness For Borrowed Money becomes due because of such transaction;</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(5)          the Parent Guarantee shall for any reason cease to be, or shall for any reason be held in any judicial proceeding not to be, or asserted in writing by the Parent not to be, in full force and effect and enforceable in accordance with its terms, except to the extent contemplated by the Indenture (including pursuant to Section 10.02 of this Indenture), and any such default continues for 10 days;</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(6)           the Parent, the Issuer or any Significant Subsidiary:</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(A)       commences a voluntary insolvency proceeding,</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(B)       consents to the entry of an order for relief against it in an involuntary insolvency proceeding,</w:t>
      </w:r>
    </w:p>
    <w:p>
      <w:pPr>
        <w:pStyle w:val="TextBody"/>
        <w:bidi w:val="0"/>
        <w:spacing w:before="0" w:after="0"/>
        <w:ind w:left="1440" w:right="0" w:firstLine="720"/>
        <w:jc w:val="both"/>
        <w:rPr>
          <w:color w:val="000000"/>
        </w:rPr>
      </w:pPr>
      <w:r>
        <w:rPr>
          <w:color w:val="000000"/>
        </w:rPr>
        <w:t> </w:t>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(C)       consents to the appointment of a Bankruptcy Custodian of it or for all or substantially all of its property, or</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(D)       makes a general assignment for the benefit of its creditors; and</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(7)          a court of competent jurisdiction enters an order or decree under any Bankruptcy Law that:</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(A)       is for relief against the Parent, the Issuer or any Significant Subsidiary in an involuntary insolvency proceeding;</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(B)      appoints a Bankruptcy Custodian of the Parent, the Issuer or any Significant Subsidiary for all or substantially all of the property of the Parent, the Issuer or any Significant Subsidiary; or</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(C)       orders the liquidation of the Parent, the Issuer or any Significant Subsidiary; and the order or decree remains unstayed and in effect for 90 consecutive days; or</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(8)           any other Event of Default provided with respect to the Notes of that Series occurs.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Default or Event of Default under one Series of Notes issued under this Indenture will not necessarily be a Default or Event of Default under another Series of Notes issued under this Indenture.</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6.02          </w:t>
      </w:r>
      <w:r>
        <w:rPr>
          <w:rFonts w:ascii="Times New Roman" w:hAnsi="Times New Roman"/>
          <w:i/>
          <w:color w:val="000000"/>
          <w:sz w:val="20"/>
        </w:rPr>
        <w:t>Acceleration</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there is a continuing Event of Default (other than an Event of Default specified in Sections 6.01(6) and 6.01(7) hereof) with respect to any Series of Notes, either the Trustee or the Holders of at least 25% of the outstanding principal amount of such Series of Notes affected thereby may declare the principal amount of all of the Notes of such Series to be due and payable immediately.  However, at any time after the Trustee or the Holders, as the case may be, declare an acceleration with respect to any Series of Notes, but before the applicable person has obtained a judgment or decree based on such acceleration, the Holders of a majority in principal amount of the outstanding Notes of such Series may, under certain conditions, cancel such acceleration if the Issuer or the Parent has cured all Events of Default (other than the nonpayment of accelerated principal) with respect to the Notes of such Series or all such Events of Default have been waived as provided in this Indenture.  If an Event of Default specified in Sections 6.01(6) and 6.01(7) hereof occurs, all outstanding Notes shall become due and payable without any further action or notice.</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6.03          </w:t>
      </w:r>
      <w:r>
        <w:rPr>
          <w:rFonts w:ascii="Times New Roman" w:hAnsi="Times New Roman"/>
          <w:i/>
          <w:color w:val="000000"/>
          <w:sz w:val="20"/>
        </w:rPr>
        <w:t>Other Remedies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an Event of Default occurs and is continuing, the Trustee may pursue any available remedy to collect the payment of principal of, premium on, if any, or interest on, such Series of Notes or to enforce the performance of any provision of the Notes of such Series or this Indenture.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Trustee may maintain a proceeding even if it does not possess any of the Notes of such Series or does not produce any of them in the proceeding.  A delay or omission by the Trustee or any Holder of a Note of such Series in exercising any right or remedy accruing upon an Event of Default shall not impair the right or remedy or constitute a waiver of or acquiescence in the Event of Default.  All remedies are cumulative to the extent permitted by law.</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Subject to the duties of the Trustee to act with the required standard of care, if there is a continuing Event of Default, the Trustee need not exercise any of its rights or powers under this Indenture at the written request or direction of any of the Holders of such Series of Notes, unless such Holders have offered to the Trustee security and/or indemnity satisfactory to the Trustee.  Subject to such provisions for security and/or indemnification of the Trustee and certain other conditions, the Holders of a majority in principal amount of the outstanding Notes of all Series affected thereby (voting as a single class) will have the right to direct the time, method and place of conducting any proceeding for any remedy available to the Trustee or exercising any trust or power the Trustee holds with respect to the Notes of such Series.</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6.04          </w:t>
      </w:r>
      <w:r>
        <w:rPr>
          <w:rFonts w:ascii="Times New Roman" w:hAnsi="Times New Roman"/>
          <w:i/>
          <w:color w:val="000000"/>
          <w:sz w:val="20"/>
        </w:rPr>
        <w:t>Waiver of Past Defaults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The Holders of not less than a majority in aggregate principal amount of the then outstanding Notes of any Series by written notice to the Trustee may, on behalf of the Holders of all of the Notes of such Series, waive any existing Default or Event of Default and its consequences hereunder, except a continuing Default or Event of Default in the payment of principal of, premium on, if any, or interest on, the Notes of such Series;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Holders of a majority in aggregate principal amount of the then outstanding Notes of such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the event of any Event of Default specified in Section 6.01(4) of this Indenture, such Event of Default and all consequences thereof (excluding any resulting payment default, other than as a result of acceleration of the Notes) shall be annulled, waived and rescinded, automatically and without any action by the Trustee or the Holders, if after such Event of Default arose: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the Indebtedness For Borrowed Money or guarantee that is the basis for such Event of Default has been discharged;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the requisite number of Holders thereof have rescinded or waived the acceleration, notice or action (as the case may be) giving rise to such Event of Default; or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the default that is the basis for such Event of Default has been cured.</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6.05          </w:t>
      </w:r>
      <w:r>
        <w:rPr>
          <w:rFonts w:ascii="Times New Roman" w:hAnsi="Times New Roman"/>
          <w:i/>
          <w:color w:val="000000"/>
          <w:sz w:val="20"/>
        </w:rPr>
        <w:t>Control by Majority</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Holders of a majority in aggregate principal amount of the then outstanding Notes of any Series may direct the time, method and place of conducting any proceeding for exercising any remedy available to the Trustee with respect to the Notes of such Series.  However, the Trustee may refuse to follow any direction that conflicts with law or this Indenture or that the Trustee determines may be unduly prejudicial to the rights of other Holders of Notes of such Series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Trustee shall have no obligation to determine whether any action or inaction is prejudicial to the rights of any Holder) or that may involve the Trustee in personal liability.</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6.06          </w:t>
      </w:r>
      <w:r>
        <w:rPr>
          <w:rFonts w:ascii="Times New Roman" w:hAnsi="Times New Roman"/>
          <w:i/>
          <w:color w:val="000000"/>
          <w:sz w:val="20"/>
        </w:rPr>
        <w:t>Limitation on Suits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 Holder of any Note of any Series will have any right to institute any proceeding with respect to this Indenture or for any remedy unless: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the Trustee has failed to institute such proceeding for 60 days after the Holder has previously given to the Trustee written notice of a continuing Event of Default with respect to such Notes;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the Holders of at least 25% in principal amount of the then-outstanding Notes of the applicable Series have made a written request to the Trustee, and offered indemnity and/or security satisfactory to the Trustee, to institute such proceeding as Trustee; and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the Trustee has not received from the Holders of a majority in principal amount of the outstanding Notes of such Series a direction inconsistent with such request.</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6.07          </w:t>
      </w:r>
      <w:r>
        <w:rPr>
          <w:rFonts w:ascii="Times New Roman" w:hAnsi="Times New Roman"/>
          <w:i/>
          <w:color w:val="000000"/>
          <w:sz w:val="20"/>
        </w:rPr>
        <w:t>Rights of Holders of Notes to Receive Payment</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Notwithstanding any other provision of this Indenture, the Holder of any Note will have an absolute and unconditional right to institute suit for the enforcement of any payment of the principal of, and any premium on, if any, or interest on such Note, on or after the date or dates they are to be paid as expressed in such Note.</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6.08          </w:t>
      </w:r>
      <w:r>
        <w:rPr>
          <w:rFonts w:ascii="Times New Roman" w:hAnsi="Times New Roman"/>
          <w:i/>
          <w:color w:val="000000"/>
          <w:sz w:val="20"/>
        </w:rPr>
        <w:t>Collection Suit by Trustee</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an Event of Default in payment of principal, premium or interest specified in Section 6.01(1) or (2) hereof occurs and is continuing, the Trustee may recover judgment in its own name and as trustee of an express trust against the Issuer (or any other obligor on the Notes) for the whole amount of unpaid principal and accrued interest remaining unpaid.</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6.09          </w:t>
      </w:r>
      <w:r>
        <w:rPr>
          <w:rFonts w:ascii="Times New Roman" w:hAnsi="Times New Roman"/>
          <w:i/>
          <w:color w:val="000000"/>
          <w:sz w:val="20"/>
        </w:rPr>
        <w:t>Trustee May File Proofs of Claim</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Trustee is authorized to file such proofs of claim and other papers or documents as may be necessary or advisable in order to have the claims of the Trustee (including any claim for the compensation (as agreed in writing by the Issuer and the Trustee), expenses, disbursements and advances of the Trustee, its agents and counsel) and the Holders of the Notes allowed in any judicial proceedings relative to the Issuer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compensation (as agreed in writing by the Issuer and the Trustee), expenses, disbursements and advances of the Trustee, its agents and counsel, and any other amounts due the Trustee under this Indenture.  To the extent that the payment of any such compensation, expenses, disbursements and advances of the Trustee, its agents and counsel, and any other amounts due the Trustee under this Indenture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6.10          </w:t>
      </w:r>
      <w:r>
        <w:rPr>
          <w:rFonts w:ascii="Times New Roman" w:hAnsi="Times New Roman"/>
          <w:i/>
          <w:color w:val="000000"/>
          <w:sz w:val="20"/>
        </w:rPr>
        <w:t>Priorities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the Trustee collects any money pursuant to this Article 6, it shall pay out the money in the following order:</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i/>
          <w:color w:val="000000"/>
          <w:sz w:val="20"/>
        </w:rPr>
        <w:t>First</w:t>
      </w:r>
      <w:r>
        <w:rPr>
          <w:rFonts w:ascii="Times New Roman" w:hAnsi="Times New Roman"/>
          <w:color w:val="000000"/>
          <w:sz w:val="20"/>
        </w:rPr>
        <w:t>:  to the Trustee, the Agents, and their respective agents and attorneys for amounts due under this Indenture, including payment of all compensation, expenses and liabilities incurred (including attorney’s fees), and all advances made, by such parties and the costs and expenses of collection;</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i/>
          <w:color w:val="000000"/>
          <w:sz w:val="20"/>
        </w:rPr>
        <w:t>Second</w:t>
      </w:r>
      <w:r>
        <w:rPr>
          <w:rFonts w:ascii="Times New Roman" w:hAnsi="Times New Roman"/>
          <w:color w:val="000000"/>
          <w:sz w:val="20"/>
        </w:rPr>
        <w:t>:  to Holders of Notes of such Series for amounts due and unpaid on the Notes of such Series for principal, premium, if any, and interest, ratably, without preference or priority of any kind, according to the amounts due and payable on such Notes for principal, premium, if any, and interest, respectively; and</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i/>
          <w:color w:val="000000"/>
          <w:sz w:val="20"/>
        </w:rPr>
        <w:t>Third</w:t>
      </w:r>
      <w:r>
        <w:rPr>
          <w:rFonts w:ascii="Times New Roman" w:hAnsi="Times New Roman"/>
          <w:color w:val="000000"/>
          <w:sz w:val="20"/>
        </w:rPr>
        <w:t>:  to the Issuer or to such party as a court of competent jurisdiction shall direct.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Trustee may fix a record date and payment date for any payment to Holders of Notes pursuant to this Section 6.10.</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6.11          </w:t>
      </w:r>
      <w:r>
        <w:rPr>
          <w:rFonts w:ascii="Times New Roman" w:hAnsi="Times New Roman"/>
          <w:i/>
          <w:color w:val="000000"/>
          <w:sz w:val="20"/>
        </w:rPr>
        <w:t>Undertaking for Costs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6.11 does not apply to a suit by the Trustee, a suit by a Holder of a Note pursuant to Section 6.08 hereof, or a suit by Holders of more than 10% in aggregate principal amount of the then outstanding Notes.</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6.12          </w:t>
      </w:r>
      <w:r>
        <w:rPr>
          <w:rFonts w:ascii="Times New Roman" w:hAnsi="Times New Roman"/>
          <w:i/>
          <w:color w:val="000000"/>
          <w:sz w:val="20"/>
        </w:rPr>
        <w:t>Restoration of Rights and Remedies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Issuer, the Trustee and the Holders shall be restored severally and respectively to their former positions hereunder and thereafter all rights and remedies of the Trustee and the Holders shall continue as though no such proceeding had been instituted.</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7</w:t>
        <w:br/>
        <w:t>TRUSTEE</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7.01          </w:t>
      </w:r>
      <w:r>
        <w:rPr>
          <w:rFonts w:ascii="Times New Roman" w:hAnsi="Times New Roman"/>
          <w:i/>
          <w:color w:val="000000"/>
          <w:sz w:val="20"/>
        </w:rPr>
        <w:t>Duties of Trustee</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If an Event of Default has occurred and is continuing with respect to any Series of Notes, the Trustee will exercise such of the rights and powers expressly vested in it by this Indenture with respect to such Series of Notes, and use the same degree of care and skill in its exercise, as a prudent person would exercise or use under the circumstances in the conduct of such person’s own affairs.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Except during the continuance of an Event of Default with respect to the Notes of any Series:</w:t>
      </w:r>
    </w:p>
    <w:p>
      <w:pPr>
        <w:pStyle w:val="TextBody"/>
        <w:bidi w:val="0"/>
        <w:spacing w:before="0" w:after="0"/>
        <w:jc w:val="both"/>
        <w:rPr>
          <w:color w:val="000000"/>
        </w:rPr>
      </w:pPr>
      <w:r>
        <w:rPr>
          <w:color w:val="000000"/>
        </w:rPr>
        <w:t xml:space="preserve">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(1)         the duties of the Trustee will be determined solely by the express provisions of this Indenture with respect to such Series of Notes and the Trustee need perform only those duties that are specifically set forth in this Indenture with respect to such Series of Notes and no others, and no implied covenants or obligations shall be read into this Indenture with respect to such Series of Notes against the Trustee; and</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(2)         in the absence of gross negligence, willful misconduct or bad faith on its part, the Trustee may conclusively rely, as to the truth of the statements and the correctness of the opinions expressed therein, upon certificates or opinions furnished to the Trustee and conforming to the requirements of this Indenture with respect to such Series of Notes.  However, the Trustee will examine the certificates and opinions to determine whether or not they conform to the requirements of this Indenture with respect to such Series of Notes (but need not confirm or investigate the accuracy of mathematical calculations or other facts stated therein).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The Trustee may not be relieved from liabilities for its own grossly negligent action, its own grossly negligent failure to act, or its own willful misconduct, except that:</w:t>
      </w:r>
    </w:p>
    <w:p>
      <w:pPr>
        <w:pStyle w:val="TextBody"/>
        <w:bidi w:val="0"/>
        <w:spacing w:before="0" w:after="0"/>
        <w:jc w:val="both"/>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          this paragraph does not limit the effect of paragraph (b) of this Section 7.01;</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(2)         the Trustee will not be liable for any error of judgment made in good faith, by a Responsible Officer, unless it is proved that the Trustee was grossly negligent in ascertaining the pertinent facts; and</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(3)         the Trustee will not be liable with respect to any action it takes or omits to take in good faith in accordance with a direction received by it under this Indenture.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Whether or not therein expressly so provided, every provision of this Indenture that in any way relates to the Trustee is subject to paragraphs (a), (b), and (c) of this Section 7.01.</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No provision of this Indenture will require the Trustee to expend or risk its own funds or incur any liability.  The Trustee will be under no obligation to exercise any of its rights and powers under this Indenture at the request of any Holders, unless such Holder has offered to the Trustee security and indemnity satisfactory to it against any loss, liability or expense.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         The Trustee will not be liable for interest on any money received by it except as the Trustee may agree in writing with the Issuer.  Money held in trust by the Trustee need not be segregated from other funds except to the extent required by law.</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7.02          </w:t>
      </w:r>
      <w:r>
        <w:rPr>
          <w:rFonts w:ascii="Times New Roman" w:hAnsi="Times New Roman"/>
          <w:i/>
          <w:color w:val="000000"/>
          <w:sz w:val="20"/>
        </w:rPr>
        <w:t>Rights of Trustee</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The Trustee may conclusively rely upon any document believed by it to be genuine and to have been signed or presented by the proper Person.  The Trustee need not investigate any fact or matter stated in the document.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Before the Trustee acts or refrains from acting, it may require an Officer’s Certificate or an Opinion of Counsel or both.  The Trustee will not be liable for any action it takes or omits to take in good faith in reliance on such Officer’s Certificate or Opinion of Counsel.  The Trustee may consult with counsel and the advice of such counsel or any Opinion of Counsel will be full and complete authorization and protection from liability in respect of any action taken, suffered or omitted by it hereunder in good faith and in reliance thereon.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The Trustee may act through its attorneys and agents and will not be responsible for the misconduct or negligence of any agent appointed with due care.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The Trustee will not be liable for any action it takes or omits to take in good faith that it believes to be authorized or within the rights or powers conferred upon it by this Indenture.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Unless otherwise specifically provided in this Indenture, any demand, request, direction or notice from the Issuer will be sufficient if signed by an Officer of the Issuer.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         The Trustee will be under no obligation to exercise any of the rights or powers under this Indenture at the request of any Holders of Notes unless such Holders have offered to the Trustee indemnity and/or security satisfactory to it against any losses, liabilities or expenses.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(g)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(h)        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Notes and this Indenture.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          The Trustee may request that the Issuer deliver a certificate setting forth the names of individuals and/or titles of officers authorized at such time to take specified actions pursuant to this Indenture.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(j)          The rights, privileges, protections, immunities and benefits given to the Trustee hereunder, including, without limitation, its right to be indemnified, are extended to, and shall be enforceable by, the Trustee in each of its capacities hereunder, each Agent and each agent, custodian and other Person employed to act hereunder.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(k)          The Trustee shall not be required to give any bond or surety in respect of the performance of its powers and duties hereunder.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(l)          The permissive right of the Trustee to take the actions permitted by this Indenture shall not be construed as an obligation or duty to do so.</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(m)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commercially reasonable efforts which are consistent with accepted practices in the banking industry to resume performance as soon as practicable under the circumstances.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          Notwithstanding anything else herein contained, the Trustee may refrain without liability from doing anything that would in its opinion be contrary to any law of any state or jurisdiction (including but not limited to the State of New York, the European Union, the United States of America or, in each case, any jurisdiction forming a part of it, and England and Wales) or any directive or regulation of any agency of any such state or jurisdiction and may without liability do anything which is, in its opinion, necessary to comply with any such law, directive or regulation.</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7.03          </w:t>
      </w:r>
      <w:r>
        <w:rPr>
          <w:rFonts w:ascii="Times New Roman" w:hAnsi="Times New Roman"/>
          <w:i/>
          <w:color w:val="000000"/>
          <w:sz w:val="20"/>
        </w:rPr>
        <w:t>Individual Rights of Trustee</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Trustee in its individual or any other capacity may become the owner or pledgee of Notes and may otherwise deal with the Issuer or any Affiliate of the Issuer with the same rights it would have if it were not Trustee.  If the Trustee becomes a creditor of the Issuer or the Parent, this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of the date such conflict arises, apply to the SEC for permission to continue as trustee (if this Indenture has been qualified under the Trust Indenture Act) or resign.  Any Agent may do the same with like rights and duties.  The Trustee is also subject to Sections 7.10 and 7.11 hereof.</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7.04          </w:t>
      </w:r>
      <w:r>
        <w:rPr>
          <w:rFonts w:ascii="Times New Roman" w:hAnsi="Times New Roman"/>
          <w:i/>
          <w:color w:val="000000"/>
          <w:sz w:val="20"/>
        </w:rPr>
        <w:t>Trustee’s Disclaimer</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Trustee does not assume any responsibility for any failure or delay in performance or any breach by the Issuer or the Parent under this Indenture.  The Trustee shall not be responsible to the Holders or any other Person for any recitals, statements, information, representations or warranties contained in this Indenture or in any certificate, report, statement, or other document referred to or provided for in, or received by the Trustee under or in connection with this Indenture; the genuineness, enforceability, collectability, value, sufficiency, location or existence of any collateral, or the validity, effectiveness, enforceability, sufficiency, extent, perfection or priority of any Lien therein; the validity, enforceability or collectability of any obligations; the assets, liabilities, financial condition, results of operations, business, creditworthiness or legal status of any obligor; or for any failure of any obligor to perform its obligations under this Indenture.</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7.05          </w:t>
      </w:r>
      <w:r>
        <w:rPr>
          <w:rFonts w:ascii="Times New Roman" w:hAnsi="Times New Roman"/>
          <w:i/>
          <w:color w:val="000000"/>
          <w:sz w:val="20"/>
        </w:rPr>
        <w:t>Notice of Defaults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a Default or Event of Default occurs and is continuing with respect to the Notes of any Series and if the Trustee has received written notice of such Default or Event of Default at the Corporate Trust Office of the Trustee and such notice references the Notes, the Issuer and the Indenture, the Trustee will deliver to Holders of Notes of that Series a notice of the Default or Event of Default within 90 days after it occurs.  Except in the case of a Default or Event of Default in payment of principal of, premium on, if any, or interest, on, any Note of any Series, the Trustee may withhold the notice if and so long as it in good faith determines that withholding the notice is in the interests of the Holders of that Series.</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7.06          </w:t>
      </w:r>
      <w:r>
        <w:rPr>
          <w:rFonts w:ascii="Times New Roman" w:hAnsi="Times New Roman"/>
          <w:i/>
          <w:color w:val="000000"/>
          <w:sz w:val="20"/>
        </w:rPr>
        <w:t>Reports by Trustee to Holders of the Notes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Within 60 days after March 9 in each year, the Trustee will send to all Holders, as their names and addresses appear on the register kept by the Registrar, a brief report dated as of such anniversary date, in accordance with, and to the extent required under, Trust Indenture Act § 313(a).</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A copy of each report at the time of its being sent to Holders of Notes of any Series will be sent by the Trustee to the Issuer and filed by the Trustee with the SEC and each stock exchange on which the Notes of that Series are listed in accordance with Trust Indenture Act § 313(d).  The Issuer will promptly notify the Trustee when Notes of any Series are listed on any stock exchange.</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7.07          </w:t>
      </w:r>
      <w:r>
        <w:rPr>
          <w:rFonts w:ascii="Times New Roman" w:hAnsi="Times New Roman"/>
          <w:i/>
          <w:color w:val="000000"/>
          <w:sz w:val="20"/>
        </w:rPr>
        <w:t>Compensation and Indemnity</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The Issuer and the Parent, jointly and severally, will pay to the Trustee from time to time compensation, as agreed in writing between the Issuer and the Trustee, for its acceptance of this Indenture and services hereunder.  The Trustee’s compensation will not be limited by any law on compensation of a trustee of an express trust.  The Issuer will reimburse the Trustee promptly upon request for all reasonable disbursements, advances and expenses incurred or made by it in addition to the compensation for its services.  Such expenses will include the compensation, as agreed in writing by the Issuer and the Trustee, and reasonable compensation, disbursements and expenses of the Trustee’s agents and counsel.</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The Issuer and the Parent will, jointly and severally, indemnify and hold harmless the Trustee (which for purposes of this Section 7.07 shall include its officers, directors, employees and agents) against any and all losses, claims, damages, expenses, fees, liabilities or expenses incurred by it arising out of or in connection with the acceptance or administration of its duties under this Indenture, including the costs and expenses (including attorney’s fees and expenses) of enforcing this Indenture against the Issuer and the Parent (including this Section 7.07) and defending itself against any claim (whether asserted by the Issuer, the Parent, any Holder or any other Person) or liability in connection with the exercise or performance of any of its powers or duties hereunder, except to the extent any such loss, liability or expense may be attributable to its gross negligence or willful misconduct.  The Trustee will notify the Issuer promptly of any claim for which it may seek indemnity.  Failure by the Trustee to so notify the Issuer will not relieve the Issuer or the Parent of their obligations hereunder.  The Issuer or the Parent will defend the claim and the Trustee will cooperate in the defense.  The Trustee may have separate counsel and the Issuer will pay the reasonable fees and expenses of such counsel.  Neither the Issuer nor the Parent need pay for any settlement made without its consent, which consent will not be unreasonably withheld.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The obligations of the Issuer and the Parent under this Section 7.07 will survive the satisfaction and discharge of this Indenture as to any Series of Notes and the resignation, removal or replacement of the Trustee or any Agent, as applicable.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To secure the Issuer’s and the Parent’s payment obligations in this Section 7.07, the Trustee will have a Lien prior to the Notes of any Series on all money or property held or collected by the Trustee, except that held in trust to pay principal of, premium on, if any, or interest on, particular Notes of that Series.  Such Lien will survive the satisfaction and discharge of this Indenture as to any Series of Notes and the earlier resignation or removal of the Trustee.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When the Trustee incurs expenses or renders services after an Event of Default specified in Section 6.01(6) hereof occurs, the expenses and the compensation for the services (including the fees and expenses of its agents and counsel) are intended to constitute expenses of administration under any Bankruptcy Law.</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          The Trustee will comply with the provisions of Trust Indenture Act § 313(b)(2) to the extent applicable.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(g)          The Trustee shall have no liability or responsibility for any action or inaction on the part of any Paying Agent, transfer agent, Registrar, authenticating agent, Custodian (aside from the Trustee acting in such capacities and subject to the terms hereof).</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7.08          </w:t>
      </w:r>
      <w:r>
        <w:rPr>
          <w:rFonts w:ascii="Times New Roman" w:hAnsi="Times New Roman"/>
          <w:i/>
          <w:color w:val="000000"/>
          <w:sz w:val="20"/>
        </w:rPr>
        <w:t>Replacement of Trustee</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A resignation or removal of the Trustee and appointment of a successor Trustee will become effective only upon the successor Trustee’s acceptance of appointment as provided in this Section 7.08.</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The Trustee may resign with respect to the Notes of one or more Series in writing at any time and be discharged from the trust hereby created by so notifying the Issuer at least 30 days prior to the effective date of such resignation.  The Holders of a majority in aggregate principal amount of the then outstanding Notes of any Series may remove the Trustee by so notifying the Trustee and the Issuer in writing.  The Issuer may remove the Trustee with respect to the Notes of one or more Series if:</w:t>
      </w:r>
    </w:p>
    <w:p>
      <w:pPr>
        <w:pStyle w:val="TextBody"/>
        <w:bidi w:val="0"/>
        <w:spacing w:before="0" w:after="0"/>
        <w:jc w:val="both"/>
        <w:rPr>
          <w:color w:val="000000"/>
        </w:rPr>
      </w:pPr>
      <w:r>
        <w:rPr>
          <w:color w:val="000000"/>
        </w:rPr>
        <w:t> </w:t>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0"/>
        </w:rPr>
        <w:t>(1)          the Trustee fails to comply with Section 7.10 hereof;</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(2)        the Trustee is adjudged a bankrupt or an insolvent or an order for relief is entered with respect to the Trustee under any Bankruptcy Law;</w:t>
      </w:r>
    </w:p>
    <w:p>
      <w:pPr>
        <w:pStyle w:val="TextBody"/>
        <w:bidi w:val="0"/>
        <w:spacing w:before="0" w:after="0"/>
        <w:jc w:val="both"/>
        <w:rPr>
          <w:color w:val="000000"/>
        </w:rPr>
      </w:pPr>
      <w:r>
        <w:rPr>
          <w:color w:val="000000"/>
        </w:rPr>
        <w:t> </w:t>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0"/>
        </w:rPr>
        <w:t>(3)          a custodian or public officer takes charge of the Trustee or its property; or</w:t>
      </w:r>
    </w:p>
    <w:p>
      <w:pPr>
        <w:pStyle w:val="TextBody"/>
        <w:bidi w:val="0"/>
        <w:spacing w:before="0" w:after="0"/>
        <w:jc w:val="both"/>
        <w:rPr>
          <w:color w:val="000000"/>
        </w:rPr>
      </w:pPr>
      <w:r>
        <w:rPr>
          <w:color w:val="000000"/>
        </w:rPr>
        <w:t> </w:t>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0"/>
        </w:rPr>
        <w:t>(4)          the Trustee becomes incapable of acting.</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If the Trustee resigns or is removed or if a vacancy exists in the office of Trustee for any reason, with respect to the Notes of one or more Series, the Issuer will promptly appoint a successor Trustee with respect to the Notes of that Series.  Within one year after the successor Trustee takes office, the Holders of a majority in aggregate principal amount of the then outstanding Notes of such Series may appoint a successor Trustee to replace the successor Trustee appointed by the Issuer.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If a successor Trustee with respect to the Notes of any one or more Series does not take office within 60 days after the retiring Trustee resigns or is removed, the retiring Trustee, the Issuer, or the Holders of at least 10% in aggregate principal amount of the then outstanding Notes of such Series may petition, at the expense of the Issuer, any court of competent jurisdiction for the appointment of a successor Trustee.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If the Trustee, after written request by any Holder who has been a Holder for at least six months, fails to comply with Section 7.10 hereof, such Holder may petition any court of competent jurisdiction for the removal of the Trustee and the appointment of a successor Trustee.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(f)        A successor Trustee will deliver a written acceptance of its appointment to the retiring Trustee and to the Issuer.  Thereupon, the resignation or removal of the retiring Trustee will become effective, and the successor Trustee will have all the rights, powers and duties of the Trustee with respect to each Series of Notes for which it is acting as Trustee under this Indenture.  The successor Trustee will deliver a notice of its succession to each Holder of each Series.  The retiring Trustee will promptly transfer all property held by it as Trustee to the successor Trustee; </w:t>
      </w:r>
      <w:r>
        <w:rPr>
          <w:rFonts w:ascii="Times New Roman" w:hAnsi="Times New Roman"/>
          <w:i/>
          <w:color w:val="000000"/>
          <w:sz w:val="20"/>
        </w:rPr>
        <w:t>provided,</w:t>
      </w:r>
      <w:r>
        <w:rPr>
          <w:rFonts w:ascii="Times New Roman" w:hAnsi="Times New Roman"/>
          <w:color w:val="000000"/>
          <w:sz w:val="20"/>
        </w:rPr>
        <w:t xml:space="preserve"> all sums owing to the Trustee hereunder have been paid and subject to the Lien provided for in Section 7.07 hereof.  Notwithstanding replacement of the Trustee pursuant to this Section 7.08, the Issuer’s obligations under Section 7.07 hereof will continue for the benefit of the retiring Trustee.  The Trustee shall have no responsibility for any action or inaction of any successor Trustee.</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7.09          </w:t>
      </w:r>
      <w:r>
        <w:rPr>
          <w:rFonts w:ascii="Times New Roman" w:hAnsi="Times New Roman"/>
          <w:i/>
          <w:color w:val="000000"/>
          <w:sz w:val="20"/>
        </w:rPr>
        <w:t>Successor Trustee by Merger, etc</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the Trustee consolidates, merges or converts into, or transfers all or substantially all of its corporate trust business to, another corporation, the successor corporation without any further act will be the successor Trustee.</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7.10          </w:t>
      </w:r>
      <w:r>
        <w:rPr>
          <w:rFonts w:ascii="Times New Roman" w:hAnsi="Times New Roman"/>
          <w:i/>
          <w:color w:val="000000"/>
          <w:sz w:val="20"/>
        </w:rPr>
        <w:t>Eligibility; Disqualification</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There will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  This Indenture will always have a Trustee who satisfies the requirements of Trust Indenture Act § 310(a)(1), (2) and (5).  The Trustee is subject to Trust Indenture Act § 310(b).</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7.11          </w:t>
      </w:r>
      <w:r>
        <w:rPr>
          <w:rFonts w:ascii="Times New Roman" w:hAnsi="Times New Roman"/>
          <w:i/>
          <w:color w:val="000000"/>
          <w:sz w:val="20"/>
        </w:rPr>
        <w:t>Preferential Collection of Claims Against Issuer</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Trustee is subject to Trust Indenture Act § 311(a), excluding any creditor relationship listed in Trust Indenture Act § 311(b).  A Trustee who has resigned or been removed shall be subject to Trust Indenture Act § 311(a) to the extent indicated therein.</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8</w:t>
        <w:br/>
        <w:t>LEGAL DEFEASANCE AND COVENANT DEFEASANCE</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8.01          </w:t>
      </w:r>
      <w:r>
        <w:rPr>
          <w:rFonts w:ascii="Times New Roman" w:hAnsi="Times New Roman"/>
          <w:i/>
          <w:color w:val="000000"/>
          <w:sz w:val="20"/>
        </w:rPr>
        <w:t>Option to Effect Legal Defeasance or Covenant Defeasance</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 may at any time elect to have either Section 8.02 or 8.03 hereof be applied to all outstanding Notes of any Series upon compliance with the conditions set forth below in this Article 8.</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8.02          </w:t>
      </w:r>
      <w:r>
        <w:rPr>
          <w:rFonts w:ascii="Times New Roman" w:hAnsi="Times New Roman"/>
          <w:i/>
          <w:color w:val="000000"/>
          <w:sz w:val="20"/>
        </w:rPr>
        <w:t>Legal Defeasance and Discharge</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Upon the Issuer’s exercise under Section 8.01 hereof of the option applicable to this Section 8.02, the Issuer and the Parent will, with respect to Notes of any Series, subject to the satisfaction of the conditions set forth in Section 8.04 hereof, be deemed to have been discharged from their obligations with respect to this Indenture and all outstanding Notes of such Series (including the Parent Guarantee) on the date the conditions set forth below are satisfied (hereinafter, “</w:t>
      </w:r>
      <w:r>
        <w:rPr>
          <w:rFonts w:ascii="Times New Roman" w:hAnsi="Times New Roman"/>
          <w:i/>
          <w:color w:val="000000"/>
          <w:sz w:val="20"/>
        </w:rPr>
        <w:t>Legal Defeasance</w:t>
      </w:r>
      <w:r>
        <w:rPr>
          <w:rFonts w:ascii="Times New Roman" w:hAnsi="Times New Roman"/>
          <w:color w:val="000000"/>
          <w:sz w:val="20"/>
        </w:rPr>
        <w:t>”).  For this purpose, Legal Defeasance means that the Issuer and the Parent will be deemed to have paid and discharged the entire indebtedness represented by such outstanding Notes of such Series (including the Parent Guarantee), which will thereafter be deemed to be “outstanding” only for the purposes of Section 8.05 hereof and the other Sections of this Indenture referred to in clauses (a) and (b) below, and to have satisfied all their other obligations under such Notes, the Parent Guarantee and this Indenture (and the Trustee, on written demand of and at the expense of the Issuer, shall execute proper instruments acknowledging the same), except for the following provisions which will survive until otherwise terminated or discharged hereunder: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the rights of Holders of outstanding Notes of such Series to receive payments in respect of the principal of, premium on, if any, or interest on, such Notes when such payments are due from the trust referred to in Section 8.04 hereof;</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the Issuer’s obligations with respect to the Notes under Sections 2.06, 2.07, 2.10 and 4.02 hereof;</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the rights, powers, trusts, duties and immunities of the Trustee hereunder and the Issuer’s and the Parent’s obligations in connection therewith; and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this Article 8.</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Subject to compliance with this Article 8, the Issuer may exercise its option under this Section 8.02 notwithstanding the prior exercise of its option under Section 8.03 hereof.</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8.03          </w:t>
      </w:r>
      <w:r>
        <w:rPr>
          <w:rFonts w:ascii="Times New Roman" w:hAnsi="Times New Roman"/>
          <w:i/>
          <w:color w:val="000000"/>
          <w:sz w:val="20"/>
        </w:rPr>
        <w:t>Covenant Defeasance</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Upon the Issuer’s exercise under Section 8.01 hereof of the option applicable to this Section 8.03, the Issuer and the Parent will, with respect to Notes of any Series and subject to the satisfaction of the conditions set forth in Section 8.04 hereof, be released from each of their obligations under clause (a)(3) of Section 5.01 hereof and the covenants contained in any Board Resolution, supplemental indenture or Officer’s Certificate with respect to the outstanding Notes of such Series on and after the date the conditions set forth in Section 8.04 hereof are satisfied (hereinafter, “</w:t>
      </w:r>
      <w:r>
        <w:rPr>
          <w:rFonts w:ascii="Times New Roman" w:hAnsi="Times New Roman"/>
          <w:i/>
          <w:color w:val="000000"/>
          <w:sz w:val="20"/>
        </w:rPr>
        <w:t>Covenant Defeasance</w:t>
      </w:r>
      <w:r>
        <w:rPr>
          <w:rFonts w:ascii="Times New Roman" w:hAnsi="Times New Roman"/>
          <w:color w:val="000000"/>
          <w:sz w:val="20"/>
        </w:rPr>
        <w:t>”), and the Notes of such Series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this Indenture and outstanding Notes of a Series and related Parent Guarantee, the Issuer and the Parent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hereof, but, except as specified above, the remainder of this Indenture and such Notes and Parent Guarantee will be unaffected thereby.  In addition, upon the Issuer’s exercise under Section 8.01 hereof of the option applicable to this Section 8.03, subject to the satisfaction of the conditions set forth in Section 8.04 hereof, Sections 6.01(3), (4), (5), (6) (only as such clause 6 applies to Significant Subsidiaries) and (7) (only as such clause 7 applies to Significant Subsidiaries) hereof will not constitute Events of Default.</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8.04          </w:t>
      </w:r>
      <w:r>
        <w:rPr>
          <w:rFonts w:ascii="Times New Roman" w:hAnsi="Times New Roman"/>
          <w:i/>
          <w:color w:val="000000"/>
          <w:sz w:val="20"/>
        </w:rPr>
        <w:t>Conditions to Legal or Covenant Defeasance</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order to exercise either Legal Defeasance or Covenant Defeasance under either Section 8.02 or 8.03 hereof with respect to Notes of any Series: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(a)       the Issuer must irrevocably deposit with the Trustee, in trust, for the benefit of the Holders of such Series, cash in U.S. dollars, non-callable Government Securities, or a combination thereof, in amounts as will be sufficient, in the opinion of a nationally recognized investment bank, appraisal firm or firm of independent public accountants, to pay the principal of, premium on, if any, and interest on, the outstanding Notes of such Series on the stated date for payment thereof or on the applicable redemption date, as the case may be, and the Issuer must specify whether such Notes are being defeased to such stated date for payment or to a particular redemption date; </w:t>
      </w:r>
      <w:r>
        <w:rPr>
          <w:rFonts w:ascii="Times New Roman" w:hAnsi="Times New Roman"/>
          <w:i/>
          <w:color w:val="000000"/>
          <w:sz w:val="20"/>
        </w:rPr>
        <w:t>provided</w:t>
      </w:r>
      <w:r>
        <w:rPr>
          <w:rFonts w:ascii="Times New Roman" w:hAnsi="Times New Roman"/>
          <w:color w:val="000000"/>
          <w:sz w:val="20"/>
        </w:rPr>
        <w:t xml:space="preserve"> that upon any redemption that requires the payment of the Applicable Premium, the amount deposited will be sufficient for purposes of this Indenture to the extent that an amount is deposited with the Trustee equal to the Applicable Premium calculated as of the date of the notice of redemption, with any deficit as of the date of redemption (any such amount, the “</w:t>
      </w:r>
      <w:r>
        <w:rPr>
          <w:rFonts w:ascii="Times New Roman" w:hAnsi="Times New Roman"/>
          <w:i/>
          <w:color w:val="000000"/>
          <w:sz w:val="20"/>
        </w:rPr>
        <w:t>Applicable Premium Deficit</w:t>
      </w:r>
      <w:r>
        <w:rPr>
          <w:rFonts w:ascii="Times New Roman" w:hAnsi="Times New Roman"/>
          <w:color w:val="000000"/>
          <w:sz w:val="20"/>
        </w:rPr>
        <w:t xml:space="preserve">”) only required to be deposited with the Trustee on or prior to the date of redemption;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Trustee shall have no liability whatsoever in the event that such deposit is not made after the Trustee has discharged this Indenture.  Any Applicable Premium Deficit will be set forth in an Officer’s Certificate delivered to the Trustee simultaneously with the deposit of such Applicable Premium Deficit that confirms that such Applicable Premium Deficit will be applied toward such redemption;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in the case of an election of Legal Defeasance under Section 8.02 hereof, the Issuer must deliver to the Trustee an Opinion of Counsel reasonably acceptable to the Trustee confirming that, subject to customary assumptions and exclusions:</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(1)           the Issuer has received from, or there has been published by, the Internal Revenue Service a ruling; or</w:t>
      </w:r>
    </w:p>
    <w:p>
      <w:pPr>
        <w:pStyle w:val="TextBody"/>
        <w:bidi w:val="0"/>
        <w:spacing w:before="0" w:after="0"/>
        <w:ind w:left="720" w:right="0" w:firstLine="72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(2)           since the date Notes of such Series were first issued, there has been a change in the applicable U.S. federal income tax law,</w:t>
      </w:r>
    </w:p>
    <w:p>
      <w:pPr>
        <w:pStyle w:val="TextBody"/>
        <w:bidi w:val="0"/>
        <w:spacing w:before="0" w:after="0"/>
        <w:jc w:val="both"/>
        <w:rPr>
          <w:color w:val="000000"/>
        </w:rPr>
      </w:pPr>
      <w:r>
        <w:rPr>
          <w:color w:val="00000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in either case to the effect that, and based thereon such Opinion of Counsel shall confirm that, the beneficial owners of the outstanding Notes of such Series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in the case of an election of Covenant Defeasance under Section 8.03 hereof, the Issuer must deliver to the Trustee an Opinion of Counsel reasonably acceptable to the Trustee confirming that, subject to customary assumptions and exclusions, the beneficial owners of the outstanding Notes of such Series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Issuer or the Parent is a party or by which the Issuer or the Parent is bound;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the Issuer must deliver to the Trustee an Officer’s Certificate stating that the deposit was not made by the Issuer with the intent of preferring the Holders of Notes over the other creditors of the Issuer with the intent of defeating, hindering, delaying or defrauding any creditors of the Issuer or others; and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          the Issuer must deliver to the Trustee an Officer’s Certificate and an Opinion of Counsel (which Opinion of Counsel may be subject to customary assumptions and exclusions), each stating that all conditions precedent relating to the Legal Defeasance or the Covenant Defeasance have been complied with.</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Notwithstanding the foregoing provisions of this Section 8.04, the conditions set forth in the foregoing subsections (b), (c), (d), (e) and (f) of this Section 8.04 need not be satisfied so long as, at the time the Issuer makes the deposit described in subsection (a), (i) no Default under Section 6.01(1) and (2) has occurred and is continuing on the date of such deposit and after giving effect thereto and (ii) all Notes not previously delivered to the Trustee for cancellation (x) have become due and payable, (y) will become due and payable at their Stated Maturity within one year or (z) are to be called for redemption within one year under arrangements satisfactory to the Trustee for the giving of notice of redemption by the Trustee in the name, and at the expense, of the Issuer.  If the conditions in the preceding sentence are satisfied, the Issuer shall be deemed to have exercised its Covenant Defeasance option.</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8.05          </w:t>
      </w:r>
      <w:r>
        <w:rPr>
          <w:rFonts w:ascii="Times New Roman" w:hAnsi="Times New Roman"/>
          <w:i/>
          <w:color w:val="000000"/>
          <w:sz w:val="20"/>
        </w:rPr>
        <w:t>Deposited Money and Government Securities to be Held in Trust; Other Miscellaneous Provisions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Subject to Section 8.06 hereof, all money and non-callable Government Securities (including the proceeds thereof) deposited with the Trustee (or other qualifying trustee, collectively for purposes of this Section 8.05, the “</w:t>
      </w:r>
      <w:r>
        <w:rPr>
          <w:rFonts w:ascii="Times New Roman" w:hAnsi="Times New Roman"/>
          <w:i/>
          <w:color w:val="000000"/>
          <w:sz w:val="20"/>
        </w:rPr>
        <w:t>Trustee</w:t>
      </w:r>
      <w:r>
        <w:rPr>
          <w:rFonts w:ascii="Times New Roman" w:hAnsi="Times New Roman"/>
          <w:color w:val="000000"/>
          <w:sz w:val="20"/>
        </w:rPr>
        <w:t>”) pursuant to Section 8.04 hereof in respect of the outstanding Notes of a Series will be held in trust and applied by the Trustee, in accordance with the provisions of such Notes and this Indenture, to the payment, either directly or through any Paying Agent (including the Issuer acting as Paying Agent) as the Trustee may determine, to the Holders of such Notes of all sums due and to become due thereon in respect of principal, premium, if any, interest, but such money need not be segregated from other funds except to the extent required by law.</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 will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 of such Series.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Notwithstanding anything in this Article 8 to the contrary, the Trustee will deliver or pay to the Issuer from time to time upon the written request of the Issuer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8.06          </w:t>
      </w:r>
      <w:r>
        <w:rPr>
          <w:rFonts w:ascii="Times New Roman" w:hAnsi="Times New Roman"/>
          <w:i/>
          <w:color w:val="000000"/>
          <w:sz w:val="20"/>
        </w:rPr>
        <w:t>Repayment to Issuer</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Any money deposited with the Trustee or any Paying Agent, or then held by the Issuer, in trust for the payment of the principal of, premium on, if any, or interest on, any Note of a Series and remaining unclaimed for two years after such principal, premium, if any, or interest has become due and payable shall be paid to the Issuer on its written request or (if then held by the Issuer) will be discharged from such trust; and the Holder of such Note will thereafter be permitted to look only to the Issuer for payment thereof, and all liability of the Trustee or such Paying Agent with respect to such trust money, and all liability of the Issuer as trustee thereof, will thereupon cease.</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8.07          </w:t>
      </w:r>
      <w:r>
        <w:rPr>
          <w:rFonts w:ascii="Times New Roman" w:hAnsi="Times New Roman"/>
          <w:i/>
          <w:color w:val="000000"/>
          <w:sz w:val="20"/>
        </w:rPr>
        <w:t>Reinstatement</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If the Trustee or Paying Agent is unable to apply any U.S. dollars or non-callable Government Securities in accordance with Section 8.02 or 8.03 hereof, as the case may be, by reason of any order or judgment of any court or governmental authority enjoining, restraining or otherwise prohibiting such application, then the Issuer’s and the Parent’s obligations under this Indenture with respect to the Notes of such Series and under the Notes of such Series and the corresponding Parent Guarantee will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if the Issuer makes any payment of principal of, premium on, if any, or interest on, any Note following the reinstatement of its obligations, the Issuer will be subrogated to the rights of the Holders of such Notes to receive such payment from the money held by the Trustee or Paying Agent.</w:t>
      </w:r>
    </w:p>
    <w:p>
      <w:pPr>
        <w:pStyle w:val="TextBody"/>
        <w:bidi w:val="0"/>
        <w:spacing w:before="0" w:after="0"/>
        <w:jc w:val="center"/>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9</w:t>
        <w:br/>
        <w:t>AMENDMENT, SUPPLEMENT AND WAIVER</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9.01          </w:t>
      </w:r>
      <w:r>
        <w:rPr>
          <w:rFonts w:ascii="Times New Roman" w:hAnsi="Times New Roman"/>
          <w:i/>
          <w:color w:val="000000"/>
          <w:sz w:val="20"/>
        </w:rPr>
        <w:t>Without Consent of Holders of Notes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Notwithstanding Section 9.02, without the consent of any Holder of Notes, the Issuer, the Parent and the Trustee may amend or supplement this Indenture with respect to the Notes of any Series, the Notes of any Series or the Parent Guarantee: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to cure any ambiguity, omission, mistake, defect or inconsistency;</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to provide for uncertificated Notes in addition to or in place of certificated Notes (</w:t>
      </w:r>
      <w:r>
        <w:rPr>
          <w:rFonts w:ascii="Times New Roman" w:hAnsi="Times New Roman"/>
          <w:i/>
          <w:color w:val="000000"/>
          <w:sz w:val="20"/>
        </w:rPr>
        <w:t>provided</w:t>
      </w:r>
      <w:r>
        <w:rPr>
          <w:rFonts w:ascii="Times New Roman" w:hAnsi="Times New Roman"/>
          <w:color w:val="000000"/>
          <w:sz w:val="20"/>
        </w:rPr>
        <w:t xml:space="preserve"> that the uncertificated Notes are issued in registered form for purposes of Section 163(f) of the Code);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to provide for the assumption of the Issuer’s or the Parent’s obligations to Holders of Notes of such Series and related Parent Guarantee in the case of a merger or consolidation or sale of all or substantially all of the Issuer’s or the Parent’s assets, as applicable;</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to make any change that would provide any additional rights or benefits to the Holders of the Notes of any Series or that does not materially adversely affect the legal rights under this Indenture of any Holder;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to comply with any requirement to effect or maintain the qualification of this Indenture under the Trust Indenture Act;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(f)          to change or eliminate any of the provisions of this Indenture with respect to such Series, </w:t>
      </w:r>
      <w:r>
        <w:rPr>
          <w:rFonts w:ascii="Times New Roman" w:hAnsi="Times New Roman"/>
          <w:i/>
          <w:color w:val="000000"/>
          <w:sz w:val="20"/>
        </w:rPr>
        <w:t>provided</w:t>
      </w:r>
      <w:r>
        <w:rPr>
          <w:rFonts w:ascii="Times New Roman" w:hAnsi="Times New Roman"/>
          <w:color w:val="000000"/>
          <w:sz w:val="20"/>
        </w:rPr>
        <w:t xml:space="preserve"> that any such change or elimination shall not become effective with respect to any outstanding Notes of any Series created prior to the execution of such supplemental indenture which is entitled to the benefit of such provision;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(g)          to provide for the issuance of and establish forms and terms and conditions of a new Series of Notes as permitted by this Indenture;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(h)         to conform the text of this Indenture, the Notes or the Parent Guarantee to any provision of the “Description of the Notes” section of the offering circular, offering memorandum, prospectus, prospectus supplement or other offering document applicable to such Notes;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(i)         to provide for the issuance of Additional Notes of any Series, </w:t>
      </w:r>
      <w:r>
        <w:rPr>
          <w:rFonts w:ascii="Times New Roman" w:hAnsi="Times New Roman"/>
          <w:i/>
          <w:color w:val="000000"/>
          <w:sz w:val="20"/>
        </w:rPr>
        <w:t>provided</w:t>
      </w:r>
      <w:r>
        <w:rPr>
          <w:rFonts w:ascii="Times New Roman" w:hAnsi="Times New Roman"/>
          <w:color w:val="000000"/>
          <w:sz w:val="20"/>
        </w:rPr>
        <w:t xml:space="preserve"> that such Additional Notes have the same terms as, and be deemed part of the same Series as, the applicable Series of Notes to the extent required under this Indenture;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(j)          to evidence and provide for the acceptance of appointment under this Indenture by a successor Trustee and to add or change any of the provisions of this Indenture with respect to such Series as shall be necessary to provide for or facilitate the administration of the trust by more than one trustee;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(k)          to add additional guarantors and guarantees with respect to the Notes of a Series;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(l)          to release the Parent from its Parent Guarantee in accordance with the terms of this Indenture;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(m)        to add additional co-issuers (to the extent such entities are organized under the laws of the United States, any state of the United States or the District of Columbia, Luxembourg, Ireland or a country that is a member of the Organization for Economic Cooperation and Development (or any successor)) with respect to the Notes in accordance with the limitations set forth in this Indenture;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         add parallel debt or other foreign law provisions that the Issuer or the Parent determines are necessary or advisable with respect to its jurisdiction of organization or incorporation;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(o)          to make any amendment to the provisions of the indenture relating to the transfer and legending of notes as permitted by the indenture, including to facilitate the issuance and administration of notes; provided, however, that such amendment does not adversely affect the rights of holders to transfer notes in any material respect; or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          to secure the Notes or any guarantees thereof.</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Upon the request of the Issuer, and upon receipt by the Trustee of the documents described in Sections 7.02 and 9.05 hereof, the Trustee will join with the Issuer and the Parent in the execution of any amended or supplemental indenture authorized or permitted by the terms of this Indenture and to make any further appropriate agreements and stipulations that may be therein contained, but the Trustee will not be obligated to enter into such amended or supplemental indenture that affects its own rights, duties or immunities under this Indenture or otherwise.</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9.02          </w:t>
      </w:r>
      <w:r>
        <w:rPr>
          <w:rFonts w:ascii="Times New Roman" w:hAnsi="Times New Roman"/>
          <w:i/>
          <w:color w:val="000000"/>
          <w:sz w:val="20"/>
        </w:rPr>
        <w:t>With Consent of Holders of Notes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Except as provided below in this Section 9.02, each of this Indenture, the Notes of any Series, and the related Parent Guarantee of such Series may be amended or supplemented with the consent of the Holders of at least a majority in aggregate principal amount of the then outstanding Notes of such Series so amended or supplemented (including, without limitation, Additional Notes, if any) (including, without limitation, consents obtained in connection with a tender offer or exchange offer for, or purchase of, any Notes), and any existing Default or Event of Default (other than a Default or Event of Default in the payment of the principal of, premium on, if any, or interest on, the applicable series of Notes, except a payment default resulting from an acceleration that has been rescinded) or compliance with any provision of this Indenture, the Notes of any Series and the related Parent Guarantee may be waived with the consent of the Holders of a majority in aggregate principal amount of the then outstanding Notes of such Series so waived (including, without limitation, Additional Notes, if any) (including, without limitation, consents obtained in connection with a purchase of, or tender offer or exchange offer for, any Notes).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Upon the request of the Issuer, and upon the filing with the Trustee of evidence satisfactory to the Trustee of the consent of the Holders of Notes as aforesaid, and upon receipt by the Trustee of the documents described in Section 7.02 hereof, the Trustee will join with the Issuer and the Parent in the execution of such amended or supplemental indenture unless such amended or supplemental indenture directly affects the Trustee’s own rights, duties or immunities under this Indenture or otherwise, in which case the Trustee may in its discretion, but will not be obligated to, enter into such amended or supplemental indenture.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It is not necessary for the consent of the Holders of Notes under this Section 9.02 to approve the particular form of any proposed amendment, supplement or waiver, but it is sufficient if such consent approves the substance thereof.</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After an amendment, supplement or waiver under this Section 9.02 becomes effective, the Issuer will promptly deliver to the Holders of Notes of such Series affected thereby a notice briefly describing the amendment, supplement or waiver.  Any failure of the Issuer to deliver such notice, or any defect therein, will not, however, in any way impair or affect the validity of any such amended or supplemental indenture or waiver.  Subject to Sections 6.04 and 6.07 hereof, the Holders of a majority in aggregate principal amount of the Notes of any Series then outstanding voting as a single class may waive compliance in a particular instance by the Issuer or the Parent with any provision of this Indenture, the Notes of such Series or the related Parent Guarantee of such Series.  However, without the consent of each Holder of the applicable Series of Notes affected, an amendment, supplement or waiver under this Section 9.02 may not (with respect to any Notes held by a non-consenting Holder):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reduce the principal amount of Notes of such Series whose Holders must consent to an amendment, supplement or waiver;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reduce the principal of or change the fixed maturity of any note or alter or waive any of the provisions with respect to the payment of Additional Amounts or the redemption of such Notes;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reduce the rate of or change the time for payment of interest, including default interest, on any Note of any such Series;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waive a Default or Event of Default in the payment of principal of, premium on, if any, or interest on, the Notes of such Series (except a rescission of acceleration of the Notes of such Series by the Holders of at least a majority in aggregate principal amount of the then outstanding Notes of such Series and a waiver of the payment default that resulted from such acceleration);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make any Note of such Series payable in money other than that stated in such Notes;</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          make any changes in the provisions of this Indenture with respect to a Series of Notes relating to waivers of past Defaults or the rights of Holders of Notes to receive payments of principal of, premium on, if any, or interest on, the Notes;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(g)          waive a redemption payment with respect to any Note (other than a payment required by Section 4.02 hereof);</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(h)         release the Parent from any of its obligations under the Parent Guarantee or this Indenture with respect to such Series of Notes, except in accordance with the terms of this Indenture; or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          make any change in the preceding amendment and waiver provisions.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For the avoidance of doubt, any amendment, supplement or waiver to any Series of Notes made with the consent of Holders of such Series of Notes, shall be made with respect to that Series of Notes only, and not any other Series of Notes, unless the Holders of such other Series of Notes consent to such amendment, supplement or waiver to such other Series of Notes.</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9.03          </w:t>
      </w:r>
      <w:r>
        <w:rPr>
          <w:rFonts w:ascii="Times New Roman" w:hAnsi="Times New Roman"/>
          <w:i/>
          <w:color w:val="000000"/>
          <w:sz w:val="20"/>
        </w:rPr>
        <w:t>Compliance with Trust Indenture Act</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Every amendment or supplement to this Indenture or the Notes of one or more Series will be set forth in a Board Resolution, Officer’s Certificate, or amended or supplemental indenture that complies with the Trust Indenture Act as then in effect, except as may be set forth in such Board Resolution, Officer’s Certificate, or amended or supplemental indenture, to the extent the Trust Indenture Act is then applicable hereto.</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9.04          </w:t>
      </w:r>
      <w:r>
        <w:rPr>
          <w:rFonts w:ascii="Times New Roman" w:hAnsi="Times New Roman"/>
          <w:i/>
          <w:color w:val="000000"/>
          <w:sz w:val="20"/>
        </w:rPr>
        <w:t>Revocation and Effect of Consents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amendment, supplement or waiver becomes effective.  An amendment, supplement or waiver becomes effective in accordance with its terms and thereafter binds every Holder of each Series affected.</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9.05          </w:t>
      </w:r>
      <w:r>
        <w:rPr>
          <w:rFonts w:ascii="Times New Roman" w:hAnsi="Times New Roman"/>
          <w:i/>
          <w:color w:val="000000"/>
          <w:sz w:val="20"/>
        </w:rPr>
        <w:t>Notation on or Exchange of Notes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Trustee may place an appropriate notation about an amendment, supplement or waiver on any Note of any Series thereafter authenticated.  The Issuer in exchange for all Notes of that Series may issue and the Trustee shall, upon receipt of an Authentication Order, authenticate new Notes of that Series that reflect the amendment, supplement or waiver.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Failure to make the appropriate notation or issue a new Note will not affect the validity and effect of such amendment, supplement or waiver.</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Section 9.06          </w:t>
      </w:r>
      <w:r>
        <w:rPr>
          <w:rFonts w:ascii="Times New Roman" w:hAnsi="Times New Roman"/>
          <w:i/>
          <w:color w:val="000000"/>
          <w:sz w:val="20"/>
        </w:rPr>
        <w:t>Trustee to Sign Amendments, etc</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The Trustee will sign any amended or supplemental indenture authorized pursuant to this Article 9 if the amendment or supplement does not adversely affect the rights, duties, liabilities or immunities of the Trustee.  In executing any amended or supplemental indenture, the Trustee will receive and (subject to Section 7.01 hereof) will be fully protected in conclusively relying upon, in addition to the documents required by Section 12.04 hereof, an Officer’s Certificate and an Opinion of Counsel stating that the execution of such amended or supplemental indenture is authorized or permitted by this Indenture; </w:t>
      </w:r>
      <w:r>
        <w:rPr>
          <w:rFonts w:ascii="Times New Roman" w:hAnsi="Times New Roman"/>
          <w:i/>
          <w:color w:val="000000"/>
          <w:sz w:val="20"/>
        </w:rPr>
        <w:t>provided</w:t>
      </w:r>
      <w:r>
        <w:rPr>
          <w:rFonts w:ascii="Times New Roman" w:hAnsi="Times New Roman"/>
          <w:color w:val="000000"/>
          <w:sz w:val="20"/>
        </w:rPr>
        <w:t xml:space="preserve"> no Opinion of Counsel shall be required in connection with the execution of any supplemental indenture on the date hereof.</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10</w:t>
        <w:br/>
        <w:t>PARENT GUARANTEE</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Section 10.01        </w:t>
      </w:r>
      <w:r>
        <w:rPr>
          <w:rFonts w:ascii="Times New Roman" w:hAnsi="Times New Roman"/>
          <w:i/>
          <w:color w:val="000000"/>
          <w:sz w:val="20"/>
        </w:rPr>
        <w:t>Guarantee</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Subject to this Article 10, the Parent hereby unconditionally guarantees to each Holder of a Series of Notes authenticated and delivered by the Trustee and to the Trustee and its successors and assigns, irrespective of the validity and enforceability of this Indenture, the Notes or the obligations of the Issuer hereunder or thereunder, that:</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(1)           the principal of, premium on, if any, and interest on, the Notes will be promptly paid in full when due, whether at maturity, by acceleration, redemption or otherwise, and interest on the overdue principal of, premium on, if any, and interest on, the Notes, if lawful, and all other obligations of the Issuer to the Holders or the Trustee hereunder or thereunder will be promptly paid in full or performed, all in accordance with the terms hereof and thereof; and</w:t>
      </w:r>
    </w:p>
    <w:p>
      <w:pPr>
        <w:pStyle w:val="TextBody"/>
        <w:bidi w:val="0"/>
        <w:spacing w:before="0" w:after="0"/>
        <w:ind w:left="720" w:right="0" w:firstLine="720"/>
        <w:jc w:val="both"/>
        <w:rPr>
          <w:color w:val="000000"/>
        </w:rPr>
      </w:pPr>
      <w:r>
        <w:rPr>
          <w:color w:val="00000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(2)        in case of any extension of time of payment or renewal of any Notes or any of such other obligations, that same will be promptly paid in full when due or performed in accordance with the terms of the extension or renewal, whether at Stated Maturity, by acceleration or otherwise.</w:t>
      </w:r>
    </w:p>
    <w:p>
      <w:pPr>
        <w:pStyle w:val="TextBody"/>
        <w:bidi w:val="0"/>
        <w:spacing w:before="0" w:after="0"/>
        <w:ind w:left="720" w:right="0" w:firstLine="720"/>
        <w:jc w:val="both"/>
        <w:rPr>
          <w:color w:val="000000"/>
        </w:rPr>
      </w:pPr>
      <w:r>
        <w:rPr>
          <w:color w:val="00000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Failing payment when due of any amount so guaranteed or any performance so guaranteed for whatever reason, the Parent will be obligated to pay the same immediately.  The Parent agrees that this is a guarantee of payment and not a guarantee of collection.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The Parent hereby agrees that its obligations hereunder are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Issuer, any action to enforce the same or any other circumstance which might otherwise constitute a legal or equitable discharge or defense of the Parent.  The Parent hereby waives diligence, presentment, demand of payment, filing of claims with a court in the event of insolvency or bankruptcy of the Issuer, any right to require a proceeding first against the Issuer, protest, notice and all demands whatsoever and covenant that this Parent Guarantee will not be discharged except by complete performance of the obligations contained in the Notes and this Indenture.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If any Holder or the Trustee is required by any court or otherwise to return to the Issuer, the Parent or any custodian, trustee, liquidator or other similar official acting in relation to either the Issuer or the Parent, any amount paid by either to the Trustee or such Holder, this Parent Guarantee, to the extent theretofore discharged, will be reinstated in full force and effect.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The Parent agrees that it will not be entitled to any right of subrogation in relation to the Holders in respect of any obligations guaranteed hereby until payment in full of all obligations guaranteed hereby.  The Parent further agrees that, as between the Parent, on the one hand, and the Holders and the Trustee, on the other hand, (1) the maturity of the obligations guaranteed hereby may be accelerated as provided in Article 6 hereof for the purposes of this Parent Guarantee, notwithstanding any stay, injunction or other prohibition preventing such acceleration in respect of the obligations guaranteed hereby, and (2) in the event of any declaration of acceleration of such obligations as provided in Article 6 hereof, such obligations (whether or not due and payable) will forthwith become due and payable by the Parent for the purpose of this Parent Guarantee.</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Section 10.02        </w:t>
      </w:r>
      <w:r>
        <w:rPr>
          <w:rFonts w:ascii="Times New Roman" w:hAnsi="Times New Roman"/>
          <w:i/>
          <w:color w:val="000000"/>
          <w:sz w:val="20"/>
        </w:rPr>
        <w:t>Limitation on Guarantor Liability</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Parent and by its acceptance of Notes, each Holder, hereby confirms that it is the intention of all such parties that the Parent Guarantee not constitute a fraudulent transfer or conveyance for purposes of Bankruptcy Law, the Uniform Fraudulent Conveyance Act, the Uniform Fraudulent Transfer Act or any similar federal state law or similar foreign law to the extent applicable to the Parent Guarantee or unlawful financial assistance within the meaning of Section 82 of the Companies Act. To effectuate the foregoing intention, the Trustee, the Holders and the Parent hereby irrevocably agree that (i) the obligations of the Parent will be limited to the maximum amount that will, after giving effect to such maximum amount and all other contingent and fixed liabilities of the Parent that are relevant under such laws, result in the obligations of Parent under its Parent Guarantee not constituting a fraudulent transfer or conveyance under federal, state or similar foreign law, and (ii) the Parent Guarantee does not apply to any liability to the extent that it would result in this Guarantee constituting unlawful financial assistance within the meaning of Section 82 of the Companies Act.</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Section 10.03        </w:t>
      </w:r>
      <w:r>
        <w:rPr>
          <w:rFonts w:ascii="Times New Roman" w:hAnsi="Times New Roman"/>
          <w:i/>
          <w:color w:val="000000"/>
          <w:sz w:val="20"/>
        </w:rPr>
        <w:t>Issuance and Delivery of Parent Guarantee</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To evidence the Parent Guarantee set forth in Section 10.01, the Parent hereby agrees that this Indenture (or, a supplemental indenture to this Indenture) shall be executed on behalf of the Parent by an Officer of the Parent.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Parent hereby agrees that its Parent Guarantee set forth in Section 10.01 shall remain in full force and effect notwithstanding the absence of the endorsement of any notation of such Parent Guarantee on the Notes.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an Officer whose signature is on this Indenture or on the Parent Guarantee no longer holds that office at the time the Trustee authenticates the Note on which a Parent Guarantee is endorsed, the Parent Guarantee will be valid nevertheless.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delivery of any Note by the Trustee, after the authentication thereof hereunder, will constitute due delivery of the Parent Guarantee set forth in this Indenture on behalf of the Parent.</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Section 10.04        </w:t>
      </w:r>
      <w:r>
        <w:rPr>
          <w:rFonts w:ascii="Times New Roman" w:hAnsi="Times New Roman"/>
          <w:i/>
          <w:color w:val="000000"/>
          <w:sz w:val="20"/>
        </w:rPr>
        <w:t>Releases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Parent will be automatically and unconditionally released from all obligations under its Parent Guarantee in respect of the Notes of each Series, and such Parent Guarantee shall thereupon terminate and be discharged and of no further force and effect upon Legal Defeasance, Covenant Defeasance or satisfaction and discharge of an indenture as provided in Articles 8 and 11 hereof.</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Upon any occurrence giving rise to a release of the Parent Guarantee, as specified in this Indenture, the Trustee, upon receipt of an Officer’s Certificate from the Issuer in accordance with the provisions of Section 12.04, which the Trustee shall be entitled to rely on absolutely and without further inquiry, will take all necessary actions at the reasonable request and cost of the Issuer, to effectuate the release of the Parent Guarantee in accordance with these provisions, subject to customary protections and indemnifications.  Each of the releases set forth in this Indenture shall be effected by the Trustee without the consent of the Holders and will not require any other action or consent on the part of the Trustee.  None of the Issuer, the Trustee or the Parent will be required to make a notation on the Notes of any Series to reflect any such release, termination or discharge.  The Issuer may in its sole discretion, and without prejudice to any future election in relation thereto, elect to have the Parent Guarantee remain in place as opposed to being released.</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11</w:t>
        <w:br/>
        <w:t>SATISFACTION AND DISCHARGE</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Section 11.01        </w:t>
      </w:r>
      <w:r>
        <w:rPr>
          <w:rFonts w:ascii="Times New Roman" w:hAnsi="Times New Roman"/>
          <w:i/>
          <w:color w:val="000000"/>
          <w:sz w:val="20"/>
        </w:rPr>
        <w:t>Satisfaction and Discharge</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Indenture will be discharged and will cease to be of further effect as to Notes of any Series and the related Parent Guarantee issued without any further action by the Holders of Notes, when: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either:</w:t>
      </w:r>
    </w:p>
    <w:p>
      <w:pPr>
        <w:pStyle w:val="TextBody"/>
        <w:bidi w:val="0"/>
        <w:spacing w:before="0" w:after="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(1)         all Notes of such Series that have been authenticated, except lost, stolen or destroyed Notes of such Series that have been replaced or paid and Notes of such Series for whose payment money has been deposited in trust and thereafter repaid to the Issuer, have been delivered to the Trustee for cancellation; or</w:t>
      </w:r>
    </w:p>
    <w:p>
      <w:pPr>
        <w:pStyle w:val="TextBody"/>
        <w:bidi w:val="0"/>
        <w:spacing w:before="0" w:after="0"/>
        <w:ind w:left="720" w:right="0" w:firstLine="720"/>
        <w:jc w:val="both"/>
        <w:rPr>
          <w:color w:val="000000"/>
        </w:rPr>
      </w:pPr>
      <w:r>
        <w:rPr>
          <w:color w:val="00000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(2)           all outstanding Notes of such Series not previously delivered to the Trustee for cancellation (i) have become due and payable, (ii) will become due and payable at their Stated Maturity within one year or (iii) are to be called for redemption within one year under arrangements satisfactory to the Trustee for the giving of notice of redemption by the Trustee in the name, and at the expense, of the Issuer and the Issuer or the Parent has irrevocably deposited or caused to be deposited with the Trustee as trust funds in trust solely for the benefit of the Holders of such Series of Notes, cash in U.S. dollars, non-callable Government Securities, or a combination thereof, in amounts as will be sufficient, without consideration of any reinvestment of interest, to pay and discharge the entire Indebtedness for Borrowed Money on the Notes of such Series not delivered to the Trustee for cancellation for principal of, premium on, if any, and interest on, the Notes of such Series to the date of maturity or redemption; </w:t>
      </w:r>
      <w:r>
        <w:rPr>
          <w:rFonts w:ascii="Times New Roman" w:hAnsi="Times New Roman"/>
          <w:i/>
          <w:color w:val="000000"/>
          <w:sz w:val="20"/>
        </w:rPr>
        <w:t>provided</w:t>
      </w:r>
      <w:r>
        <w:rPr>
          <w:rFonts w:ascii="Times New Roman" w:hAnsi="Times New Roman"/>
          <w:color w:val="000000"/>
          <w:sz w:val="20"/>
        </w:rPr>
        <w:t xml:space="preserve"> that upon any redemption that requires the payment of the Applicable Premium, the amount deposited will be sufficient for purposes of this Indenture to the extent that an amount is deposited with the Trustee equal to the Applicable Premium calculated as of the date of the notice of redemption, with any Applicable Premium Deficit only required to be deposited with the Trustee on or prior to the date of redemption;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Trustee shall have no liability whatsoever in the event that such deposit is not made after the Trustee has discharged this Indenture with respect to such Series of Notes.  Any Applicable Premium Deficit will be set forth in an Officer’s Certificate delivered to the Trustee simultaneously with the deposit of such Applicable Premium Deficit that confirms that such Applicable Premium Deficit will be applied toward such redemption;</w:t>
      </w:r>
    </w:p>
    <w:p>
      <w:pPr>
        <w:pStyle w:val="TextBody"/>
        <w:bidi w:val="0"/>
        <w:spacing w:before="0" w:after="0"/>
        <w:ind w:left="0" w:right="0" w:firstLine="720"/>
        <w:jc w:val="left"/>
        <w:rPr>
          <w:color w:val="000000"/>
        </w:rPr>
      </w:pPr>
      <w:r>
        <w:rPr>
          <w:color w:val="00000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the Issuer or the Parent has or have paid or caused to be paid all sums payable by it or them under this Indenture in respect of such Series of Notes; and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in the case of clause (a)(2) of this Section 11.01, the Issuer has delivered irrevocable instructions to the Trustee under this Indenture with respect to such Series of Notes to apply the deposited money toward the payment of the Notes of such Series at maturity or on the applicable redemption date, as the case may be.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addition, the Issuer must deliver an Officer’s Certificate and an Opinion of Counsel to the Trustee stating that all conditions precedent to satisfaction and discharge have been satisfied.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Notwithstanding the satisfaction and discharge of this Indenture with respect to Notes of any Series, if money has been deposited with the Trustee for any Series pursuant to Section 11.01(a)(2), the provisions of Sections 11.02 and 8.06 hereof will survive.  In addition, nothing in this Section 11.01 will be deemed to discharge those provisions of Section 7.07 hereof, that, by their terms, survive the satisfaction and discharge of any Series of Notes under this Indenture and the earlier resignation or removal of the Trustee.</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Section 11.02        </w:t>
      </w:r>
      <w:r>
        <w:rPr>
          <w:rFonts w:ascii="Times New Roman" w:hAnsi="Times New Roman"/>
          <w:i/>
          <w:color w:val="000000"/>
          <w:sz w:val="20"/>
        </w:rPr>
        <w:t>Application of Trust Money</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Subject to the provisions of Section 8.06 hereof, all money and Government Securities deposited with the Trustee pursuant to Section 11.01 hereof shall be held in trust and applied by it, in accordance with the provisions of the Notes and this Indenture, to the payment, either directly or through any Paying Agent (including the Issuer acting as its own Paying Agent) as the Trustee may determine, to the Persons entitled thereto, of the principal, premium, if any, and interest for whose payment such money has been deposited with the Trustee; but such money need not be segregated from other funds except to the extent required by law.</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If the Trustee or Paying Agent is unable to apply any money or Government Securities in accordance with Section 11.01 hereof by reason of any legal proceeding or by reason of any order or judgment of any court or Governmental Authority enjoining, restraining or otherwise prohibiting such application, the Issuer’s and the Parent’s obligations under this Indenture and the Notes shall be revived and reinstated as though no deposit had occurred pursuant to Section 11.01 hereof; </w:t>
      </w:r>
      <w:r>
        <w:rPr>
          <w:rFonts w:ascii="Times New Roman" w:hAnsi="Times New Roman"/>
          <w:i/>
          <w:color w:val="000000"/>
          <w:sz w:val="20"/>
        </w:rPr>
        <w:t>provided</w:t>
      </w:r>
      <w:r>
        <w:rPr>
          <w:rFonts w:ascii="Times New Roman" w:hAnsi="Times New Roman"/>
          <w:color w:val="000000"/>
          <w:sz w:val="20"/>
        </w:rPr>
        <w:t>, that if the Issuer has made any payment of principal of, premium on, if any, or interest on, any Notes because of the reinstatement of its obligations, the Issuer shall be subrogated to the rights of the Holders of such Notes to receive such payment from the money or Government Securities held by the Trustee or Paying Agent.</w:t>
      </w:r>
    </w:p>
    <w:p>
      <w:pPr>
        <w:pStyle w:val="TextBody"/>
        <w:bidi w:val="0"/>
        <w:spacing w:before="0" w:after="0"/>
        <w:jc w:val="center"/>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12</w:t>
        <w:br/>
        <w:t>MISCELLANEOUS</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Section 12.01        </w:t>
      </w:r>
      <w:r>
        <w:rPr>
          <w:rFonts w:ascii="Times New Roman" w:hAnsi="Times New Roman"/>
          <w:i/>
          <w:color w:val="000000"/>
          <w:sz w:val="20"/>
        </w:rPr>
        <w:t>Trust Indenture Act Controls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To the extent the Trust Indenture Act is applicable to this Indenture at such time, if any provision of this Indenture limits, qualifies or conflicts with another provision which is required or deemed to be included in this Indenture by the Trust Indenture Act, such required or deemed provision will control.</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Section 12.02        </w:t>
      </w:r>
      <w:r>
        <w:rPr>
          <w:rFonts w:ascii="Times New Roman" w:hAnsi="Times New Roman"/>
          <w:i/>
          <w:color w:val="000000"/>
          <w:sz w:val="20"/>
        </w:rPr>
        <w:t>Notices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Any notice or communication by the Parent, the Issuer or the Trustee to the others is duly given if in writing and delivered in Person or by first class mail (registered or certified, return receipt requested), facsimile transmission or overnight air courier guaranteeing next day delivery, to the others’ address: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to the Parent and/or Issuer: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ICON plc</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South Country Business Park</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Leopardstown</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Dublin 18</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Ireland</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Attention:  Chief Financial Officer with a copy to General Counsel</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to the Trustee: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Citibank, N.A.</w:t>
      </w:r>
    </w:p>
    <w:p>
      <w:pPr>
        <w:pStyle w:val="TextBody"/>
        <w:bidi w:val="0"/>
        <w:spacing w:lineRule="auto" w:line="240" w:before="0" w:after="0"/>
        <w:ind w:left="0" w:right="0" w:firstLine="720"/>
        <w:jc w:val="both"/>
        <w:rPr>
          <w:rFonts w:ascii="Times New Roman" w:hAnsi="Times New Roman"/>
          <w:color w:val="000000"/>
          <w:sz w:val="20"/>
        </w:rPr>
      </w:pPr>
      <w:r>
        <w:rPr>
          <w:rFonts w:ascii="Times New Roman" w:hAnsi="Times New Roman"/>
          <w:color w:val="000000"/>
          <w:sz w:val="20"/>
        </w:rPr>
        <w:t>388 Greenwich Street – 26th Floor</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New York, NY 10013</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Email:  citi.cspag.debt@citi.com</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Attention:  NAM - Agency &amp; Trust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With a copy to:</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Squire Patton Boggs</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2021 McKinney Avenue, Suite 200</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Dallas, TX 75201</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Attention:  Heather Rees</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Parent, the Issuer or the Trustee by notice to the others, may designate additional or different addresses for subsequent notices or communications.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When the Trustee acts on any communication (including, but not limited to, communication with respect to the delivery Notes or the wire transfer of funds) sent by electronic transmission, the Trustee will not be responsible for or liable in the event such communication is not an authorized or authentic communication of the party involved or is not in the form the party involved sent or intend to send (whether due to fraud, distortion or otherwise).  Each party hereto understands and agrees that the Trustee cannot determine the identity of the actual sending of such instructions and that the Trustee shall conclusively presume that directions that purport to have been sent by an authorized officer of such person have been sent by an authorize officers of such person.  Each party hereto shall be responsible for ensuring that only authorized officers transmit such instructions to the Trustee.  The Trustee will not be liable for any losses, costs or expenses arising directly or indirectly from the Trustee’s reliance upon and compliance with such instructions notwithstanding such instructions conflict or are inconsistent with a subsequent written instruction.  The party providing such instructions, as the case may be, agrees to assume all risks arising out of the use of such electronic transmission to submit instructions and directions to the Trustee, including without limitation the risk of the Trustee acting on unauthorized instructions, and the risk of interception and misuse by third parties.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All notices and communications (other than those sent to Holders) will be deemed to have been duly given:  at the time delivered by hand, if personally delivered; five Business Days after being deposited in the mail, postage prepaid, if mailed; when receipt acknowledged, if transmitted by facsimile or email; and the next Business Day after timely delivery to the courier, if sent by overnight air courier guaranteeing next day delivery.</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Any notice or communication to a Holder will be mailed by first class mail, certified or registered, return receipt requested, or by overnight air courier guaranteeing next day delivery to its address shown on the register kept by the Registrar; </w:t>
      </w:r>
      <w:r>
        <w:rPr>
          <w:rFonts w:ascii="Times New Roman" w:hAnsi="Times New Roman"/>
          <w:i/>
          <w:color w:val="000000"/>
          <w:sz w:val="20"/>
        </w:rPr>
        <w:t>provided</w:t>
      </w:r>
      <w:r>
        <w:rPr>
          <w:rFonts w:ascii="Times New Roman" w:hAnsi="Times New Roman"/>
          <w:color w:val="000000"/>
          <w:sz w:val="20"/>
        </w:rPr>
        <w:t xml:space="preserve"> that notices given to Holders of Global Notes may be given through the facilities of the Depositary.  Failure to deliver a notice or communication to a Holder or any defect in it will not affect its sufficiency with respect to other Holders.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a notice or communication is delivered in the manner provided above within the time prescribed, it is duly given, whether or not the addressee receives it.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the Parent or the Issuer mail a notice or communication to Holders, it will mail a copy to the Trustee and each Agent at the same time.</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Section 12.03        </w:t>
      </w:r>
      <w:r>
        <w:rPr>
          <w:rFonts w:ascii="Times New Roman" w:hAnsi="Times New Roman"/>
          <w:i/>
          <w:color w:val="000000"/>
          <w:sz w:val="20"/>
        </w:rPr>
        <w:t>Communication by Holders of Notes with Other Holders of Notes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Holders of any Series may communicate pursuant to Trust Indenture Act § 312(b) with other Holders of that Series or any other Series with respect to their rights under this Indenture or the Notes of that Series or all Series.  The Issuer, the Trustee, the Registrar and anyone else will have the protection of Trust Indenture Act §312(c).</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44</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Section 12.04        </w:t>
      </w:r>
      <w:r>
        <w:rPr>
          <w:rFonts w:ascii="Times New Roman" w:hAnsi="Times New Roman"/>
          <w:i/>
          <w:color w:val="000000"/>
          <w:sz w:val="20"/>
        </w:rPr>
        <w:t>Certificate and Opinion as to Conditions Precedent</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Upon any request or application by the Parent and/or the Issuer to the Trustee to take any action under this Indenture, the Parent and/or the Issuer, as applicable, shall furnish to the Trustee, in compliance with the provisions of Trust Indenture Act § 314(c)(1) and (c)(2):</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an Officer’s Certificate in form and substance reasonably satisfactory to the Trustee (which must include the statements set forth in Section 12.05 hereof) stating that, in the opinion of the signers, all conditions precedent, if any, provided for in this Indenture relating to the proposed action have been complied with; and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an Opinion of Counsel in form and substance reasonably satisfactory to the Trustee (which must include the statements set forth in Section 12.05 hereof) stating that, in the opinion of such counsel, all such conditions precedent have been complied with.</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Section 12.05        </w:t>
      </w:r>
      <w:r>
        <w:rPr>
          <w:rFonts w:ascii="Times New Roman" w:hAnsi="Times New Roman"/>
          <w:i/>
          <w:color w:val="000000"/>
          <w:sz w:val="20"/>
        </w:rPr>
        <w:t>Statements Required in Certificate or Opinion</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Each certificate or opinion with respect to compliance with a condition or covenant provided for in this Indenture (other than a certificate provided pursuant to Trust Indenture Act § 314(a)(4)) must comply with the provisions of Trust Indenture Act § 314(e) and must include: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a statement that the Person making such certificate or opinion has read such covenant or condition;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a brief statement as to the nature and scope of the examination or investigation upon which the statements or opinions contained in such certificate or opinion are based;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a statement that, in the opinion of such Person, he or she has made such examination or investigation as is necessary to enable him or her to express an informed opinion as to whether or not such covenant or condition has been satisfied; and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a statement as to whether or not, in the opinion of such Person, such condition or covenant has been satisfied.</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Section 12.06        </w:t>
      </w:r>
      <w:r>
        <w:rPr>
          <w:rFonts w:ascii="Times New Roman" w:hAnsi="Times New Roman"/>
          <w:i/>
          <w:color w:val="000000"/>
          <w:sz w:val="20"/>
        </w:rPr>
        <w:t>Form of Documents Delivered to Trustee</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Any certificate or opinion of an officer of the Issuer or Parent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his/her certificate or opinion is based are erroneous.  Any such certificate or Opinion of Counsel may be based, insofar as it relates to factual matters, upon a certificate or opinion of, or representations by, an officer or officers of the Issuer or Parent stating that the information with respect to such factual matters is in the possession of the Issuer or Parent, unless such counsel knows, or in the exercise of reasonable care should know, that the certificate or opinion or representations with respect to such matters are erroneous.</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 any Person is required to make, give or execute two or more applications, requests, consents, certificates, statements, opinions or other instruments under this Indenture, they may, but need not, be consolidated and form one instrument.</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Section 12.07        </w:t>
      </w:r>
      <w:r>
        <w:rPr>
          <w:rFonts w:ascii="Times New Roman" w:hAnsi="Times New Roman"/>
          <w:i/>
          <w:color w:val="000000"/>
          <w:sz w:val="20"/>
        </w:rPr>
        <w:t>Rules by Trustee and Agents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Trustee may make reasonable rules for action by or at a meeting of Holders.  The Registrar or Paying Agent may make reasonable rules and set reasonable requirements for its functions.</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Section 12.08        </w:t>
      </w:r>
      <w:r>
        <w:rPr>
          <w:rFonts w:ascii="Times New Roman" w:hAnsi="Times New Roman"/>
          <w:i/>
          <w:color w:val="000000"/>
          <w:sz w:val="20"/>
        </w:rPr>
        <w:t>No Personal Liability of Directors, Officers, Employees and Stockholders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 director, manager, officer, employee, incorporator or stockholder of the Issuer or the Parent, as such, will have any liability for any obligations of the Issuer or the Parent under the Notes, this Indenture, the Parent Guarantee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Section 12.09       </w:t>
      </w:r>
      <w:r>
        <w:rPr>
          <w:rFonts w:ascii="Times New Roman" w:hAnsi="Times New Roman"/>
          <w:i/>
          <w:color w:val="000000"/>
          <w:sz w:val="20"/>
        </w:rPr>
        <w:t>Governing Law; Waiver of Jury Trial; Jurisdiction</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INDENTURE AND THE NOTES, INCLUDING THE PARENT GUARANTEE AND THE RIGHTS AND DUTIES OF THE PARTIES THEREUNDER SHALL BE GOVERNED BY AND CONSTRUED IN ACCORDANCE WITH THE LAWS OF THE STATE OF NEW YORK.  THE ISSUER, THE PARENT AND THE TRUSTEE HEREBY IRREVOCABLY WAIVE, TO THE FULLEST EXTENT PERMITTED BY APPLICABLE LAW, ANY AND ALL RIGHT TO TRIAL BY JURY IN ANY LEGAL PROCEEDING ARISING OUT OF OR RELATING TO THIS INDENTURE, THE NOTES OR THE TRANSACTIONS CONTEMPLATED HEREBY.  EACH OF THE ISSUER, THE PARENT AND THE TRUSTEE HEREBY CONSENTS AND IRREVOCABLY SUBMITS TO THE JURISDICTION OF ANY NEW YORK STATE OR U.S. FEDERAL COURT LOCATED IN THE BOROUGH OF MANHATTAN, CITY OF NEW YORK, COUNTY OF NEW YORK, STATE OF NEW YORK IN RELATION TO ANY LEGAL ACTION OR PROCEEDING (I) ARISING OUT OF, RELATING TO OR IN CONNECTION WITH THIS INDENTURE, AS SUPPLEMENTED, THE NOTES, THE PARENT GUARANTEE AND ANY RELATED DOCUMENTS AND/OR (II) ARISING UNDER ANY U.S. FEDERAL OR U.S. STATE SECURITIES LAWS IN RESPECT OF THE NOTES, THE PARENT GUARANTEE AND ANY SECURITIES ISSUED PURSUANT TO THE TERMS OF THIS INDENTURE, AS SUPPLEMENTED.  THE ISSUER, THE PARENT AND THE TRUSTEE WAIVE ANY OBJECTION TO PROCEEDINGS IN ANY SUCH COURTS, WHETHER ON THE GROUND OF VENUE OR ON THE GROUND THAT THE PROCEEDINGS HAVE BEEN BROUGHT IN AN INCONVENIENT FORUM.  THE ISSUER AND THE PARENT SHALL APPOINT ICON US HOLDINGS INC. (ICON US HOLDINGS INC., 731 ARBOR WAY, SUITE 100, BLUE BELL PA 19422), AS ITS AGENT FOR SERVICE OF PROCESS IN ANY SUCH SUIT, ACTION OR PROCEEDING AND AGREES THAT SERVICE OF PROCESS UPON SAID AUTHORIZED AGENT SHALL BE DEEMED IN EVERY RESPECT EFFECTIVE SERVICE OF PROCESS UPON IT IN ANY SUCH SUIT, ACTION OR PROCEEDING.</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Section 12.10        </w:t>
      </w:r>
      <w:r>
        <w:rPr>
          <w:rFonts w:ascii="Times New Roman" w:hAnsi="Times New Roman"/>
          <w:i/>
          <w:color w:val="000000"/>
          <w:sz w:val="20"/>
        </w:rPr>
        <w:t>No Adverse Interpretation of Other Agreements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Indenture may not be used to interpret any other indenture, loan or debt agreement of the Parent or its Subsidiaries or of any other Person.  Any such indenture, loan or debt agreement may not be used to interpret this Indenture.</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46</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Section 12.11        </w:t>
      </w:r>
      <w:r>
        <w:rPr>
          <w:rFonts w:ascii="Times New Roman" w:hAnsi="Times New Roman"/>
          <w:i/>
          <w:color w:val="000000"/>
          <w:sz w:val="20"/>
        </w:rPr>
        <w:t>Successors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All agreements of the Parent and the Issuer in this Indenture and the Notes will bind its successors.  All agreements of the Trustee in this Indenture will bind its successors.</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Section 12.12        </w:t>
      </w:r>
      <w:r>
        <w:rPr>
          <w:rFonts w:ascii="Times New Roman" w:hAnsi="Times New Roman"/>
          <w:i/>
          <w:color w:val="000000"/>
          <w:sz w:val="20"/>
        </w:rPr>
        <w:t>Severability</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case any provision in this Indenture or in the Notes is invalid, illegal or unenforceable, the validity, legality and enforceability of the remaining provisions will not in any way be affected or impaired thereby.</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Section 12.13        </w:t>
      </w:r>
      <w:r>
        <w:rPr>
          <w:rFonts w:ascii="Times New Roman" w:hAnsi="Times New Roman"/>
          <w:i/>
          <w:color w:val="000000"/>
          <w:sz w:val="20"/>
        </w:rPr>
        <w:t>Counterpart Originals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parties may sign any number of copies of this Indenture.  Each signed copy (which may be provided via facsimile or other electronic transmission) will be an original, but all of them together represent the same agreement.  This Indenture may be executed in counterparts, each of which will be deemed an original, but all of which taken together will constitute one and the same instrument.  Delivery of an executed counterpart of a signature page to this Indenture by facsimile or other electronic transmission shall be effective as delivery of a manually signed counterpart.  The words “execution,” “signed,” “signature,” “delivery,” and words of like import in or relating to this Indenture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w:t>
      </w:r>
      <w:r>
        <w:rPr>
          <w:rFonts w:ascii="Times New Roman" w:hAnsi="Times New Roman"/>
          <w:i/>
          <w:color w:val="000000"/>
          <w:sz w:val="20"/>
        </w:rPr>
        <w:t>Electronic Signatures</w:t>
      </w:r>
      <w:r>
        <w:rPr>
          <w:rFonts w:ascii="Times New Roman" w:hAnsi="Times New Roman"/>
          <w:color w:val="000000"/>
          <w:sz w:val="20"/>
        </w:rPr>
        <w:t>” means any electronic symbol or process attached to, or associated with, any contract or other record and adopted by a person with the intent to sign, authenticate or accept such contract or record.</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Section 12.14        </w:t>
      </w:r>
      <w:r>
        <w:rPr>
          <w:rFonts w:ascii="Times New Roman" w:hAnsi="Times New Roman"/>
          <w:i/>
          <w:color w:val="000000"/>
          <w:sz w:val="20"/>
        </w:rPr>
        <w:t>Table of Contents, Headings, etc</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Section 12.15        </w:t>
      </w:r>
      <w:r>
        <w:rPr>
          <w:rFonts w:ascii="Times New Roman" w:hAnsi="Times New Roman"/>
          <w:i/>
          <w:color w:val="000000"/>
          <w:sz w:val="20"/>
        </w:rPr>
        <w:t>U.S.A. Patriot Act</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disasters, and interruptions, loss or malfunctions of utilities, communications or computer (software and hardware) services; it being understood that the Trustee shall use commercially reasonable efforts which are consistent with accepted practices in the banking industry to resume performance as soon as practicable under the circumstances.</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[Signatures on following page]</w:t>
      </w:r>
    </w:p>
    <w:p>
      <w:pPr>
        <w:pStyle w:val="TextBody"/>
        <w:bidi w:val="0"/>
        <w:spacing w:before="0" w:after="0"/>
        <w:jc w:val="center"/>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47</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SIGNATURES</w:t>
      </w:r>
    </w:p>
    <w:p>
      <w:pPr>
        <w:pStyle w:val="TextBody"/>
        <w:bidi w:val="0"/>
        <w:spacing w:before="0" w:after="0"/>
        <w:jc w:val="left"/>
        <w:rPr/>
      </w:pPr>
      <w:r>
        <w:rPr/>
      </w:r>
      <w:bookmarkStart w:id="53" w:name="zde838e93669441a6a780d52894eaa1cc"/>
      <w:bookmarkStart w:id="54" w:name="zde838e93669441a6a780d52894eaa1cc"/>
      <w:bookmarkEnd w:id="54"/>
    </w:p>
    <w:tbl>
      <w:tblPr>
        <w:tblW w:w="10013" w:type="dxa"/>
        <w:jc w:val="left"/>
        <w:tblInd w:w="0" w:type="dxa"/>
        <w:tblLayout w:type="fixed"/>
        <w:tblCellMar>
          <w:top w:w="0" w:type="dxa"/>
          <w:left w:w="0" w:type="dxa"/>
          <w:bottom w:w="0" w:type="dxa"/>
          <w:right w:w="0" w:type="dxa"/>
        </w:tblCellMar>
      </w:tblPr>
      <w:tblGrid>
        <w:gridCol w:w="2750"/>
        <w:gridCol w:w="1518"/>
        <w:gridCol w:w="5558"/>
        <w:gridCol w:w="187"/>
      </w:tblGrid>
      <w:tr>
        <w:trPr/>
        <w:tc>
          <w:tcPr>
            <w:tcW w:w="2750" w:type="dxa"/>
            <w:tcBorders/>
            <w:vAlign w:val="center"/>
          </w:tcPr>
          <w:p>
            <w:pPr>
              <w:pStyle w:val="TableContents"/>
              <w:bidi w:val="0"/>
              <w:spacing w:before="0" w:after="0"/>
              <w:jc w:val="both"/>
              <w:rPr>
                <w:color w:val="000000"/>
              </w:rPr>
            </w:pPr>
            <w:r>
              <w:rPr>
                <w:color w:val="000000"/>
              </w:rPr>
              <w:t>Dated as of August 13, 2026</w:t>
            </w:r>
          </w:p>
        </w:tc>
        <w:tc>
          <w:tcPr>
            <w:tcW w:w="7263" w:type="dxa"/>
            <w:gridSpan w:val="3"/>
            <w:tcBorders/>
            <w:vAlign w:val="center"/>
          </w:tcPr>
          <w:p>
            <w:pPr>
              <w:pStyle w:val="TableContents"/>
              <w:bidi w:val="0"/>
              <w:spacing w:before="0" w:after="283"/>
              <w:jc w:val="both"/>
              <w:rPr/>
            </w:pPr>
            <w:r>
              <w:rPr/>
              <w:t> </w:t>
            </w:r>
          </w:p>
        </w:tc>
      </w:tr>
      <w:tr>
        <w:trPr/>
        <w:tc>
          <w:tcPr>
            <w:tcW w:w="2750" w:type="dxa"/>
            <w:tcBorders/>
            <w:vAlign w:val="center"/>
          </w:tcPr>
          <w:p>
            <w:pPr>
              <w:pStyle w:val="TableContents"/>
              <w:bidi w:val="0"/>
              <w:spacing w:before="0" w:after="283"/>
              <w:jc w:val="both"/>
              <w:rPr/>
            </w:pPr>
            <w:r>
              <w:rPr/>
              <w:t> </w:t>
            </w:r>
          </w:p>
        </w:tc>
        <w:tc>
          <w:tcPr>
            <w:tcW w:w="7263" w:type="dxa"/>
            <w:gridSpan w:val="3"/>
            <w:tcBorders/>
            <w:vAlign w:val="center"/>
          </w:tcPr>
          <w:p>
            <w:pPr>
              <w:pStyle w:val="TableContents"/>
              <w:bidi w:val="0"/>
              <w:spacing w:before="0" w:after="283"/>
              <w:jc w:val="both"/>
              <w:rPr/>
            </w:pPr>
            <w:r>
              <w:rPr/>
              <w:t> </w:t>
            </w:r>
          </w:p>
        </w:tc>
      </w:tr>
      <w:tr>
        <w:trPr/>
        <w:tc>
          <w:tcPr>
            <w:tcW w:w="2750" w:type="dxa"/>
            <w:tcBorders/>
            <w:vAlign w:val="center"/>
          </w:tcPr>
          <w:p>
            <w:pPr>
              <w:pStyle w:val="TableContents"/>
              <w:bidi w:val="0"/>
              <w:spacing w:before="0" w:after="283"/>
              <w:jc w:val="both"/>
              <w:rPr/>
            </w:pPr>
            <w:r>
              <w:rPr/>
              <w:t> </w:t>
            </w:r>
          </w:p>
        </w:tc>
        <w:tc>
          <w:tcPr>
            <w:tcW w:w="7263" w:type="dxa"/>
            <w:gridSpan w:val="3"/>
            <w:tcBorders/>
            <w:vAlign w:val="center"/>
          </w:tcPr>
          <w:p>
            <w:pPr>
              <w:pStyle w:val="TableContents"/>
              <w:bidi w:val="0"/>
              <w:spacing w:before="0" w:after="0"/>
              <w:jc w:val="both"/>
              <w:rPr>
                <w:b/>
                <w:color w:val="000000"/>
              </w:rPr>
            </w:pPr>
            <w:r>
              <w:rPr>
                <w:b/>
                <w:color w:val="000000"/>
              </w:rPr>
              <w:t>ICON INVESTMENTS SIX DESIGNATED ACTIVITY COMPANY</w:t>
            </w:r>
          </w:p>
        </w:tc>
      </w:tr>
      <w:tr>
        <w:trPr/>
        <w:tc>
          <w:tcPr>
            <w:tcW w:w="2750" w:type="dxa"/>
            <w:tcBorders/>
            <w:vAlign w:val="center"/>
          </w:tcPr>
          <w:p>
            <w:pPr>
              <w:pStyle w:val="TableContents"/>
              <w:bidi w:val="0"/>
              <w:spacing w:before="0" w:after="283"/>
              <w:jc w:val="both"/>
              <w:rPr/>
            </w:pPr>
            <w:r>
              <w:rPr/>
              <w:t> </w:t>
            </w:r>
          </w:p>
        </w:tc>
        <w:tc>
          <w:tcPr>
            <w:tcW w:w="7263" w:type="dxa"/>
            <w:gridSpan w:val="3"/>
            <w:tcBorders/>
            <w:vAlign w:val="center"/>
          </w:tcPr>
          <w:p>
            <w:pPr>
              <w:pStyle w:val="TableContents"/>
              <w:bidi w:val="0"/>
              <w:spacing w:before="0" w:after="283"/>
              <w:jc w:val="both"/>
              <w:rPr/>
            </w:pPr>
            <w:r>
              <w:rPr/>
              <w:t> </w:t>
            </w:r>
          </w:p>
        </w:tc>
      </w:tr>
      <w:tr>
        <w:trPr/>
        <w:tc>
          <w:tcPr>
            <w:tcW w:w="2750" w:type="dxa"/>
            <w:tcBorders/>
            <w:vAlign w:val="center"/>
          </w:tcPr>
          <w:p>
            <w:pPr>
              <w:pStyle w:val="TableContents"/>
              <w:bidi w:val="0"/>
              <w:spacing w:before="0" w:after="283"/>
              <w:jc w:val="both"/>
              <w:rPr/>
            </w:pPr>
            <w:r>
              <w:rPr/>
              <w:t> </w:t>
            </w:r>
          </w:p>
        </w:tc>
        <w:tc>
          <w:tcPr>
            <w:tcW w:w="1518" w:type="dxa"/>
            <w:tcBorders/>
            <w:vAlign w:val="center"/>
          </w:tcPr>
          <w:p>
            <w:pPr>
              <w:pStyle w:val="TableContents"/>
              <w:bidi w:val="0"/>
              <w:spacing w:before="0" w:after="0"/>
              <w:jc w:val="both"/>
              <w:rPr>
                <w:color w:val="000000"/>
              </w:rPr>
            </w:pPr>
            <w:r>
              <w:rPr>
                <w:color w:val="000000"/>
              </w:rPr>
              <w:t xml:space="preserve">By:  </w:t>
            </w:r>
          </w:p>
        </w:tc>
        <w:tc>
          <w:tcPr>
            <w:tcW w:w="5558" w:type="dxa"/>
            <w:tcBorders>
              <w:bottom w:val="single" w:sz="12" w:space="0" w:color="000000"/>
            </w:tcBorders>
            <w:tcMar>
              <w:bottom w:w="28" w:type="dxa"/>
            </w:tcMar>
            <w:vAlign w:val="center"/>
          </w:tcPr>
          <w:p>
            <w:pPr>
              <w:pStyle w:val="TableContents"/>
              <w:bidi w:val="0"/>
              <w:spacing w:before="0" w:after="283"/>
              <w:jc w:val="both"/>
              <w:rPr/>
            </w:pPr>
            <w:r>
              <w:rPr/>
              <w:t>/s/ Louise Howard</w:t>
            </w:r>
          </w:p>
        </w:tc>
        <w:tc>
          <w:tcPr>
            <w:tcW w:w="187" w:type="dxa"/>
            <w:tcBorders/>
            <w:vAlign w:val="center"/>
          </w:tcPr>
          <w:p>
            <w:pPr>
              <w:pStyle w:val="TableContents"/>
              <w:bidi w:val="0"/>
              <w:spacing w:before="0" w:after="283"/>
              <w:jc w:val="both"/>
              <w:rPr/>
            </w:pPr>
            <w:r>
              <w:rPr/>
              <w:t> </w:t>
            </w:r>
          </w:p>
        </w:tc>
      </w:tr>
    </w:tbl>
    <w:tbl>
      <w:tblPr>
        <w:tblW w:w="2335" w:type="dxa"/>
        <w:jc w:val="left"/>
        <w:tblInd w:w="0" w:type="dxa"/>
        <w:tblLayout w:type="fixed"/>
        <w:tblCellMar>
          <w:top w:w="0" w:type="dxa"/>
          <w:left w:w="0" w:type="dxa"/>
          <w:bottom w:w="0" w:type="dxa"/>
          <w:right w:w="0" w:type="dxa"/>
        </w:tblCellMar>
      </w:tblPr>
      <w:tblGrid>
        <w:gridCol w:w="60"/>
        <w:gridCol w:w="770"/>
        <w:gridCol w:w="1505"/>
      </w:tblGrid>
      <w:tr>
        <w:trPr/>
        <w:tc>
          <w:tcPr>
            <w:tcW w:w="60" w:type="dxa"/>
            <w:tcBorders/>
            <w:vAlign w:val="center"/>
          </w:tcPr>
          <w:p>
            <w:pPr>
              <w:pStyle w:val="TableContents"/>
              <w:bidi w:val="0"/>
              <w:spacing w:before="0" w:after="283"/>
              <w:jc w:val="both"/>
              <w:rPr/>
            </w:pPr>
            <w:r>
              <w:rPr/>
              <w:t> </w:t>
            </w:r>
          </w:p>
        </w:tc>
        <w:tc>
          <w:tcPr>
            <w:tcW w:w="770" w:type="dxa"/>
            <w:tcBorders/>
            <w:vAlign w:val="center"/>
          </w:tcPr>
          <w:p>
            <w:pPr>
              <w:pStyle w:val="TableContents"/>
              <w:bidi w:val="0"/>
              <w:spacing w:before="0" w:after="0"/>
              <w:jc w:val="both"/>
              <w:rPr>
                <w:color w:val="000000"/>
              </w:rPr>
            </w:pPr>
            <w:r>
              <w:rPr>
                <w:color w:val="000000"/>
              </w:rPr>
              <w:t xml:space="preserve">Name:  </w:t>
            </w:r>
          </w:p>
        </w:tc>
        <w:tc>
          <w:tcPr>
            <w:tcW w:w="1505" w:type="dxa"/>
            <w:tcBorders/>
            <w:vAlign w:val="center"/>
          </w:tcPr>
          <w:p>
            <w:pPr>
              <w:pStyle w:val="TableContents"/>
              <w:bidi w:val="0"/>
              <w:spacing w:before="0" w:after="283"/>
              <w:jc w:val="both"/>
              <w:rPr/>
            </w:pPr>
            <w:r>
              <w:rPr/>
              <w:t>Louise Howard</w:t>
            </w:r>
          </w:p>
        </w:tc>
      </w:tr>
      <w:tr>
        <w:trPr/>
        <w:tc>
          <w:tcPr>
            <w:tcW w:w="60" w:type="dxa"/>
            <w:tcBorders/>
            <w:vAlign w:val="center"/>
          </w:tcPr>
          <w:p>
            <w:pPr>
              <w:pStyle w:val="TableContents"/>
              <w:bidi w:val="0"/>
              <w:spacing w:before="0" w:after="283"/>
              <w:jc w:val="both"/>
              <w:rPr/>
            </w:pPr>
            <w:r>
              <w:rPr/>
              <w:t> </w:t>
            </w:r>
          </w:p>
        </w:tc>
        <w:tc>
          <w:tcPr>
            <w:tcW w:w="770" w:type="dxa"/>
            <w:tcBorders/>
            <w:vAlign w:val="center"/>
          </w:tcPr>
          <w:p>
            <w:pPr>
              <w:pStyle w:val="TableContents"/>
              <w:bidi w:val="0"/>
              <w:spacing w:before="0" w:after="0"/>
              <w:jc w:val="both"/>
              <w:rPr>
                <w:color w:val="000000"/>
              </w:rPr>
            </w:pPr>
            <w:r>
              <w:rPr>
                <w:color w:val="000000"/>
              </w:rPr>
              <w:t xml:space="preserve">Title:  </w:t>
            </w:r>
          </w:p>
        </w:tc>
        <w:tc>
          <w:tcPr>
            <w:tcW w:w="1505" w:type="dxa"/>
            <w:tcBorders/>
            <w:vAlign w:val="center"/>
          </w:tcPr>
          <w:p>
            <w:pPr>
              <w:pStyle w:val="TableContents"/>
              <w:bidi w:val="0"/>
              <w:spacing w:before="0" w:after="283"/>
              <w:jc w:val="both"/>
              <w:rPr/>
            </w:pPr>
            <w:r>
              <w:rPr/>
              <w:t>Attorney</w:t>
            </w:r>
          </w:p>
        </w:tc>
      </w:tr>
    </w:tbl>
    <w:p>
      <w:pPr>
        <w:pStyle w:val="TextBody"/>
        <w:bidi w:val="0"/>
        <w:spacing w:before="0" w:after="0"/>
        <w:jc w:val="left"/>
        <w:rPr/>
      </w:pPr>
      <w:r>
        <w:rPr/>
      </w:r>
    </w:p>
    <w:tbl>
      <w:tblPr>
        <w:tblW w:w="4204" w:type="dxa"/>
        <w:jc w:val="left"/>
        <w:tblInd w:w="0" w:type="dxa"/>
        <w:tblLayout w:type="fixed"/>
        <w:tblCellMar>
          <w:top w:w="0" w:type="dxa"/>
          <w:left w:w="0" w:type="dxa"/>
          <w:bottom w:w="0" w:type="dxa"/>
          <w:right w:w="0" w:type="dxa"/>
        </w:tblCellMar>
      </w:tblPr>
      <w:tblGrid>
        <w:gridCol w:w="75"/>
        <w:gridCol w:w="991"/>
        <w:gridCol w:w="2985"/>
        <w:gridCol w:w="153"/>
      </w:tblGrid>
      <w:tr>
        <w:trPr/>
        <w:tc>
          <w:tcPr>
            <w:tcW w:w="75" w:type="dxa"/>
            <w:tcBorders/>
            <w:vAlign w:val="center"/>
          </w:tcPr>
          <w:p>
            <w:pPr>
              <w:pStyle w:val="TableContents"/>
              <w:bidi w:val="0"/>
              <w:spacing w:before="0" w:after="283"/>
              <w:jc w:val="both"/>
              <w:rPr/>
            </w:pPr>
            <w:r>
              <w:rPr/>
              <w:t> </w:t>
            </w:r>
          </w:p>
        </w:tc>
        <w:tc>
          <w:tcPr>
            <w:tcW w:w="4129" w:type="dxa"/>
            <w:gridSpan w:val="3"/>
            <w:tcBorders/>
            <w:vAlign w:val="center"/>
          </w:tcPr>
          <w:p>
            <w:pPr>
              <w:pStyle w:val="TableContents"/>
              <w:bidi w:val="0"/>
              <w:spacing w:before="0" w:after="0"/>
              <w:jc w:val="both"/>
              <w:rPr>
                <w:b/>
                <w:color w:val="000000"/>
              </w:rPr>
            </w:pPr>
            <w:r>
              <w:rPr>
                <w:b/>
                <w:color w:val="000000"/>
              </w:rPr>
              <w:t>ICON PUBLIC LIMITED COMPANY</w:t>
            </w:r>
          </w:p>
        </w:tc>
      </w:tr>
      <w:tr>
        <w:trPr/>
        <w:tc>
          <w:tcPr>
            <w:tcW w:w="75" w:type="dxa"/>
            <w:tcBorders/>
            <w:vAlign w:val="center"/>
          </w:tcPr>
          <w:p>
            <w:pPr>
              <w:pStyle w:val="TableContents"/>
              <w:bidi w:val="0"/>
              <w:spacing w:before="0" w:after="283"/>
              <w:jc w:val="both"/>
              <w:rPr/>
            </w:pPr>
            <w:r>
              <w:rPr/>
              <w:t> </w:t>
            </w:r>
          </w:p>
        </w:tc>
        <w:tc>
          <w:tcPr>
            <w:tcW w:w="4129"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991" w:type="dxa"/>
            <w:tcBorders/>
            <w:vAlign w:val="center"/>
          </w:tcPr>
          <w:p>
            <w:pPr>
              <w:pStyle w:val="TableContents"/>
              <w:bidi w:val="0"/>
              <w:spacing w:before="0" w:after="0"/>
              <w:jc w:val="both"/>
              <w:rPr>
                <w:color w:val="000000"/>
              </w:rPr>
            </w:pPr>
            <w:r>
              <w:rPr>
                <w:color w:val="000000"/>
              </w:rPr>
              <w:t xml:space="preserve">By:  </w:t>
            </w:r>
          </w:p>
        </w:tc>
        <w:tc>
          <w:tcPr>
            <w:tcW w:w="2985" w:type="dxa"/>
            <w:tcBorders>
              <w:bottom w:val="single" w:sz="12" w:space="0" w:color="000000"/>
            </w:tcBorders>
            <w:tcMar>
              <w:bottom w:w="28" w:type="dxa"/>
            </w:tcMar>
            <w:vAlign w:val="center"/>
          </w:tcPr>
          <w:p>
            <w:pPr>
              <w:pStyle w:val="TableContents"/>
              <w:bidi w:val="0"/>
              <w:spacing w:before="0" w:after="283"/>
              <w:jc w:val="both"/>
              <w:rPr/>
            </w:pPr>
            <w:r>
              <w:rPr/>
              <w:t>/s/ Emer Lyons</w:t>
            </w:r>
          </w:p>
        </w:tc>
        <w:tc>
          <w:tcPr>
            <w:tcW w:w="153" w:type="dxa"/>
            <w:tcBorders/>
            <w:vAlign w:val="center"/>
          </w:tcPr>
          <w:p>
            <w:pPr>
              <w:pStyle w:val="TableContents"/>
              <w:bidi w:val="0"/>
              <w:spacing w:before="0" w:after="283"/>
              <w:jc w:val="both"/>
              <w:rPr/>
            </w:pPr>
            <w:r>
              <w:rPr/>
              <w:t> </w:t>
            </w:r>
          </w:p>
        </w:tc>
      </w:tr>
    </w:tbl>
    <w:tbl>
      <w:tblPr>
        <w:tblW w:w="2050" w:type="dxa"/>
        <w:jc w:val="left"/>
        <w:tblInd w:w="0" w:type="dxa"/>
        <w:tblLayout w:type="fixed"/>
        <w:tblCellMar>
          <w:top w:w="0" w:type="dxa"/>
          <w:left w:w="0" w:type="dxa"/>
          <w:bottom w:w="0" w:type="dxa"/>
          <w:right w:w="0" w:type="dxa"/>
        </w:tblCellMar>
      </w:tblPr>
      <w:tblGrid>
        <w:gridCol w:w="75"/>
        <w:gridCol w:w="770"/>
        <w:gridCol w:w="1205"/>
      </w:tblGrid>
      <w:tr>
        <w:trPr/>
        <w:tc>
          <w:tcPr>
            <w:tcW w:w="75" w:type="dxa"/>
            <w:tcBorders/>
            <w:vAlign w:val="center"/>
          </w:tcPr>
          <w:p>
            <w:pPr>
              <w:pStyle w:val="TableContents"/>
              <w:bidi w:val="0"/>
              <w:spacing w:before="0" w:after="283"/>
              <w:jc w:val="both"/>
              <w:rPr/>
            </w:pPr>
            <w:r>
              <w:rPr/>
              <w:t> </w:t>
            </w:r>
          </w:p>
        </w:tc>
        <w:tc>
          <w:tcPr>
            <w:tcW w:w="770" w:type="dxa"/>
            <w:tcBorders/>
            <w:vAlign w:val="center"/>
          </w:tcPr>
          <w:p>
            <w:pPr>
              <w:pStyle w:val="TableContents"/>
              <w:bidi w:val="0"/>
              <w:spacing w:before="0" w:after="0"/>
              <w:jc w:val="both"/>
              <w:rPr>
                <w:color w:val="000000"/>
              </w:rPr>
            </w:pPr>
            <w:r>
              <w:rPr>
                <w:color w:val="000000"/>
              </w:rPr>
              <w:t xml:space="preserve">Name:  </w:t>
            </w:r>
          </w:p>
        </w:tc>
        <w:tc>
          <w:tcPr>
            <w:tcW w:w="1205" w:type="dxa"/>
            <w:tcBorders/>
            <w:vAlign w:val="center"/>
          </w:tcPr>
          <w:p>
            <w:pPr>
              <w:pStyle w:val="TableContents"/>
              <w:bidi w:val="0"/>
              <w:spacing w:before="0" w:after="283"/>
              <w:jc w:val="both"/>
              <w:rPr/>
            </w:pPr>
            <w:r>
              <w:rPr/>
              <w:t>Emer Lyons</w:t>
            </w:r>
          </w:p>
        </w:tc>
      </w:tr>
      <w:tr>
        <w:trPr/>
        <w:tc>
          <w:tcPr>
            <w:tcW w:w="75" w:type="dxa"/>
            <w:tcBorders/>
            <w:vAlign w:val="center"/>
          </w:tcPr>
          <w:p>
            <w:pPr>
              <w:pStyle w:val="TableContents"/>
              <w:bidi w:val="0"/>
              <w:spacing w:before="0" w:after="283"/>
              <w:jc w:val="both"/>
              <w:rPr/>
            </w:pPr>
            <w:r>
              <w:rPr/>
              <w:t> </w:t>
            </w:r>
          </w:p>
        </w:tc>
        <w:tc>
          <w:tcPr>
            <w:tcW w:w="770" w:type="dxa"/>
            <w:tcBorders/>
            <w:vAlign w:val="center"/>
          </w:tcPr>
          <w:p>
            <w:pPr>
              <w:pStyle w:val="TableContents"/>
              <w:bidi w:val="0"/>
              <w:spacing w:before="0" w:after="0"/>
              <w:jc w:val="both"/>
              <w:rPr>
                <w:color w:val="000000"/>
              </w:rPr>
            </w:pPr>
            <w:r>
              <w:rPr>
                <w:color w:val="000000"/>
              </w:rPr>
              <w:t xml:space="preserve">Title:  </w:t>
            </w:r>
          </w:p>
        </w:tc>
        <w:tc>
          <w:tcPr>
            <w:tcW w:w="1205" w:type="dxa"/>
            <w:tcBorders/>
            <w:vAlign w:val="center"/>
          </w:tcPr>
          <w:p>
            <w:pPr>
              <w:pStyle w:val="TableContents"/>
              <w:bidi w:val="0"/>
              <w:spacing w:before="0" w:after="283"/>
              <w:jc w:val="both"/>
              <w:rPr/>
            </w:pPr>
            <w:r>
              <w:rPr/>
              <w:t>Attorney</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[Signature Page to Base Indenture]</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5" w:name="zd32c976303bb499bbaf2f604d5b36ba8"/>
      <w:bookmarkStart w:id="56" w:name="zd32c976303bb499bbaf2f604d5b36ba8"/>
      <w:bookmarkEnd w:id="56"/>
    </w:p>
    <w:tbl>
      <w:tblPr>
        <w:tblW w:w="1968" w:type="dxa"/>
        <w:jc w:val="left"/>
        <w:tblInd w:w="0" w:type="dxa"/>
        <w:tblLayout w:type="fixed"/>
        <w:tblCellMar>
          <w:top w:w="0" w:type="dxa"/>
          <w:left w:w="0" w:type="dxa"/>
          <w:bottom w:w="0" w:type="dxa"/>
          <w:right w:w="0" w:type="dxa"/>
        </w:tblCellMar>
      </w:tblPr>
      <w:tblGrid>
        <w:gridCol w:w="60"/>
        <w:gridCol w:w="459"/>
        <w:gridCol w:w="1385"/>
        <w:gridCol w:w="64"/>
      </w:tblGrid>
      <w:tr>
        <w:trPr/>
        <w:tc>
          <w:tcPr>
            <w:tcW w:w="60" w:type="dxa"/>
            <w:tcBorders/>
            <w:vAlign w:val="center"/>
          </w:tcPr>
          <w:p>
            <w:pPr>
              <w:pStyle w:val="TableContents"/>
              <w:bidi w:val="0"/>
              <w:spacing w:before="0" w:after="283"/>
              <w:jc w:val="both"/>
              <w:rPr/>
            </w:pPr>
            <w:r>
              <w:rPr/>
              <w:t> </w:t>
            </w:r>
          </w:p>
        </w:tc>
        <w:tc>
          <w:tcPr>
            <w:tcW w:w="1908" w:type="dxa"/>
            <w:gridSpan w:val="3"/>
            <w:tcBorders/>
            <w:vAlign w:val="center"/>
          </w:tcPr>
          <w:p>
            <w:pPr>
              <w:pStyle w:val="TableContents"/>
              <w:bidi w:val="0"/>
              <w:spacing w:before="0" w:after="0"/>
              <w:jc w:val="both"/>
              <w:rPr>
                <w:b/>
                <w:color w:val="333333"/>
              </w:rPr>
            </w:pPr>
            <w:r>
              <w:rPr>
                <w:b/>
                <w:color w:val="333333"/>
              </w:rPr>
              <w:t>CITIBANK, N.A.,</w:t>
            </w:r>
          </w:p>
        </w:tc>
      </w:tr>
      <w:tr>
        <w:trPr/>
        <w:tc>
          <w:tcPr>
            <w:tcW w:w="60" w:type="dxa"/>
            <w:tcBorders/>
            <w:vAlign w:val="center"/>
          </w:tcPr>
          <w:p>
            <w:pPr>
              <w:pStyle w:val="TableContents"/>
              <w:bidi w:val="0"/>
              <w:spacing w:before="0" w:after="283"/>
              <w:jc w:val="both"/>
              <w:rPr/>
            </w:pPr>
            <w:r>
              <w:rPr/>
              <w:t> </w:t>
            </w:r>
          </w:p>
        </w:tc>
        <w:tc>
          <w:tcPr>
            <w:tcW w:w="1908" w:type="dxa"/>
            <w:gridSpan w:val="3"/>
            <w:tcBorders/>
            <w:vAlign w:val="center"/>
          </w:tcPr>
          <w:p>
            <w:pPr>
              <w:pStyle w:val="TableContents"/>
              <w:bidi w:val="0"/>
              <w:spacing w:before="0" w:after="0"/>
              <w:jc w:val="both"/>
              <w:rPr>
                <w:color w:val="333333"/>
              </w:rPr>
            </w:pPr>
            <w:r>
              <w:rPr>
                <w:color w:val="333333"/>
              </w:rPr>
              <w:t>as Trustee</w:t>
            </w:r>
          </w:p>
        </w:tc>
      </w:tr>
      <w:tr>
        <w:trPr/>
        <w:tc>
          <w:tcPr>
            <w:tcW w:w="60" w:type="dxa"/>
            <w:tcBorders/>
            <w:vAlign w:val="center"/>
          </w:tcPr>
          <w:p>
            <w:pPr>
              <w:pStyle w:val="TableContents"/>
              <w:bidi w:val="0"/>
              <w:spacing w:before="0" w:after="283"/>
              <w:jc w:val="both"/>
              <w:rPr/>
            </w:pPr>
            <w:r>
              <w:rPr/>
              <w:t> </w:t>
            </w:r>
          </w:p>
        </w:tc>
        <w:tc>
          <w:tcPr>
            <w:tcW w:w="1908" w:type="dxa"/>
            <w:gridSpan w:val="3"/>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59" w:type="dxa"/>
            <w:tcBorders/>
            <w:vAlign w:val="center"/>
          </w:tcPr>
          <w:p>
            <w:pPr>
              <w:pStyle w:val="TableContents"/>
              <w:bidi w:val="0"/>
              <w:spacing w:before="0" w:after="0"/>
              <w:jc w:val="both"/>
              <w:rPr>
                <w:color w:val="000000"/>
              </w:rPr>
            </w:pPr>
            <w:r>
              <w:rPr>
                <w:color w:val="000000"/>
              </w:rPr>
              <w:t xml:space="preserve">By: </w:t>
            </w:r>
          </w:p>
        </w:tc>
        <w:tc>
          <w:tcPr>
            <w:tcW w:w="1385" w:type="dxa"/>
            <w:tcBorders>
              <w:bottom w:val="single" w:sz="12" w:space="0" w:color="000000"/>
            </w:tcBorders>
            <w:tcMar>
              <w:bottom w:w="28" w:type="dxa"/>
            </w:tcMar>
            <w:vAlign w:val="center"/>
          </w:tcPr>
          <w:p>
            <w:pPr>
              <w:pStyle w:val="TableContents"/>
              <w:bidi w:val="0"/>
              <w:spacing w:before="0" w:after="0"/>
              <w:jc w:val="left"/>
              <w:rPr/>
            </w:pPr>
            <w:r>
              <w:rPr/>
              <w:t>/s/ Eva Waite</w:t>
            </w:r>
          </w:p>
        </w:tc>
        <w:tc>
          <w:tcPr>
            <w:tcW w:w="64" w:type="dxa"/>
            <w:tcBorders/>
            <w:vAlign w:val="center"/>
          </w:tcPr>
          <w:p>
            <w:pPr>
              <w:pStyle w:val="TableContents"/>
              <w:bidi w:val="0"/>
              <w:spacing w:before="0" w:after="283"/>
              <w:jc w:val="both"/>
              <w:rPr/>
            </w:pPr>
            <w:r>
              <w:rPr/>
              <w:t> </w:t>
            </w:r>
          </w:p>
        </w:tc>
      </w:tr>
    </w:tbl>
    <w:tbl>
      <w:tblPr>
        <w:tblW w:w="2540" w:type="dxa"/>
        <w:jc w:val="left"/>
        <w:tblInd w:w="0" w:type="dxa"/>
        <w:tblLayout w:type="fixed"/>
        <w:tblCellMar>
          <w:top w:w="0" w:type="dxa"/>
          <w:left w:w="0" w:type="dxa"/>
          <w:bottom w:w="0" w:type="dxa"/>
          <w:right w:w="0" w:type="dxa"/>
        </w:tblCellMar>
      </w:tblPr>
      <w:tblGrid>
        <w:gridCol w:w="60"/>
        <w:gridCol w:w="2480"/>
      </w:tblGrid>
      <w:tr>
        <w:trPr/>
        <w:tc>
          <w:tcPr>
            <w:tcW w:w="60" w:type="dxa"/>
            <w:tcBorders/>
            <w:vAlign w:val="center"/>
          </w:tcPr>
          <w:p>
            <w:pPr>
              <w:pStyle w:val="TableContents"/>
              <w:bidi w:val="0"/>
              <w:spacing w:before="0" w:after="283"/>
              <w:jc w:val="both"/>
              <w:rPr/>
            </w:pPr>
            <w:r>
              <w:rPr/>
              <w:t> </w:t>
            </w:r>
          </w:p>
        </w:tc>
        <w:tc>
          <w:tcPr>
            <w:tcW w:w="2480" w:type="dxa"/>
            <w:tcBorders/>
            <w:vAlign w:val="center"/>
          </w:tcPr>
          <w:p>
            <w:pPr>
              <w:pStyle w:val="TableContents"/>
              <w:bidi w:val="0"/>
              <w:spacing w:before="0" w:after="0"/>
              <w:jc w:val="both"/>
              <w:rPr>
                <w:color w:val="000000"/>
              </w:rPr>
            </w:pPr>
            <w:r>
              <w:rPr>
                <w:color w:val="000000"/>
              </w:rPr>
              <w:t>Name: Eva Waite</w:t>
            </w:r>
          </w:p>
        </w:tc>
      </w:tr>
      <w:tr>
        <w:trPr/>
        <w:tc>
          <w:tcPr>
            <w:tcW w:w="60" w:type="dxa"/>
            <w:tcBorders/>
            <w:vAlign w:val="center"/>
          </w:tcPr>
          <w:p>
            <w:pPr>
              <w:pStyle w:val="TableContents"/>
              <w:bidi w:val="0"/>
              <w:spacing w:before="0" w:after="283"/>
              <w:jc w:val="both"/>
              <w:rPr/>
            </w:pPr>
            <w:r>
              <w:rPr/>
              <w:t> </w:t>
            </w:r>
          </w:p>
        </w:tc>
        <w:tc>
          <w:tcPr>
            <w:tcW w:w="2480" w:type="dxa"/>
            <w:tcBorders/>
            <w:vAlign w:val="center"/>
          </w:tcPr>
          <w:p>
            <w:pPr>
              <w:pStyle w:val="TableContents"/>
              <w:bidi w:val="0"/>
              <w:spacing w:before="0" w:after="0"/>
              <w:jc w:val="both"/>
              <w:rPr>
                <w:color w:val="000000"/>
              </w:rPr>
            </w:pPr>
            <w:r>
              <w:rPr>
                <w:color w:val="000000"/>
              </w:rPr>
              <w:t>Title: Senior Trust Officer</w:t>
            </w:r>
          </w:p>
        </w:tc>
      </w:tr>
    </w:tbl>
    <w:p>
      <w:pPr>
        <w:pStyle w:val="TextBody"/>
        <w:bidi w:val="0"/>
        <w:spacing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[Signature Page to Base Indenture]</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57" w:name="ef20080314_ex4-2.htm"/>
      <w:bookmarkStart w:id="58" w:name="ksef20080314_ex42"/>
      <w:bookmarkStart w:id="59" w:name="ef20080314_ex4-2.htm"/>
      <w:bookmarkStart w:id="60" w:name="ksef20080314_ex42"/>
      <w:bookmarkEnd w:id="59"/>
      <w:bookmarkEnd w:id="60"/>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4.2</w:t>
      </w:r>
    </w:p>
    <w:p>
      <w:pPr>
        <w:pStyle w:val="TextBody"/>
        <w:bidi w:val="0"/>
        <w:spacing w:before="0" w:after="0"/>
        <w:jc w:val="right"/>
        <w:rPr/>
      </w:pPr>
      <w:r>
        <w:rPr/>
      </w:r>
    </w:p>
    <w:p>
      <w:pPr>
        <w:pStyle w:val="TextBody"/>
        <w:bidi w:val="0"/>
        <w:spacing w:before="0" w:after="0"/>
        <w:jc w:val="right"/>
        <w:rPr>
          <w:rFonts w:ascii="Times New Roman" w:hAnsi="Times New Roman"/>
          <w:b/>
          <w:i/>
          <w:color w:val="000000"/>
          <w:sz w:val="20"/>
        </w:rPr>
      </w:pPr>
      <w:r>
        <w:rPr>
          <w:rFonts w:ascii="Times New Roman" w:hAnsi="Times New Roman"/>
          <w:b/>
          <w:i/>
          <w:color w:val="000000"/>
          <w:sz w:val="20"/>
        </w:rPr>
        <w:t>Execution Version</w:t>
      </w:r>
    </w:p>
    <w:p>
      <w:pPr>
        <w:pStyle w:val="TextBody"/>
        <w:bidi w:val="0"/>
        <w:spacing w:before="0" w:after="0"/>
        <w:jc w:val="righ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ICON INVESTMENTS SIX DESIGNATED ACTIVITY COMPANY,</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ICON PLC,</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and</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CITIBANK, N.A., as Trustee,</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FIRST SUPPLEMENTAL INDENTURE</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Dated as of August 13, 2026</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to</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INDENTURE</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Dated as of August 13, 2026</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5.064% NOTES DUE 2029</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5.421% NOTES DUE 2031</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5.995% NOTES DUE 2036</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1" w:name="zae45cac8209d45ed813d51651c7972c8"/>
      <w:bookmarkStart w:id="62" w:name="zae45cac8209d45ed813d51651c7972c8"/>
      <w:bookmarkEnd w:id="62"/>
    </w:p>
    <w:tbl>
      <w:tblPr>
        <w:tblW w:w="7869" w:type="dxa"/>
        <w:jc w:val="left"/>
        <w:tblInd w:w="0" w:type="dxa"/>
        <w:tblLayout w:type="fixed"/>
        <w:tblCellMar>
          <w:top w:w="0" w:type="dxa"/>
          <w:left w:w="0" w:type="dxa"/>
          <w:bottom w:w="0" w:type="dxa"/>
          <w:right w:w="0" w:type="dxa"/>
        </w:tblCellMar>
      </w:tblPr>
      <w:tblGrid>
        <w:gridCol w:w="60"/>
        <w:gridCol w:w="1211"/>
        <w:gridCol w:w="6083"/>
        <w:gridCol w:w="515"/>
      </w:tblGrid>
      <w:tr>
        <w:trPr/>
        <w:tc>
          <w:tcPr>
            <w:tcW w:w="1271" w:type="dxa"/>
            <w:gridSpan w:val="2"/>
            <w:tcBorders/>
            <w:vAlign w:val="center"/>
          </w:tcPr>
          <w:p>
            <w:pPr>
              <w:pStyle w:val="TableContents"/>
              <w:bidi w:val="0"/>
              <w:spacing w:before="0" w:after="283"/>
              <w:jc w:val="left"/>
              <w:rPr/>
            </w:pPr>
            <w:r>
              <w:rPr/>
              <w:t> </w:t>
            </w:r>
          </w:p>
        </w:tc>
        <w:tc>
          <w:tcPr>
            <w:tcW w:w="6083"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right"/>
              <w:rPr>
                <w:b/>
                <w:color w:val="000000"/>
              </w:rPr>
            </w:pPr>
            <w:r>
              <w:rPr>
                <w:b/>
                <w:color w:val="000000"/>
              </w:rPr>
              <w:t>Page</w:t>
            </w:r>
          </w:p>
        </w:tc>
      </w:tr>
      <w:tr>
        <w:trPr/>
        <w:tc>
          <w:tcPr>
            <w:tcW w:w="1271" w:type="dxa"/>
            <w:gridSpan w:val="2"/>
            <w:tcBorders/>
            <w:vAlign w:val="center"/>
          </w:tcPr>
          <w:p>
            <w:pPr>
              <w:pStyle w:val="TableContents"/>
              <w:bidi w:val="0"/>
              <w:spacing w:before="0" w:after="283"/>
              <w:jc w:val="left"/>
              <w:rPr/>
            </w:pPr>
            <w:r>
              <w:rPr/>
              <w:t> </w:t>
            </w:r>
          </w:p>
        </w:tc>
        <w:tc>
          <w:tcPr>
            <w:tcW w:w="6083"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7354" w:type="dxa"/>
            <w:gridSpan w:val="3"/>
            <w:tcBorders/>
            <w:shd w:fill="CCEEFF" w:val="clear"/>
            <w:vAlign w:val="center"/>
          </w:tcPr>
          <w:p>
            <w:pPr>
              <w:pStyle w:val="TableContents"/>
              <w:bidi w:val="0"/>
              <w:spacing w:before="0" w:after="0"/>
              <w:jc w:val="left"/>
              <w:rPr/>
            </w:pPr>
            <w:r>
              <w:rPr/>
              <w:t>ARTICLE 1 DEFINITIONS AND INCORPORATION BY REFERENCE</w:t>
            </w:r>
          </w:p>
        </w:tc>
        <w:tc>
          <w:tcPr>
            <w:tcW w:w="515" w:type="dxa"/>
            <w:tcBorders/>
            <w:shd w:fill="CCEEFF" w:val="clear"/>
            <w:vAlign w:val="center"/>
          </w:tcPr>
          <w:p>
            <w:pPr>
              <w:pStyle w:val="TableContents"/>
              <w:bidi w:val="0"/>
              <w:spacing w:before="0" w:after="0"/>
              <w:jc w:val="right"/>
              <w:rPr/>
            </w:pPr>
            <w:r>
              <w:rPr/>
              <w:t>1</w:t>
            </w:r>
          </w:p>
        </w:tc>
      </w:tr>
      <w:tr>
        <w:trPr/>
        <w:tc>
          <w:tcPr>
            <w:tcW w:w="7354" w:type="dxa"/>
            <w:gridSpan w:val="3"/>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r>
          </w:p>
        </w:tc>
        <w:tc>
          <w:tcPr>
            <w:tcW w:w="1211" w:type="dxa"/>
            <w:tcBorders/>
            <w:shd w:fill="CCEEFF" w:val="clear"/>
            <w:vAlign w:val="center"/>
          </w:tcPr>
          <w:p>
            <w:pPr>
              <w:pStyle w:val="TableContents"/>
              <w:bidi w:val="0"/>
              <w:spacing w:before="0" w:after="0"/>
              <w:jc w:val="left"/>
              <w:rPr/>
            </w:pPr>
            <w:r>
              <w:rPr/>
              <w:t>Section 1.01</w:t>
            </w:r>
          </w:p>
        </w:tc>
        <w:tc>
          <w:tcPr>
            <w:tcW w:w="6083" w:type="dxa"/>
            <w:tcBorders/>
            <w:shd w:fill="CCEEFF" w:val="clear"/>
            <w:vAlign w:val="center"/>
          </w:tcPr>
          <w:p>
            <w:pPr>
              <w:pStyle w:val="TableContents"/>
              <w:bidi w:val="0"/>
              <w:spacing w:before="0" w:after="0"/>
              <w:jc w:val="left"/>
              <w:rPr/>
            </w:pPr>
            <w:r>
              <w:rPr/>
              <w:t>Definitions</w:t>
            </w:r>
          </w:p>
        </w:tc>
        <w:tc>
          <w:tcPr>
            <w:tcW w:w="515" w:type="dxa"/>
            <w:tcBorders/>
            <w:shd w:fill="CCEEFF" w:val="clear"/>
            <w:vAlign w:val="center"/>
          </w:tcPr>
          <w:p>
            <w:pPr>
              <w:pStyle w:val="TableContents"/>
              <w:bidi w:val="0"/>
              <w:spacing w:before="0" w:after="0"/>
              <w:jc w:val="right"/>
              <w:rPr/>
            </w:pPr>
            <w:r>
              <w:rPr/>
              <w:t>1</w:t>
            </w:r>
          </w:p>
        </w:tc>
      </w:tr>
      <w:tr>
        <w:trPr/>
        <w:tc>
          <w:tcPr>
            <w:tcW w:w="60" w:type="dxa"/>
            <w:tcBorders/>
            <w:vAlign w:val="center"/>
          </w:tcPr>
          <w:p>
            <w:pPr>
              <w:pStyle w:val="TableContents"/>
              <w:bidi w:val="0"/>
              <w:spacing w:before="0" w:after="283"/>
              <w:jc w:val="left"/>
              <w:rPr/>
            </w:pPr>
            <w:r>
              <w:rPr/>
            </w:r>
          </w:p>
        </w:tc>
        <w:tc>
          <w:tcPr>
            <w:tcW w:w="1211" w:type="dxa"/>
            <w:tcBorders/>
            <w:vAlign w:val="center"/>
          </w:tcPr>
          <w:p>
            <w:pPr>
              <w:pStyle w:val="TableContents"/>
              <w:bidi w:val="0"/>
              <w:spacing w:before="0" w:after="0"/>
              <w:jc w:val="left"/>
              <w:rPr/>
            </w:pPr>
            <w:r>
              <w:rPr/>
              <w:t>Section 1.02</w:t>
            </w:r>
          </w:p>
        </w:tc>
        <w:tc>
          <w:tcPr>
            <w:tcW w:w="6083" w:type="dxa"/>
            <w:tcBorders/>
            <w:vAlign w:val="center"/>
          </w:tcPr>
          <w:p>
            <w:pPr>
              <w:pStyle w:val="TableContents"/>
              <w:bidi w:val="0"/>
              <w:spacing w:before="0" w:after="0"/>
              <w:jc w:val="left"/>
              <w:rPr/>
            </w:pPr>
            <w:r>
              <w:rPr/>
              <w:t>Other Definitions</w:t>
            </w:r>
          </w:p>
        </w:tc>
        <w:tc>
          <w:tcPr>
            <w:tcW w:w="515" w:type="dxa"/>
            <w:tcBorders/>
            <w:vAlign w:val="center"/>
          </w:tcPr>
          <w:p>
            <w:pPr>
              <w:pStyle w:val="TableContents"/>
              <w:bidi w:val="0"/>
              <w:spacing w:before="0" w:after="0"/>
              <w:jc w:val="right"/>
              <w:rPr/>
            </w:pPr>
            <w:r>
              <w:rPr/>
              <w:t>11</w:t>
            </w:r>
          </w:p>
        </w:tc>
      </w:tr>
      <w:tr>
        <w:trPr/>
        <w:tc>
          <w:tcPr>
            <w:tcW w:w="60" w:type="dxa"/>
            <w:tcBorders/>
            <w:shd w:fill="CCEEFF" w:val="clear"/>
            <w:vAlign w:val="center"/>
          </w:tcPr>
          <w:p>
            <w:pPr>
              <w:pStyle w:val="TableContents"/>
              <w:bidi w:val="0"/>
              <w:spacing w:before="0" w:after="283"/>
              <w:jc w:val="left"/>
              <w:rPr/>
            </w:pPr>
            <w:r>
              <w:rPr/>
            </w:r>
          </w:p>
        </w:tc>
        <w:tc>
          <w:tcPr>
            <w:tcW w:w="1211" w:type="dxa"/>
            <w:tcBorders/>
            <w:shd w:fill="CCEEFF" w:val="clear"/>
            <w:vAlign w:val="center"/>
          </w:tcPr>
          <w:p>
            <w:pPr>
              <w:pStyle w:val="TableContents"/>
              <w:bidi w:val="0"/>
              <w:spacing w:before="0" w:after="0"/>
              <w:jc w:val="left"/>
              <w:rPr/>
            </w:pPr>
            <w:r>
              <w:rPr/>
              <w:t>Section 1.03</w:t>
            </w:r>
          </w:p>
        </w:tc>
        <w:tc>
          <w:tcPr>
            <w:tcW w:w="6083" w:type="dxa"/>
            <w:tcBorders/>
            <w:shd w:fill="CCEEFF" w:val="clear"/>
            <w:vAlign w:val="center"/>
          </w:tcPr>
          <w:p>
            <w:pPr>
              <w:pStyle w:val="TableContents"/>
              <w:bidi w:val="0"/>
              <w:spacing w:before="0" w:after="0"/>
              <w:jc w:val="left"/>
              <w:rPr/>
            </w:pPr>
            <w:r>
              <w:rPr/>
              <w:t>Rules of Construction</w:t>
            </w:r>
          </w:p>
        </w:tc>
        <w:tc>
          <w:tcPr>
            <w:tcW w:w="515" w:type="dxa"/>
            <w:tcBorders/>
            <w:shd w:fill="CCEEFF" w:val="clear"/>
            <w:vAlign w:val="center"/>
          </w:tcPr>
          <w:p>
            <w:pPr>
              <w:pStyle w:val="TableContents"/>
              <w:bidi w:val="0"/>
              <w:spacing w:before="0" w:after="0"/>
              <w:jc w:val="right"/>
              <w:rPr/>
            </w:pPr>
            <w:r>
              <w:rPr/>
              <w:t>11</w:t>
            </w:r>
          </w:p>
        </w:tc>
      </w:tr>
      <w:tr>
        <w:trPr/>
        <w:tc>
          <w:tcPr>
            <w:tcW w:w="1271" w:type="dxa"/>
            <w:gridSpan w:val="2"/>
            <w:tcBorders/>
            <w:vAlign w:val="center"/>
          </w:tcPr>
          <w:p>
            <w:pPr>
              <w:pStyle w:val="TableContents"/>
              <w:bidi w:val="0"/>
              <w:spacing w:before="0" w:after="283"/>
              <w:jc w:val="left"/>
              <w:rPr/>
            </w:pPr>
            <w:r>
              <w:rPr/>
              <w:t> </w:t>
            </w:r>
          </w:p>
        </w:tc>
        <w:tc>
          <w:tcPr>
            <w:tcW w:w="6083"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7354" w:type="dxa"/>
            <w:gridSpan w:val="3"/>
            <w:tcBorders/>
            <w:shd w:fill="CCEEFF" w:val="clear"/>
            <w:vAlign w:val="center"/>
          </w:tcPr>
          <w:p>
            <w:pPr>
              <w:pStyle w:val="TableContents"/>
              <w:bidi w:val="0"/>
              <w:spacing w:before="0" w:after="0"/>
              <w:jc w:val="left"/>
              <w:rPr/>
            </w:pPr>
            <w:r>
              <w:rPr/>
              <w:t>ARTICLE 2 THE NOTES</w:t>
            </w:r>
          </w:p>
        </w:tc>
        <w:tc>
          <w:tcPr>
            <w:tcW w:w="515" w:type="dxa"/>
            <w:tcBorders/>
            <w:shd w:fill="CCEEFF" w:val="clear"/>
            <w:vAlign w:val="center"/>
          </w:tcPr>
          <w:p>
            <w:pPr>
              <w:pStyle w:val="TableContents"/>
              <w:bidi w:val="0"/>
              <w:spacing w:before="0" w:after="0"/>
              <w:jc w:val="right"/>
              <w:rPr/>
            </w:pPr>
            <w:r>
              <w:rPr/>
              <w:t>12</w:t>
            </w:r>
          </w:p>
        </w:tc>
      </w:tr>
      <w:tr>
        <w:trPr/>
        <w:tc>
          <w:tcPr>
            <w:tcW w:w="1271" w:type="dxa"/>
            <w:gridSpan w:val="2"/>
            <w:tcBorders/>
            <w:vAlign w:val="center"/>
          </w:tcPr>
          <w:p>
            <w:pPr>
              <w:pStyle w:val="TableContents"/>
              <w:bidi w:val="0"/>
              <w:spacing w:before="0" w:after="283"/>
              <w:jc w:val="left"/>
              <w:rPr/>
            </w:pPr>
            <w:r>
              <w:rPr/>
              <w:t> </w:t>
            </w:r>
          </w:p>
        </w:tc>
        <w:tc>
          <w:tcPr>
            <w:tcW w:w="6083"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0"/>
              <w:jc w:val="left"/>
              <w:rPr/>
            </w:pPr>
            <w:r>
              <w:rPr/>
              <w:t>Section 2.01</w:t>
            </w:r>
          </w:p>
        </w:tc>
        <w:tc>
          <w:tcPr>
            <w:tcW w:w="6083" w:type="dxa"/>
            <w:tcBorders/>
            <w:shd w:fill="CCEEFF" w:val="clear"/>
            <w:vAlign w:val="center"/>
          </w:tcPr>
          <w:p>
            <w:pPr>
              <w:pStyle w:val="TableContents"/>
              <w:bidi w:val="0"/>
              <w:spacing w:before="0" w:after="0"/>
              <w:jc w:val="left"/>
              <w:rPr/>
            </w:pPr>
            <w:r>
              <w:rPr/>
              <w:t>Creation of Notes; Designations</w:t>
            </w:r>
          </w:p>
        </w:tc>
        <w:tc>
          <w:tcPr>
            <w:tcW w:w="515" w:type="dxa"/>
            <w:tcBorders/>
            <w:shd w:fill="CCEEFF" w:val="clear"/>
            <w:vAlign w:val="center"/>
          </w:tcPr>
          <w:p>
            <w:pPr>
              <w:pStyle w:val="TableContents"/>
              <w:bidi w:val="0"/>
              <w:spacing w:before="0" w:after="0"/>
              <w:jc w:val="right"/>
              <w:rPr/>
            </w:pPr>
            <w:r>
              <w:rPr/>
              <w:t>12</w:t>
            </w:r>
          </w:p>
        </w:tc>
      </w:tr>
      <w:tr>
        <w:trPr/>
        <w:tc>
          <w:tcPr>
            <w:tcW w:w="60"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0"/>
              <w:jc w:val="left"/>
              <w:rPr/>
            </w:pPr>
            <w:r>
              <w:rPr/>
              <w:t>Section 2.02</w:t>
            </w:r>
          </w:p>
        </w:tc>
        <w:tc>
          <w:tcPr>
            <w:tcW w:w="6083" w:type="dxa"/>
            <w:tcBorders/>
            <w:vAlign w:val="center"/>
          </w:tcPr>
          <w:p>
            <w:pPr>
              <w:pStyle w:val="TableContents"/>
              <w:bidi w:val="0"/>
              <w:spacing w:before="0" w:after="0"/>
              <w:jc w:val="left"/>
              <w:rPr/>
            </w:pPr>
            <w:r>
              <w:rPr/>
              <w:t>Forms Generally</w:t>
            </w:r>
          </w:p>
        </w:tc>
        <w:tc>
          <w:tcPr>
            <w:tcW w:w="515" w:type="dxa"/>
            <w:tcBorders/>
            <w:vAlign w:val="center"/>
          </w:tcPr>
          <w:p>
            <w:pPr>
              <w:pStyle w:val="TableContents"/>
              <w:bidi w:val="0"/>
              <w:spacing w:before="0" w:after="0"/>
              <w:jc w:val="right"/>
              <w:rPr/>
            </w:pPr>
            <w:r>
              <w:rPr/>
              <w:t>12</w:t>
            </w:r>
          </w:p>
        </w:tc>
      </w:tr>
      <w:tr>
        <w:trPr/>
        <w:tc>
          <w:tcPr>
            <w:tcW w:w="60"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0"/>
              <w:jc w:val="left"/>
              <w:rPr/>
            </w:pPr>
            <w:r>
              <w:rPr/>
              <w:t>Section 2.03</w:t>
            </w:r>
          </w:p>
        </w:tc>
        <w:tc>
          <w:tcPr>
            <w:tcW w:w="6083" w:type="dxa"/>
            <w:tcBorders/>
            <w:shd w:fill="CCEEFF" w:val="clear"/>
            <w:vAlign w:val="center"/>
          </w:tcPr>
          <w:p>
            <w:pPr>
              <w:pStyle w:val="TableContents"/>
              <w:bidi w:val="0"/>
              <w:spacing w:before="0" w:after="0"/>
              <w:jc w:val="left"/>
              <w:rPr/>
            </w:pPr>
            <w:r>
              <w:rPr/>
              <w:t>Title and Terms of Notes</w:t>
            </w:r>
          </w:p>
        </w:tc>
        <w:tc>
          <w:tcPr>
            <w:tcW w:w="515" w:type="dxa"/>
            <w:tcBorders/>
            <w:shd w:fill="CCEEFF" w:val="clear"/>
            <w:vAlign w:val="center"/>
          </w:tcPr>
          <w:p>
            <w:pPr>
              <w:pStyle w:val="TableContents"/>
              <w:bidi w:val="0"/>
              <w:spacing w:before="0" w:after="0"/>
              <w:jc w:val="right"/>
              <w:rPr/>
            </w:pPr>
            <w:r>
              <w:rPr/>
              <w:t>13</w:t>
            </w:r>
          </w:p>
        </w:tc>
      </w:tr>
      <w:tr>
        <w:trPr/>
        <w:tc>
          <w:tcPr>
            <w:tcW w:w="60"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0"/>
              <w:jc w:val="left"/>
              <w:rPr/>
            </w:pPr>
            <w:r>
              <w:rPr/>
              <w:t>Section 2.04</w:t>
            </w:r>
          </w:p>
        </w:tc>
        <w:tc>
          <w:tcPr>
            <w:tcW w:w="6083" w:type="dxa"/>
            <w:tcBorders/>
            <w:vAlign w:val="center"/>
          </w:tcPr>
          <w:p>
            <w:pPr>
              <w:pStyle w:val="TableContents"/>
              <w:bidi w:val="0"/>
              <w:spacing w:before="0" w:after="0"/>
              <w:jc w:val="left"/>
              <w:rPr/>
            </w:pPr>
            <w:r>
              <w:rPr/>
              <w:t>Transfer and Exchange</w:t>
            </w:r>
          </w:p>
        </w:tc>
        <w:tc>
          <w:tcPr>
            <w:tcW w:w="515" w:type="dxa"/>
            <w:tcBorders/>
            <w:vAlign w:val="center"/>
          </w:tcPr>
          <w:p>
            <w:pPr>
              <w:pStyle w:val="TableContents"/>
              <w:bidi w:val="0"/>
              <w:spacing w:before="0" w:after="0"/>
              <w:jc w:val="right"/>
              <w:rPr/>
            </w:pPr>
            <w:r>
              <w:rPr/>
              <w:t>13</w:t>
            </w:r>
          </w:p>
        </w:tc>
      </w:tr>
      <w:tr>
        <w:trPr/>
        <w:tc>
          <w:tcPr>
            <w:tcW w:w="7354" w:type="dxa"/>
            <w:gridSpan w:val="3"/>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r>
      <w:tr>
        <w:trPr/>
        <w:tc>
          <w:tcPr>
            <w:tcW w:w="7354" w:type="dxa"/>
            <w:gridSpan w:val="3"/>
            <w:tcBorders/>
            <w:vAlign w:val="center"/>
          </w:tcPr>
          <w:p>
            <w:pPr>
              <w:pStyle w:val="TableContents"/>
              <w:bidi w:val="0"/>
              <w:spacing w:before="0" w:after="0"/>
              <w:jc w:val="left"/>
              <w:rPr/>
            </w:pPr>
            <w:r>
              <w:rPr/>
              <w:t>ARTICLE 3 REDEMPTION AND PREPAYMENT</w:t>
            </w:r>
          </w:p>
        </w:tc>
        <w:tc>
          <w:tcPr>
            <w:tcW w:w="515" w:type="dxa"/>
            <w:tcBorders/>
            <w:vAlign w:val="center"/>
          </w:tcPr>
          <w:p>
            <w:pPr>
              <w:pStyle w:val="TableContents"/>
              <w:bidi w:val="0"/>
              <w:spacing w:before="0" w:after="0"/>
              <w:jc w:val="right"/>
              <w:rPr/>
            </w:pPr>
            <w:r>
              <w:rPr/>
              <w:t>24</w:t>
            </w:r>
          </w:p>
        </w:tc>
      </w:tr>
      <w:tr>
        <w:trPr/>
        <w:tc>
          <w:tcPr>
            <w:tcW w:w="7354" w:type="dxa"/>
            <w:gridSpan w:val="3"/>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0"/>
              <w:jc w:val="left"/>
              <w:rPr/>
            </w:pPr>
            <w:r>
              <w:rPr/>
              <w:t>Section 3.01</w:t>
            </w:r>
          </w:p>
        </w:tc>
        <w:tc>
          <w:tcPr>
            <w:tcW w:w="6083" w:type="dxa"/>
            <w:tcBorders/>
            <w:vAlign w:val="center"/>
          </w:tcPr>
          <w:p>
            <w:pPr>
              <w:pStyle w:val="TableContents"/>
              <w:bidi w:val="0"/>
              <w:spacing w:before="0" w:after="0"/>
              <w:jc w:val="left"/>
              <w:rPr/>
            </w:pPr>
            <w:r>
              <w:rPr/>
              <w:t>Optional Redemption</w:t>
            </w:r>
          </w:p>
        </w:tc>
        <w:tc>
          <w:tcPr>
            <w:tcW w:w="515" w:type="dxa"/>
            <w:tcBorders/>
            <w:vAlign w:val="center"/>
          </w:tcPr>
          <w:p>
            <w:pPr>
              <w:pStyle w:val="TableContents"/>
              <w:bidi w:val="0"/>
              <w:spacing w:before="0" w:after="0"/>
              <w:jc w:val="right"/>
              <w:rPr/>
            </w:pPr>
            <w:r>
              <w:rPr/>
              <w:t>24</w:t>
            </w:r>
          </w:p>
        </w:tc>
      </w:tr>
      <w:tr>
        <w:trPr/>
        <w:tc>
          <w:tcPr>
            <w:tcW w:w="60"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0"/>
              <w:jc w:val="left"/>
              <w:rPr/>
            </w:pPr>
            <w:r>
              <w:rPr/>
              <w:t>Section 3.02</w:t>
            </w:r>
          </w:p>
        </w:tc>
        <w:tc>
          <w:tcPr>
            <w:tcW w:w="6083" w:type="dxa"/>
            <w:tcBorders/>
            <w:shd w:fill="CCEEFF" w:val="clear"/>
            <w:vAlign w:val="center"/>
          </w:tcPr>
          <w:p>
            <w:pPr>
              <w:pStyle w:val="TableContents"/>
              <w:bidi w:val="0"/>
              <w:spacing w:before="0" w:after="0"/>
              <w:jc w:val="left"/>
              <w:rPr/>
            </w:pPr>
            <w:r>
              <w:rPr/>
              <w:t>Mandatory Redemption</w:t>
            </w:r>
          </w:p>
        </w:tc>
        <w:tc>
          <w:tcPr>
            <w:tcW w:w="515" w:type="dxa"/>
            <w:tcBorders/>
            <w:shd w:fill="CCEEFF" w:val="clear"/>
            <w:vAlign w:val="center"/>
          </w:tcPr>
          <w:p>
            <w:pPr>
              <w:pStyle w:val="TableContents"/>
              <w:bidi w:val="0"/>
              <w:spacing w:before="0" w:after="0"/>
              <w:jc w:val="right"/>
              <w:rPr/>
            </w:pPr>
            <w:r>
              <w:rPr/>
              <w:t>25</w:t>
            </w:r>
          </w:p>
        </w:tc>
      </w:tr>
      <w:tr>
        <w:trPr/>
        <w:tc>
          <w:tcPr>
            <w:tcW w:w="60"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0"/>
              <w:jc w:val="left"/>
              <w:rPr/>
            </w:pPr>
            <w:r>
              <w:rPr/>
              <w:t>Section 3.03</w:t>
            </w:r>
          </w:p>
        </w:tc>
        <w:tc>
          <w:tcPr>
            <w:tcW w:w="6083" w:type="dxa"/>
            <w:tcBorders/>
            <w:vAlign w:val="center"/>
          </w:tcPr>
          <w:p>
            <w:pPr>
              <w:pStyle w:val="TableContents"/>
              <w:bidi w:val="0"/>
              <w:spacing w:before="0" w:after="0"/>
              <w:jc w:val="left"/>
              <w:rPr/>
            </w:pPr>
            <w:r>
              <w:rPr/>
              <w:t>Optional Redemption for Changes in Taxes</w:t>
            </w:r>
          </w:p>
        </w:tc>
        <w:tc>
          <w:tcPr>
            <w:tcW w:w="515" w:type="dxa"/>
            <w:tcBorders/>
            <w:vAlign w:val="center"/>
          </w:tcPr>
          <w:p>
            <w:pPr>
              <w:pStyle w:val="TableContents"/>
              <w:bidi w:val="0"/>
              <w:spacing w:before="0" w:after="0"/>
              <w:jc w:val="right"/>
              <w:rPr/>
            </w:pPr>
            <w:r>
              <w:rPr/>
              <w:t>26</w:t>
            </w:r>
          </w:p>
        </w:tc>
      </w:tr>
      <w:tr>
        <w:trPr/>
        <w:tc>
          <w:tcPr>
            <w:tcW w:w="60"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0"/>
              <w:jc w:val="left"/>
              <w:rPr/>
            </w:pPr>
            <w:r>
              <w:rPr/>
              <w:t>Section 3.04</w:t>
            </w:r>
          </w:p>
        </w:tc>
        <w:tc>
          <w:tcPr>
            <w:tcW w:w="6083" w:type="dxa"/>
            <w:tcBorders/>
            <w:shd w:fill="CCEEFF" w:val="clear"/>
            <w:vAlign w:val="center"/>
          </w:tcPr>
          <w:p>
            <w:pPr>
              <w:pStyle w:val="TableContents"/>
              <w:bidi w:val="0"/>
              <w:spacing w:before="0" w:after="0"/>
              <w:jc w:val="left"/>
              <w:rPr/>
            </w:pPr>
            <w:r>
              <w:rPr/>
              <w:t>Optional Redemption Procedures</w:t>
            </w:r>
          </w:p>
        </w:tc>
        <w:tc>
          <w:tcPr>
            <w:tcW w:w="515" w:type="dxa"/>
            <w:tcBorders/>
            <w:shd w:fill="CCEEFF" w:val="clear"/>
            <w:vAlign w:val="center"/>
          </w:tcPr>
          <w:p>
            <w:pPr>
              <w:pStyle w:val="TableContents"/>
              <w:bidi w:val="0"/>
              <w:spacing w:before="0" w:after="0"/>
              <w:jc w:val="right"/>
              <w:rPr/>
            </w:pPr>
            <w:r>
              <w:rPr/>
              <w:t>26</w:t>
            </w:r>
          </w:p>
        </w:tc>
      </w:tr>
      <w:tr>
        <w:trPr/>
        <w:tc>
          <w:tcPr>
            <w:tcW w:w="60"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0"/>
              <w:jc w:val="left"/>
              <w:rPr/>
            </w:pPr>
            <w:r>
              <w:rPr/>
              <w:t>Section 3.05</w:t>
            </w:r>
          </w:p>
        </w:tc>
        <w:tc>
          <w:tcPr>
            <w:tcW w:w="6083" w:type="dxa"/>
            <w:tcBorders/>
            <w:vAlign w:val="center"/>
          </w:tcPr>
          <w:p>
            <w:pPr>
              <w:pStyle w:val="TableContents"/>
              <w:bidi w:val="0"/>
              <w:spacing w:before="0" w:after="0"/>
              <w:jc w:val="left"/>
              <w:rPr/>
            </w:pPr>
            <w:r>
              <w:rPr/>
              <w:t>Offer to Purchase</w:t>
            </w:r>
          </w:p>
        </w:tc>
        <w:tc>
          <w:tcPr>
            <w:tcW w:w="515" w:type="dxa"/>
            <w:tcBorders/>
            <w:vAlign w:val="center"/>
          </w:tcPr>
          <w:p>
            <w:pPr>
              <w:pStyle w:val="TableContents"/>
              <w:bidi w:val="0"/>
              <w:spacing w:before="0" w:after="0"/>
              <w:jc w:val="right"/>
              <w:rPr/>
            </w:pPr>
            <w:r>
              <w:rPr/>
              <w:t>26</w:t>
            </w:r>
          </w:p>
        </w:tc>
      </w:tr>
      <w:tr>
        <w:trPr/>
        <w:tc>
          <w:tcPr>
            <w:tcW w:w="7354" w:type="dxa"/>
            <w:gridSpan w:val="3"/>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r>
      <w:tr>
        <w:trPr/>
        <w:tc>
          <w:tcPr>
            <w:tcW w:w="7354" w:type="dxa"/>
            <w:gridSpan w:val="3"/>
            <w:tcBorders/>
            <w:vAlign w:val="center"/>
          </w:tcPr>
          <w:p>
            <w:pPr>
              <w:pStyle w:val="TableContents"/>
              <w:bidi w:val="0"/>
              <w:spacing w:before="0" w:after="0"/>
              <w:jc w:val="left"/>
              <w:rPr/>
            </w:pPr>
            <w:r>
              <w:rPr/>
              <w:t>ARTICLE 4 CERTAIN COVENANTS</w:t>
            </w:r>
          </w:p>
        </w:tc>
        <w:tc>
          <w:tcPr>
            <w:tcW w:w="515" w:type="dxa"/>
            <w:tcBorders/>
            <w:vAlign w:val="center"/>
          </w:tcPr>
          <w:p>
            <w:pPr>
              <w:pStyle w:val="TableContents"/>
              <w:bidi w:val="0"/>
              <w:spacing w:before="0" w:after="0"/>
              <w:jc w:val="right"/>
              <w:rPr/>
            </w:pPr>
            <w:r>
              <w:rPr/>
              <w:t>28</w:t>
            </w:r>
          </w:p>
        </w:tc>
      </w:tr>
      <w:tr>
        <w:trPr/>
        <w:tc>
          <w:tcPr>
            <w:tcW w:w="7354" w:type="dxa"/>
            <w:gridSpan w:val="3"/>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0"/>
              <w:jc w:val="left"/>
              <w:rPr/>
            </w:pPr>
            <w:r>
              <w:rPr/>
              <w:t>Section 4.01</w:t>
            </w:r>
          </w:p>
        </w:tc>
        <w:tc>
          <w:tcPr>
            <w:tcW w:w="6083" w:type="dxa"/>
            <w:tcBorders/>
            <w:vAlign w:val="center"/>
          </w:tcPr>
          <w:p>
            <w:pPr>
              <w:pStyle w:val="TableContents"/>
              <w:bidi w:val="0"/>
              <w:spacing w:before="0" w:after="0"/>
              <w:jc w:val="left"/>
              <w:rPr/>
            </w:pPr>
            <w:r>
              <w:rPr/>
              <w:t>Liens</w:t>
            </w:r>
          </w:p>
        </w:tc>
        <w:tc>
          <w:tcPr>
            <w:tcW w:w="515" w:type="dxa"/>
            <w:tcBorders/>
            <w:vAlign w:val="center"/>
          </w:tcPr>
          <w:p>
            <w:pPr>
              <w:pStyle w:val="TableContents"/>
              <w:bidi w:val="0"/>
              <w:spacing w:before="0" w:after="0"/>
              <w:jc w:val="right"/>
              <w:rPr/>
            </w:pPr>
            <w:r>
              <w:rPr/>
              <w:t>28</w:t>
            </w:r>
          </w:p>
        </w:tc>
      </w:tr>
      <w:tr>
        <w:trPr/>
        <w:tc>
          <w:tcPr>
            <w:tcW w:w="60"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0"/>
              <w:jc w:val="left"/>
              <w:rPr/>
            </w:pPr>
            <w:r>
              <w:rPr/>
              <w:t>Section 4.02</w:t>
            </w:r>
          </w:p>
        </w:tc>
        <w:tc>
          <w:tcPr>
            <w:tcW w:w="6083" w:type="dxa"/>
            <w:tcBorders/>
            <w:shd w:fill="CCEEFF" w:val="clear"/>
            <w:vAlign w:val="center"/>
          </w:tcPr>
          <w:p>
            <w:pPr>
              <w:pStyle w:val="TableContents"/>
              <w:bidi w:val="0"/>
              <w:spacing w:before="0" w:after="0"/>
              <w:jc w:val="left"/>
              <w:rPr/>
            </w:pPr>
            <w:r>
              <w:rPr/>
              <w:t>Offer to Repurchase Upon Change of Control Triggering Event</w:t>
            </w:r>
          </w:p>
        </w:tc>
        <w:tc>
          <w:tcPr>
            <w:tcW w:w="515" w:type="dxa"/>
            <w:tcBorders/>
            <w:shd w:fill="CCEEFF" w:val="clear"/>
            <w:vAlign w:val="center"/>
          </w:tcPr>
          <w:p>
            <w:pPr>
              <w:pStyle w:val="TableContents"/>
              <w:bidi w:val="0"/>
              <w:spacing w:before="0" w:after="0"/>
              <w:jc w:val="right"/>
              <w:rPr/>
            </w:pPr>
            <w:r>
              <w:rPr/>
              <w:t>29</w:t>
            </w:r>
          </w:p>
        </w:tc>
      </w:tr>
      <w:tr>
        <w:trPr/>
        <w:tc>
          <w:tcPr>
            <w:tcW w:w="7354" w:type="dxa"/>
            <w:gridSpan w:val="3"/>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7354" w:type="dxa"/>
            <w:gridSpan w:val="3"/>
            <w:tcBorders/>
            <w:shd w:fill="CCEEFF" w:val="clear"/>
            <w:vAlign w:val="center"/>
          </w:tcPr>
          <w:p>
            <w:pPr>
              <w:pStyle w:val="TableContents"/>
              <w:bidi w:val="0"/>
              <w:spacing w:before="0" w:after="0"/>
              <w:jc w:val="left"/>
              <w:rPr/>
            </w:pPr>
            <w:r>
              <w:rPr/>
              <w:t>ARTICLE 5 DEFEASANCE</w:t>
            </w:r>
          </w:p>
        </w:tc>
        <w:tc>
          <w:tcPr>
            <w:tcW w:w="515" w:type="dxa"/>
            <w:tcBorders/>
            <w:shd w:fill="CCEEFF" w:val="clear"/>
            <w:vAlign w:val="center"/>
          </w:tcPr>
          <w:p>
            <w:pPr>
              <w:pStyle w:val="TableContents"/>
              <w:bidi w:val="0"/>
              <w:spacing w:before="0" w:after="0"/>
              <w:jc w:val="right"/>
              <w:rPr/>
            </w:pPr>
            <w:r>
              <w:rPr/>
              <w:t>29</w:t>
            </w:r>
          </w:p>
        </w:tc>
      </w:tr>
      <w:tr>
        <w:trPr/>
        <w:tc>
          <w:tcPr>
            <w:tcW w:w="7354" w:type="dxa"/>
            <w:gridSpan w:val="3"/>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0"/>
              <w:jc w:val="left"/>
              <w:rPr/>
            </w:pPr>
            <w:r>
              <w:rPr/>
              <w:t>Section 5.01</w:t>
            </w:r>
          </w:p>
        </w:tc>
        <w:tc>
          <w:tcPr>
            <w:tcW w:w="6083" w:type="dxa"/>
            <w:tcBorders/>
            <w:shd w:fill="CCEEFF" w:val="clear"/>
            <w:vAlign w:val="center"/>
          </w:tcPr>
          <w:p>
            <w:pPr>
              <w:pStyle w:val="TableContents"/>
              <w:bidi w:val="0"/>
              <w:spacing w:before="0" w:after="0"/>
              <w:jc w:val="left"/>
              <w:rPr/>
            </w:pPr>
            <w:r>
              <w:rPr/>
              <w:t>Covenant Defeasance</w:t>
            </w:r>
          </w:p>
        </w:tc>
        <w:tc>
          <w:tcPr>
            <w:tcW w:w="515" w:type="dxa"/>
            <w:tcBorders/>
            <w:shd w:fill="CCEEFF" w:val="clear"/>
            <w:vAlign w:val="center"/>
          </w:tcPr>
          <w:p>
            <w:pPr>
              <w:pStyle w:val="TableContents"/>
              <w:bidi w:val="0"/>
              <w:spacing w:before="0" w:after="0"/>
              <w:jc w:val="right"/>
              <w:rPr/>
            </w:pPr>
            <w:r>
              <w:rPr/>
              <w:t>29</w:t>
            </w:r>
          </w:p>
        </w:tc>
      </w:tr>
      <w:tr>
        <w:trPr/>
        <w:tc>
          <w:tcPr>
            <w:tcW w:w="7354" w:type="dxa"/>
            <w:gridSpan w:val="3"/>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7354" w:type="dxa"/>
            <w:gridSpan w:val="3"/>
            <w:tcBorders/>
            <w:shd w:fill="CCEEFF" w:val="clear"/>
            <w:vAlign w:val="center"/>
          </w:tcPr>
          <w:p>
            <w:pPr>
              <w:pStyle w:val="TableContents"/>
              <w:bidi w:val="0"/>
              <w:spacing w:before="0" w:after="0"/>
              <w:jc w:val="left"/>
              <w:rPr/>
            </w:pPr>
            <w:r>
              <w:rPr/>
              <w:t>ARTICLE 6 MISCELLANEOUS</w:t>
            </w:r>
          </w:p>
        </w:tc>
        <w:tc>
          <w:tcPr>
            <w:tcW w:w="515" w:type="dxa"/>
            <w:tcBorders/>
            <w:shd w:fill="CCEEFF" w:val="clear"/>
            <w:vAlign w:val="center"/>
          </w:tcPr>
          <w:p>
            <w:pPr>
              <w:pStyle w:val="TableContents"/>
              <w:bidi w:val="0"/>
              <w:spacing w:before="0" w:after="0"/>
              <w:jc w:val="right"/>
              <w:rPr/>
            </w:pPr>
            <w:r>
              <w:rPr/>
              <w:t>30</w:t>
            </w:r>
          </w:p>
        </w:tc>
      </w:tr>
      <w:tr>
        <w:trPr/>
        <w:tc>
          <w:tcPr>
            <w:tcW w:w="7354" w:type="dxa"/>
            <w:gridSpan w:val="3"/>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0"/>
              <w:jc w:val="left"/>
              <w:rPr/>
            </w:pPr>
            <w:r>
              <w:rPr/>
              <w:t>Section 6.01</w:t>
            </w:r>
          </w:p>
        </w:tc>
        <w:tc>
          <w:tcPr>
            <w:tcW w:w="6083" w:type="dxa"/>
            <w:tcBorders/>
            <w:shd w:fill="CCEEFF" w:val="clear"/>
            <w:vAlign w:val="center"/>
          </w:tcPr>
          <w:p>
            <w:pPr>
              <w:pStyle w:val="TableContents"/>
              <w:bidi w:val="0"/>
              <w:spacing w:before="0" w:after="0"/>
              <w:jc w:val="left"/>
              <w:rPr/>
            </w:pPr>
            <w:r>
              <w:rPr/>
              <w:t>Effect of the First Supplemental Indenture</w:t>
            </w:r>
          </w:p>
        </w:tc>
        <w:tc>
          <w:tcPr>
            <w:tcW w:w="515" w:type="dxa"/>
            <w:tcBorders/>
            <w:shd w:fill="CCEEFF" w:val="clear"/>
            <w:vAlign w:val="center"/>
          </w:tcPr>
          <w:p>
            <w:pPr>
              <w:pStyle w:val="TableContents"/>
              <w:bidi w:val="0"/>
              <w:spacing w:before="0" w:after="0"/>
              <w:jc w:val="right"/>
              <w:rPr/>
            </w:pPr>
            <w:r>
              <w:rPr/>
              <w:t>30</w:t>
            </w:r>
          </w:p>
        </w:tc>
      </w:tr>
      <w:tr>
        <w:trPr/>
        <w:tc>
          <w:tcPr>
            <w:tcW w:w="60"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0"/>
              <w:jc w:val="left"/>
              <w:rPr/>
            </w:pPr>
            <w:r>
              <w:rPr/>
              <w:t>Section 6.02</w:t>
            </w:r>
          </w:p>
        </w:tc>
        <w:tc>
          <w:tcPr>
            <w:tcW w:w="6083" w:type="dxa"/>
            <w:tcBorders/>
            <w:vAlign w:val="center"/>
          </w:tcPr>
          <w:p>
            <w:pPr>
              <w:pStyle w:val="TableContents"/>
              <w:bidi w:val="0"/>
              <w:spacing w:before="0" w:after="0"/>
              <w:jc w:val="left"/>
              <w:rPr/>
            </w:pPr>
            <w:r>
              <w:rPr/>
              <w:t>No Adverse Interpretation of Other Agreements</w:t>
            </w:r>
          </w:p>
        </w:tc>
        <w:tc>
          <w:tcPr>
            <w:tcW w:w="515" w:type="dxa"/>
            <w:tcBorders/>
            <w:vAlign w:val="center"/>
          </w:tcPr>
          <w:p>
            <w:pPr>
              <w:pStyle w:val="TableContents"/>
              <w:bidi w:val="0"/>
              <w:spacing w:before="0" w:after="0"/>
              <w:jc w:val="right"/>
              <w:rPr/>
            </w:pPr>
            <w:r>
              <w:rPr/>
              <w:t>30</w:t>
            </w:r>
          </w:p>
        </w:tc>
      </w:tr>
      <w:tr>
        <w:trPr/>
        <w:tc>
          <w:tcPr>
            <w:tcW w:w="60"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0"/>
              <w:jc w:val="left"/>
              <w:rPr/>
            </w:pPr>
            <w:r>
              <w:rPr/>
              <w:t>Section 6.03</w:t>
            </w:r>
          </w:p>
        </w:tc>
        <w:tc>
          <w:tcPr>
            <w:tcW w:w="6083" w:type="dxa"/>
            <w:tcBorders/>
            <w:shd w:fill="CCEEFF" w:val="clear"/>
            <w:vAlign w:val="center"/>
          </w:tcPr>
          <w:p>
            <w:pPr>
              <w:pStyle w:val="TableContents"/>
              <w:bidi w:val="0"/>
              <w:spacing w:before="0" w:after="0"/>
              <w:jc w:val="left"/>
              <w:rPr/>
            </w:pPr>
            <w:r>
              <w:rPr/>
              <w:t>Successors</w:t>
            </w:r>
          </w:p>
        </w:tc>
        <w:tc>
          <w:tcPr>
            <w:tcW w:w="515" w:type="dxa"/>
            <w:tcBorders/>
            <w:shd w:fill="CCEEFF" w:val="clear"/>
            <w:vAlign w:val="center"/>
          </w:tcPr>
          <w:p>
            <w:pPr>
              <w:pStyle w:val="TableContents"/>
              <w:bidi w:val="0"/>
              <w:spacing w:before="0" w:after="0"/>
              <w:jc w:val="right"/>
              <w:rPr/>
            </w:pPr>
            <w:r>
              <w:rPr/>
              <w:t>30</w:t>
            </w:r>
          </w:p>
        </w:tc>
      </w:tr>
      <w:tr>
        <w:trPr/>
        <w:tc>
          <w:tcPr>
            <w:tcW w:w="60"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0"/>
              <w:jc w:val="left"/>
              <w:rPr/>
            </w:pPr>
            <w:r>
              <w:rPr/>
              <w:t>Section 6.04</w:t>
            </w:r>
          </w:p>
        </w:tc>
        <w:tc>
          <w:tcPr>
            <w:tcW w:w="6083" w:type="dxa"/>
            <w:tcBorders/>
            <w:vAlign w:val="center"/>
          </w:tcPr>
          <w:p>
            <w:pPr>
              <w:pStyle w:val="TableContents"/>
              <w:bidi w:val="0"/>
              <w:spacing w:before="0" w:after="0"/>
              <w:jc w:val="left"/>
              <w:rPr/>
            </w:pPr>
            <w:r>
              <w:rPr/>
              <w:t>Severability</w:t>
            </w:r>
          </w:p>
        </w:tc>
        <w:tc>
          <w:tcPr>
            <w:tcW w:w="515" w:type="dxa"/>
            <w:tcBorders/>
            <w:vAlign w:val="center"/>
          </w:tcPr>
          <w:p>
            <w:pPr>
              <w:pStyle w:val="TableContents"/>
              <w:bidi w:val="0"/>
              <w:spacing w:before="0" w:after="0"/>
              <w:jc w:val="right"/>
              <w:rPr/>
            </w:pPr>
            <w:r>
              <w:rPr/>
              <w:t>30</w:t>
            </w:r>
          </w:p>
        </w:tc>
      </w:tr>
      <w:tr>
        <w:trPr/>
        <w:tc>
          <w:tcPr>
            <w:tcW w:w="60"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0"/>
              <w:jc w:val="left"/>
              <w:rPr/>
            </w:pPr>
            <w:r>
              <w:rPr/>
              <w:t>Section 6.05</w:t>
            </w:r>
          </w:p>
        </w:tc>
        <w:tc>
          <w:tcPr>
            <w:tcW w:w="6083" w:type="dxa"/>
            <w:tcBorders/>
            <w:shd w:fill="CCEEFF" w:val="clear"/>
            <w:vAlign w:val="center"/>
          </w:tcPr>
          <w:p>
            <w:pPr>
              <w:pStyle w:val="TableContents"/>
              <w:bidi w:val="0"/>
              <w:spacing w:before="0" w:after="0"/>
              <w:jc w:val="left"/>
              <w:rPr/>
            </w:pPr>
            <w:r>
              <w:rPr/>
              <w:t>Table of Contents, Headings, etc</w:t>
            </w:r>
          </w:p>
        </w:tc>
        <w:tc>
          <w:tcPr>
            <w:tcW w:w="515" w:type="dxa"/>
            <w:tcBorders/>
            <w:shd w:fill="CCEEFF" w:val="clear"/>
            <w:vAlign w:val="center"/>
          </w:tcPr>
          <w:p>
            <w:pPr>
              <w:pStyle w:val="TableContents"/>
              <w:bidi w:val="0"/>
              <w:spacing w:before="0" w:after="0"/>
              <w:jc w:val="right"/>
              <w:rPr/>
            </w:pPr>
            <w:r>
              <w:rPr/>
              <w:t>30</w:t>
            </w:r>
          </w:p>
        </w:tc>
      </w:tr>
      <w:tr>
        <w:trPr/>
        <w:tc>
          <w:tcPr>
            <w:tcW w:w="60"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0"/>
              <w:jc w:val="left"/>
              <w:rPr/>
            </w:pPr>
            <w:r>
              <w:rPr/>
              <w:t>Section 6.06</w:t>
            </w:r>
          </w:p>
        </w:tc>
        <w:tc>
          <w:tcPr>
            <w:tcW w:w="6083" w:type="dxa"/>
            <w:tcBorders/>
            <w:vAlign w:val="center"/>
          </w:tcPr>
          <w:p>
            <w:pPr>
              <w:pStyle w:val="TableContents"/>
              <w:bidi w:val="0"/>
              <w:spacing w:before="0" w:after="0"/>
              <w:jc w:val="left"/>
              <w:rPr/>
            </w:pPr>
            <w:r>
              <w:rPr/>
              <w:t>Beneficiaries of this First Supplemental Indenture</w:t>
            </w:r>
          </w:p>
        </w:tc>
        <w:tc>
          <w:tcPr>
            <w:tcW w:w="515" w:type="dxa"/>
            <w:tcBorders/>
            <w:vAlign w:val="center"/>
          </w:tcPr>
          <w:p>
            <w:pPr>
              <w:pStyle w:val="TableContents"/>
              <w:bidi w:val="0"/>
              <w:spacing w:before="0" w:after="0"/>
              <w:jc w:val="right"/>
              <w:rPr/>
            </w:pPr>
            <w:r>
              <w:rPr/>
              <w:t>30</w:t>
            </w:r>
          </w:p>
        </w:tc>
      </w:tr>
      <w:tr>
        <w:trPr/>
        <w:tc>
          <w:tcPr>
            <w:tcW w:w="60"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0"/>
              <w:jc w:val="left"/>
              <w:rPr/>
            </w:pPr>
            <w:r>
              <w:rPr/>
              <w:t>Section 6.07</w:t>
            </w:r>
          </w:p>
        </w:tc>
        <w:tc>
          <w:tcPr>
            <w:tcW w:w="6083" w:type="dxa"/>
            <w:tcBorders/>
            <w:shd w:fill="CCEEFF" w:val="clear"/>
            <w:vAlign w:val="center"/>
          </w:tcPr>
          <w:p>
            <w:pPr>
              <w:pStyle w:val="TableContents"/>
              <w:bidi w:val="0"/>
              <w:spacing w:before="0" w:after="0"/>
              <w:jc w:val="left"/>
              <w:rPr/>
            </w:pPr>
            <w:r>
              <w:rPr/>
              <w:t>Governing Law; Waiver of Jury Trial; Jurisdiction</w:t>
            </w:r>
          </w:p>
        </w:tc>
        <w:tc>
          <w:tcPr>
            <w:tcW w:w="515" w:type="dxa"/>
            <w:tcBorders/>
            <w:shd w:fill="CCEEFF" w:val="clear"/>
            <w:vAlign w:val="center"/>
          </w:tcPr>
          <w:p>
            <w:pPr>
              <w:pStyle w:val="TableContents"/>
              <w:bidi w:val="0"/>
              <w:spacing w:before="0" w:after="0"/>
              <w:jc w:val="right"/>
              <w:rPr/>
            </w:pPr>
            <w:r>
              <w:rPr/>
              <w:t>31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3" w:name="zbd9a5cc9bff74a17a1b30868d8c20ff7"/>
      <w:bookmarkStart w:id="64" w:name="zbd9a5cc9bff74a17a1b30868d8c20ff7"/>
      <w:bookmarkEnd w:id="64"/>
    </w:p>
    <w:tbl>
      <w:tblPr>
        <w:tblW w:w="7315" w:type="dxa"/>
        <w:jc w:val="left"/>
        <w:tblInd w:w="0" w:type="dxa"/>
        <w:tblLayout w:type="fixed"/>
        <w:tblCellMar>
          <w:top w:w="0" w:type="dxa"/>
          <w:left w:w="0" w:type="dxa"/>
          <w:bottom w:w="0" w:type="dxa"/>
          <w:right w:w="0" w:type="dxa"/>
        </w:tblCellMar>
      </w:tblPr>
      <w:tblGrid>
        <w:gridCol w:w="1130"/>
        <w:gridCol w:w="6185"/>
      </w:tblGrid>
      <w:tr>
        <w:trPr/>
        <w:tc>
          <w:tcPr>
            <w:tcW w:w="1130" w:type="dxa"/>
            <w:tcBorders/>
            <w:vAlign w:val="center"/>
          </w:tcPr>
          <w:p>
            <w:pPr>
              <w:pStyle w:val="TableContents"/>
              <w:bidi w:val="0"/>
              <w:spacing w:before="0" w:after="0"/>
              <w:jc w:val="both"/>
              <w:rPr>
                <w:color w:val="000000"/>
                <w:u w:val="single"/>
              </w:rPr>
            </w:pPr>
            <w:r>
              <w:rPr>
                <w:color w:val="000000"/>
                <w:u w:val="single"/>
              </w:rPr>
              <w:t>EXHIBITS</w:t>
            </w:r>
          </w:p>
        </w:tc>
        <w:tc>
          <w:tcPr>
            <w:tcW w:w="6185" w:type="dxa"/>
            <w:tcBorders/>
            <w:vAlign w:val="center"/>
          </w:tcPr>
          <w:p>
            <w:pPr>
              <w:pStyle w:val="TableContents"/>
              <w:bidi w:val="0"/>
              <w:spacing w:before="0" w:after="283"/>
              <w:jc w:val="left"/>
              <w:rPr/>
            </w:pPr>
            <w:r>
              <w:rPr/>
            </w:r>
          </w:p>
        </w:tc>
      </w:tr>
      <w:tr>
        <w:trPr/>
        <w:tc>
          <w:tcPr>
            <w:tcW w:w="1130" w:type="dxa"/>
            <w:tcBorders/>
            <w:vAlign w:val="center"/>
          </w:tcPr>
          <w:p>
            <w:pPr>
              <w:pStyle w:val="TableContents"/>
              <w:bidi w:val="0"/>
              <w:spacing w:before="0" w:after="283"/>
              <w:jc w:val="left"/>
              <w:rPr/>
            </w:pPr>
            <w:r>
              <w:rPr/>
            </w:r>
          </w:p>
        </w:tc>
        <w:tc>
          <w:tcPr>
            <w:tcW w:w="6185" w:type="dxa"/>
            <w:tcBorders/>
            <w:vAlign w:val="center"/>
          </w:tcPr>
          <w:p>
            <w:pPr>
              <w:pStyle w:val="TableContents"/>
              <w:bidi w:val="0"/>
              <w:spacing w:before="0" w:after="283"/>
              <w:jc w:val="left"/>
              <w:rPr/>
            </w:pPr>
            <w:r>
              <w:rPr/>
            </w:r>
          </w:p>
        </w:tc>
      </w:tr>
      <w:tr>
        <w:trPr/>
        <w:tc>
          <w:tcPr>
            <w:tcW w:w="1130" w:type="dxa"/>
            <w:tcBorders/>
            <w:shd w:fill="CCEEFF" w:val="clear"/>
            <w:vAlign w:val="center"/>
          </w:tcPr>
          <w:p>
            <w:pPr>
              <w:pStyle w:val="TableContents"/>
              <w:bidi w:val="0"/>
              <w:spacing w:before="0" w:after="0"/>
              <w:jc w:val="both"/>
              <w:rPr>
                <w:color w:val="000000"/>
              </w:rPr>
            </w:pPr>
            <w:r>
              <w:rPr>
                <w:color w:val="000000"/>
              </w:rPr>
              <w:t>Exhibit A</w:t>
            </w:r>
          </w:p>
        </w:tc>
        <w:tc>
          <w:tcPr>
            <w:tcW w:w="6185" w:type="dxa"/>
            <w:tcBorders/>
            <w:shd w:fill="CCEEFF" w:val="clear"/>
            <w:vAlign w:val="center"/>
          </w:tcPr>
          <w:p>
            <w:pPr>
              <w:pStyle w:val="TableContents"/>
              <w:bidi w:val="0"/>
              <w:spacing w:before="0" w:after="0"/>
              <w:jc w:val="both"/>
              <w:rPr>
                <w:color w:val="000000"/>
              </w:rPr>
            </w:pPr>
            <w:r>
              <w:rPr>
                <w:color w:val="000000"/>
              </w:rPr>
              <w:t>Form of 2029 Note</w:t>
            </w:r>
          </w:p>
        </w:tc>
      </w:tr>
      <w:tr>
        <w:trPr/>
        <w:tc>
          <w:tcPr>
            <w:tcW w:w="1130" w:type="dxa"/>
            <w:tcBorders/>
            <w:vAlign w:val="center"/>
          </w:tcPr>
          <w:p>
            <w:pPr>
              <w:pStyle w:val="TableContents"/>
              <w:bidi w:val="0"/>
              <w:spacing w:before="0" w:after="0"/>
              <w:jc w:val="both"/>
              <w:rPr>
                <w:color w:val="000000"/>
              </w:rPr>
            </w:pPr>
            <w:r>
              <w:rPr>
                <w:color w:val="000000"/>
              </w:rPr>
              <w:t>Exhibit B</w:t>
            </w:r>
          </w:p>
        </w:tc>
        <w:tc>
          <w:tcPr>
            <w:tcW w:w="6185" w:type="dxa"/>
            <w:tcBorders/>
            <w:vAlign w:val="center"/>
          </w:tcPr>
          <w:p>
            <w:pPr>
              <w:pStyle w:val="TableContents"/>
              <w:bidi w:val="0"/>
              <w:spacing w:before="0" w:after="0"/>
              <w:jc w:val="both"/>
              <w:rPr>
                <w:color w:val="000000"/>
              </w:rPr>
            </w:pPr>
            <w:r>
              <w:rPr>
                <w:color w:val="000000"/>
              </w:rPr>
              <w:t>Form of 2031 Note</w:t>
            </w:r>
          </w:p>
        </w:tc>
      </w:tr>
      <w:tr>
        <w:trPr/>
        <w:tc>
          <w:tcPr>
            <w:tcW w:w="1130" w:type="dxa"/>
            <w:tcBorders/>
            <w:shd w:fill="CCEEFF" w:val="clear"/>
            <w:vAlign w:val="center"/>
          </w:tcPr>
          <w:p>
            <w:pPr>
              <w:pStyle w:val="TableContents"/>
              <w:bidi w:val="0"/>
              <w:spacing w:before="0" w:after="0"/>
              <w:jc w:val="both"/>
              <w:rPr>
                <w:color w:val="000000"/>
              </w:rPr>
            </w:pPr>
            <w:r>
              <w:rPr>
                <w:color w:val="000000"/>
              </w:rPr>
              <w:t>Exhibit C</w:t>
            </w:r>
          </w:p>
        </w:tc>
        <w:tc>
          <w:tcPr>
            <w:tcW w:w="6185" w:type="dxa"/>
            <w:tcBorders/>
            <w:shd w:fill="CCEEFF" w:val="clear"/>
            <w:vAlign w:val="center"/>
          </w:tcPr>
          <w:p>
            <w:pPr>
              <w:pStyle w:val="TableContents"/>
              <w:bidi w:val="0"/>
              <w:spacing w:before="0" w:after="0"/>
              <w:jc w:val="both"/>
              <w:rPr>
                <w:color w:val="000000"/>
              </w:rPr>
            </w:pPr>
            <w:r>
              <w:rPr>
                <w:color w:val="000000"/>
              </w:rPr>
              <w:t>Form of 2036 Note</w:t>
            </w:r>
          </w:p>
        </w:tc>
      </w:tr>
      <w:tr>
        <w:trPr/>
        <w:tc>
          <w:tcPr>
            <w:tcW w:w="1130" w:type="dxa"/>
            <w:tcBorders/>
            <w:vAlign w:val="center"/>
          </w:tcPr>
          <w:p>
            <w:pPr>
              <w:pStyle w:val="TableContents"/>
              <w:bidi w:val="0"/>
              <w:spacing w:before="0" w:after="0"/>
              <w:jc w:val="both"/>
              <w:rPr>
                <w:color w:val="000000"/>
              </w:rPr>
            </w:pPr>
            <w:r>
              <w:rPr>
                <w:color w:val="000000"/>
              </w:rPr>
              <w:t>Exhibit D</w:t>
            </w:r>
          </w:p>
        </w:tc>
        <w:tc>
          <w:tcPr>
            <w:tcW w:w="6185" w:type="dxa"/>
            <w:tcBorders/>
            <w:vAlign w:val="center"/>
          </w:tcPr>
          <w:p>
            <w:pPr>
              <w:pStyle w:val="TableContents"/>
              <w:bidi w:val="0"/>
              <w:spacing w:before="0" w:after="0"/>
              <w:jc w:val="both"/>
              <w:rPr>
                <w:color w:val="000000"/>
              </w:rPr>
            </w:pPr>
            <w:r>
              <w:rPr>
                <w:color w:val="000000"/>
              </w:rPr>
              <w:t>Form of Certificate of Transfer</w:t>
            </w:r>
          </w:p>
        </w:tc>
      </w:tr>
      <w:tr>
        <w:trPr/>
        <w:tc>
          <w:tcPr>
            <w:tcW w:w="1130" w:type="dxa"/>
            <w:tcBorders/>
            <w:shd w:fill="CCEEFF" w:val="clear"/>
            <w:vAlign w:val="center"/>
          </w:tcPr>
          <w:p>
            <w:pPr>
              <w:pStyle w:val="TableContents"/>
              <w:bidi w:val="0"/>
              <w:spacing w:before="0" w:after="0"/>
              <w:jc w:val="both"/>
              <w:rPr>
                <w:color w:val="000000"/>
              </w:rPr>
            </w:pPr>
            <w:r>
              <w:rPr>
                <w:color w:val="000000"/>
              </w:rPr>
              <w:t>Exhibit E</w:t>
            </w:r>
          </w:p>
        </w:tc>
        <w:tc>
          <w:tcPr>
            <w:tcW w:w="6185" w:type="dxa"/>
            <w:tcBorders/>
            <w:shd w:fill="CCEEFF" w:val="clear"/>
            <w:vAlign w:val="center"/>
          </w:tcPr>
          <w:p>
            <w:pPr>
              <w:pStyle w:val="TableContents"/>
              <w:bidi w:val="0"/>
              <w:spacing w:before="0" w:after="0"/>
              <w:jc w:val="both"/>
              <w:rPr>
                <w:color w:val="000000"/>
              </w:rPr>
            </w:pPr>
            <w:r>
              <w:rPr>
                <w:color w:val="000000"/>
              </w:rPr>
              <w:t>Form of Certificate of Exchange</w:t>
            </w:r>
          </w:p>
        </w:tc>
      </w:tr>
      <w:tr>
        <w:trPr/>
        <w:tc>
          <w:tcPr>
            <w:tcW w:w="1130" w:type="dxa"/>
            <w:tcBorders/>
            <w:vAlign w:val="center"/>
          </w:tcPr>
          <w:p>
            <w:pPr>
              <w:pStyle w:val="TableContents"/>
              <w:bidi w:val="0"/>
              <w:spacing w:before="0" w:after="0"/>
              <w:jc w:val="both"/>
              <w:rPr>
                <w:color w:val="000000"/>
              </w:rPr>
            </w:pPr>
            <w:r>
              <w:rPr>
                <w:color w:val="000000"/>
              </w:rPr>
              <w:t>Exhibit F</w:t>
            </w:r>
          </w:p>
        </w:tc>
        <w:tc>
          <w:tcPr>
            <w:tcW w:w="6185" w:type="dxa"/>
            <w:tcBorders/>
            <w:vAlign w:val="center"/>
          </w:tcPr>
          <w:p>
            <w:pPr>
              <w:pStyle w:val="TableContents"/>
              <w:bidi w:val="0"/>
              <w:spacing w:before="0" w:after="0"/>
              <w:jc w:val="both"/>
              <w:rPr>
                <w:color w:val="000000"/>
              </w:rPr>
            </w:pPr>
            <w:r>
              <w:rPr>
                <w:color w:val="000000"/>
              </w:rPr>
              <w:t>Form of Certificate of Acquiring Institutional Accredited Investor</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FIRST SUPPLEMENTAL INDENTURE, dated as of August 13, 2026 (this “</w:t>
      </w:r>
      <w:r>
        <w:rPr>
          <w:rFonts w:ascii="Times New Roman" w:hAnsi="Times New Roman"/>
          <w:i/>
          <w:color w:val="000000"/>
          <w:sz w:val="20"/>
        </w:rPr>
        <w:t>First Supplemental Indenture</w:t>
      </w:r>
      <w:r>
        <w:rPr>
          <w:rFonts w:ascii="Times New Roman" w:hAnsi="Times New Roman"/>
          <w:color w:val="000000"/>
          <w:sz w:val="20"/>
        </w:rPr>
        <w:t>”), among ICON INVESTMENTS SIX DESIGNATED ACTIVITY COMPANY, a designated activity company limited by shares in Ireland (the “</w:t>
      </w:r>
      <w:r>
        <w:rPr>
          <w:rFonts w:ascii="Times New Roman" w:hAnsi="Times New Roman"/>
          <w:i/>
          <w:color w:val="000000"/>
          <w:sz w:val="20"/>
        </w:rPr>
        <w:t>Issuer</w:t>
      </w:r>
      <w:r>
        <w:rPr>
          <w:rFonts w:ascii="Times New Roman" w:hAnsi="Times New Roman"/>
          <w:color w:val="000000"/>
          <w:sz w:val="20"/>
        </w:rPr>
        <w:t>”), ICON PUBLIC LIMITED COMPANY, a public limited company in Ireland (the “</w:t>
      </w:r>
      <w:r>
        <w:rPr>
          <w:rFonts w:ascii="Times New Roman" w:hAnsi="Times New Roman"/>
          <w:i/>
          <w:color w:val="000000"/>
          <w:sz w:val="20"/>
        </w:rPr>
        <w:t>Parent</w:t>
      </w:r>
      <w:r>
        <w:rPr>
          <w:rFonts w:ascii="Times New Roman" w:hAnsi="Times New Roman"/>
          <w:color w:val="000000"/>
          <w:sz w:val="20"/>
        </w:rPr>
        <w:t>”) and CITIBANK, N.A., a national banking association, as Trustee (in such capacity, the “</w:t>
      </w:r>
      <w:r>
        <w:rPr>
          <w:rFonts w:ascii="Times New Roman" w:hAnsi="Times New Roman"/>
          <w:i/>
          <w:color w:val="000000"/>
          <w:sz w:val="20"/>
        </w:rPr>
        <w:t>Trustee</w:t>
      </w:r>
      <w:r>
        <w:rPr>
          <w:rFonts w:ascii="Times New Roman" w:hAnsi="Times New Roman"/>
          <w:color w:val="000000"/>
          <w:sz w:val="20"/>
        </w:rPr>
        <w:t>”), Paying Agent and Registrar.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the Issuer has executed and delivered an Indenture, dated as of August 13, 2026 (the “</w:t>
      </w:r>
      <w:r>
        <w:rPr>
          <w:rFonts w:ascii="Times New Roman" w:hAnsi="Times New Roman"/>
          <w:i/>
          <w:color w:val="000000"/>
          <w:sz w:val="20"/>
        </w:rPr>
        <w:t>Base Indenture</w:t>
      </w:r>
      <w:r>
        <w:rPr>
          <w:rFonts w:ascii="Times New Roman" w:hAnsi="Times New Roman"/>
          <w:color w:val="000000"/>
          <w:sz w:val="20"/>
        </w:rPr>
        <w:t>”), among the Issuer, the Parent and the Trustee, providing for the issuance from time to time of one or more Series of Securities;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Section 2.01 of the Base Indenture permits the creation of the Securities of any Series with the terms and in the form permitted in Section 2.02 of the Base Indenture to be established in a supplemental indenture to the Base Indenture;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the Issuer has requested that the Trustee join with it and the Parent in the execution of this First Supplemental Indenture in order to supplement the Base Indenture by, among other things, establishing the forms and certain terms of three Series of Securities to be known as the Issuer’s “5.064% Notes due 2029”, “5.421% Notes due 2031” and “5.995% Notes due 2036”, respectively and adding certain provisions thereto for the benefit of the Holders of the Securities of each such Series;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the Issuer desires that the Trustee join with it in the execution and delivery of this First Supplemental Indenture, and in accordance with Sections 7.02, 9.01, 12.04 and 12.05 of the Base Indenture, the Issuer has delivered to the Trustee, an Officer’s Certificate and Opinion of Counsel stating that the execution of this First Supplemental Indenture is permitted by the Base Indenture and that all conditions precedent to its execution have been complied with, and the Base Indenture and this First Supplemental Indenture are valid and binding obligations of the Issuer and are enforceable in accordance with their terms; and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the Issuer has furnished the Trustee with a duly authorized and executed Authentication Order, dated August 13, 2026, authorizing the issuance of each Series of Securities established hereby.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NOW, THEREFORE, the Issuer, the Parent and the Trustee agree as follows for the benefit of each other and for the equal and ratable benefit of the Holders of each Series of Securities established hereby:</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1</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DEFINITIONS AND INCORPORATION</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BY REFERENCE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1.01         </w:t>
      </w:r>
      <w:r>
        <w:rPr>
          <w:rFonts w:ascii="Times New Roman" w:hAnsi="Times New Roman"/>
          <w:i/>
          <w:color w:val="000000"/>
          <w:sz w:val="20"/>
        </w:rPr>
        <w:t>Definitions</w:t>
      </w:r>
      <w:r>
        <w:rPr>
          <w:rFonts w:ascii="Times New Roman" w:hAnsi="Times New Roman"/>
          <w:color w:val="000000"/>
          <w:sz w:val="20"/>
        </w:rPr>
        <w:t xml:space="preserve">. </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The Base Indenture, as amended and supplemented in respect of the Notes by this First Supplemental Indenture is collectively referred to as the “</w:t>
      </w:r>
      <w:r>
        <w:rPr>
          <w:rFonts w:ascii="Times New Roman" w:hAnsi="Times New Roman"/>
          <w:i/>
          <w:color w:val="000000"/>
          <w:sz w:val="20"/>
        </w:rPr>
        <w:t>Indenture</w:t>
      </w:r>
      <w:r>
        <w:rPr>
          <w:rFonts w:ascii="Times New Roman" w:hAnsi="Times New Roman"/>
          <w:color w:val="000000"/>
          <w:sz w:val="20"/>
        </w:rPr>
        <w:t>”.  All capitalized terms which are used herein and not otherwise defined herein are defined in the Base Indenture and are used herein with the same meanings as the Base Indenture.  If a capitalized term is defined both in the Base Indenture and this First Supplemental Indenture, the definition in this First Supplemental Indenture shall apply to the Notes established hereby (and each Parent Guarantee in respect thereof).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With respect to each Series of Notes issued pursuant to this First Supplemental Indenture, the following definitions shall be added to Section 1.01 of the Base Indenture: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144A Global Note</w:t>
      </w:r>
      <w:r>
        <w:rPr>
          <w:rFonts w:ascii="Times New Roman" w:hAnsi="Times New Roman"/>
          <w:color w:val="000000"/>
          <w:sz w:val="20"/>
        </w:rPr>
        <w:t>” means a Global Note substantially in the form of Exhibit A, B, or C, as applicable, hereto bearing the Global Note Legend and the private Placement Legend and deposited with or on behalf of, and registered in the name of, the Depositary or its nominee that will be issued in a denomination equal to the outstanding principal amount of the Notes sold in reliance on Rule 144A.</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2029 Notes</w:t>
      </w:r>
      <w:r>
        <w:rPr>
          <w:rFonts w:ascii="Times New Roman" w:hAnsi="Times New Roman"/>
          <w:color w:val="000000"/>
          <w:sz w:val="20"/>
        </w:rPr>
        <w:t>” means the Issuer’s 5.064% Notes due 2029.</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2031 Notes</w:t>
      </w:r>
      <w:r>
        <w:rPr>
          <w:rFonts w:ascii="Times New Roman" w:hAnsi="Times New Roman"/>
          <w:color w:val="000000"/>
          <w:sz w:val="20"/>
        </w:rPr>
        <w:t>” means the Issuer’s 5.421% Notes due 2031.</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2036 Notes</w:t>
      </w:r>
      <w:r>
        <w:rPr>
          <w:rFonts w:ascii="Times New Roman" w:hAnsi="Times New Roman"/>
          <w:color w:val="000000"/>
          <w:sz w:val="20"/>
        </w:rPr>
        <w:t>” means the Issuer’s 5.995% Notes due 2036.</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ACH Indebtedness</w:t>
      </w:r>
      <w:r>
        <w:rPr>
          <w:rFonts w:ascii="Times New Roman" w:hAnsi="Times New Roman"/>
          <w:color w:val="000000"/>
          <w:sz w:val="20"/>
        </w:rPr>
        <w:t>” means indebtedness incurred in the ordinary course of business arising in connection with any automated clearinghouse transfers of funds or other payment processing service.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Applicable Procedures</w:t>
      </w:r>
      <w:r>
        <w:rPr>
          <w:rFonts w:ascii="Times New Roman" w:hAnsi="Times New Roman"/>
          <w:color w:val="000000"/>
          <w:sz w:val="20"/>
        </w:rPr>
        <w:t>” means, with respect to any transfer or exchange of or for beneficial interests in any Global Note, the rules and procedures of the Depositary, Euroclear and Clearstream that apply to such transfer or exchange.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Capital Lease Obligation</w:t>
      </w:r>
      <w:r>
        <w:rPr>
          <w:rFonts w:ascii="Times New Roman" w:hAnsi="Times New Roman"/>
          <w:color w:val="000000"/>
          <w:sz w:val="20"/>
        </w:rPr>
        <w:t xml:space="preserve">” means, with respect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First Supplemental Indenture, the amount of such obligations shall be the capitalized amount thereof determined in accordance with GAAP; </w:t>
      </w:r>
      <w:r>
        <w:rPr>
          <w:rFonts w:ascii="Times New Roman" w:hAnsi="Times New Roman"/>
          <w:i/>
          <w:color w:val="000000"/>
          <w:sz w:val="20"/>
        </w:rPr>
        <w:t>provided</w:t>
      </w:r>
      <w:r>
        <w:rPr>
          <w:rFonts w:ascii="Times New Roman" w:hAnsi="Times New Roman"/>
          <w:color w:val="000000"/>
          <w:sz w:val="20"/>
        </w:rPr>
        <w:t xml:space="preserve"> that all obligations of any person that are or would be characterized as operating lease obligations in accordance with GAAP on December 31, 2015 (whether or not such operating lease obligations were in effect on such date) shall continue to be accounted for as operating lease obligations (and not as Capital Lease Obligations) for purposes of the Indenture regardless of any change in GAAP following December 31, 2015 that would otherwise require such obligations to be recharacterized (on a prospective or retroactive basis or otherwise) as Capital Lease Obligations.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Cash Equivalents</w:t>
      </w:r>
      <w:r>
        <w:rPr>
          <w:rFonts w:ascii="Times New Roman" w:hAnsi="Times New Roman"/>
          <w:color w:val="000000"/>
          <w:sz w:val="20"/>
        </w:rPr>
        <w:t>” means: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         (a) United States dollars, Canadian dollars, euro, Pounds Sterling, Yen, Swiss Francs or any national currency of any member state of the European Union; (b) with respect to Parent or any Subsidiary, the national currency of the jurisdiction in which such Person is organized or domiciled, and (c) any other foreign currency held by the Parent and its Subsidiaries in the ordinary course of business;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(2)       direct obligations of, or obligations the principal of and interest on which are unconditionally guaranteed by, the United States of America or a member state of the European Union (or by any agency thereof to the extent such obligations are backed by the full faith and credit of the United States of America or such member state), in each case maturing within eighteen months from the date of acquisition thereof;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(3)         investments in commercial paper maturing within 270 days from the date of acquisition thereof and having, at such date of acquisition, the highest credit rating obtainable from S&amp;P or from Moody’s;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(4)        certificates of deposit, time deposits and eurodollar time deposits with maturities of one year or less from the date of acquisition, demand deposits, bankers’ acceptances with maturities not exceeding one year and overnight bank deposits, in each case with any domestic or foreign commercial bank having capital and surplus of not less than $250.0 million in the case of U.S. banks and $250.0 million (or the foreign currency equivalent as of the date of determination) in the case of non-U.S. banks;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(5)         fully collateralized repurchase agreements with a term of not more than thirty (30) days for securities described in clauses (2) and (4) above and entered into with a financial institution satisfying the criteria described in clause (4) above;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(6)       marketable short-term money market and similar liquid funds having a rating of at least P-2 or A-2 from either Moody’s or S&amp;P, respectively (or, if at any time neither Moody’s nor S&amp;P shall be rating such obligations, an equivalent rating from another nationally recognized statistical rating agency);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(7)         investments with average maturities of 24 months or less from the date of acquisition in money market funds and similar liquid funds rated AA- (or the equivalent thereof) or better by S&amp;P or Aa3 (or the equivalent thereof) or better by Moody’s (or, if at any time neither Moody’s nor S&amp;P shall be rating such obligations, an equivalent rating from another nationally recognized statistical rating agency);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(8)       securities issued or fully guaranteed by any state, commonwealth or territory of the United States of America or by any political subdivision (including any municipality) or taxing authority of any such state, commonwealth or territory, the securities of which state, commonwealth, territory, political subdivision or taxing authority (as the case may be) are rated at least “A” (or A-1, SP1 or other then equivalent grade) by S&amp;P or at least “A1” (or “Prime-1” or MIG-1 or other then equivalent grade) by Moody’s as of the date of acquisition and, in each case, with a maturity of not more than two years from the date of acquisition thereof;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(9)          investment funds investing substantially all of their assets in securities of the types described in clauses (1) through (8) above; and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(10)      other short-term investments that are analogous to the foregoing, are of comparable credit quality and are customarily used by companies in its jurisdiction for cash management purposes.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Notwithstanding the foregoing, Cash Equivalents shall include amounts denominated in currencies other than those set forth in clause (1); </w:t>
      </w:r>
      <w:r>
        <w:rPr>
          <w:rFonts w:ascii="Times New Roman" w:hAnsi="Times New Roman"/>
          <w:i/>
          <w:color w:val="000000"/>
          <w:sz w:val="20"/>
        </w:rPr>
        <w:t>provided</w:t>
      </w:r>
      <w:r>
        <w:rPr>
          <w:rFonts w:ascii="Times New Roman" w:hAnsi="Times New Roman"/>
          <w:color w:val="000000"/>
          <w:sz w:val="20"/>
        </w:rPr>
        <w:t xml:space="preserve"> that such amounts are converted into any currency listed in clause (1) as promptly as practicable and in any event within ten business days following the receipt of such amounts.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Change of Control</w:t>
      </w:r>
      <w:r>
        <w:rPr>
          <w:rFonts w:ascii="Times New Roman" w:hAnsi="Times New Roman"/>
          <w:color w:val="000000"/>
          <w:sz w:val="20"/>
        </w:rPr>
        <w:t>” means the occurrence of any of the following: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         any “person” or “group” (as such terms are used in Sections 13(d) and 14(d) of the Exchange Act) other than the Parent or its wholly owned Subsidiaries or its or their employee benefit plans becomes the “beneficial owner” (as defined in Rules 13d-3 and 13d-5 under the Exchange Act), directly or indirectly, of more than 50% of the total outstanding Voting Stock of the Parent or the Issuer, as disclosed in a Schedule TO or any schedule, form or other report under the Exchange Act (other than Form 13F);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(2)          the Parent merges with or into another Person or sells, assigns, conveys, transfers, leases or otherwise disposes of all or substantially all of its assets to any Person (other than by way of merger or consolidation), or any Person merges with or into the Parent, in any such event pursuant to a transaction in which the outstanding Voting Stock of the Parent is converted into or exchanged for cash, securities or other property, other than any such transaction where (x) the outstanding Voting Stock of the Parent is converted into or exchanged for Voting Stock of the surviving or transferee corporation and (y) immediately after such transaction no “person” or “group” (as such terms are used in Sections 13(d) and 14(d) of the Exchange Act) is the “beneficial owner” (as defined in Rules 13d-3 and 13d-5 under the Exchange Act), directly or indirectly, of more than 50% of the total voting power represented by the outstanding Voting Stock of the surviving or transferee corporation;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(3)        the Parent or the Issuer is liquidated or dissolved or adopts a plan of liquidation or dissolution other than in a transaction which complies with the provisions described under Section 5.01 of the Base Indenture; or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(4)         the Issuer ceases to be either a direct or indirect wholly owned Subsidiary of the Parent (other than in connection with a merger of the Issuer with and into the Parent).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Notwithstanding the foregoing, a transaction will not be deemed to constitute a Change of Control if (1) the Parent or the Issuer becomes a direct or indirect wholly owned Subsidiary of a holding company and (2)(A) the direct or indirect holders of the Voting Stock of such holding company immediately following that transaction are substantially the same as the holders of the Parent’s or the Issuer’s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Change of Control Triggering Event</w:t>
      </w:r>
      <w:r>
        <w:rPr>
          <w:rFonts w:ascii="Times New Roman" w:hAnsi="Times New Roman"/>
          <w:color w:val="000000"/>
          <w:sz w:val="20"/>
        </w:rPr>
        <w:t>” means the occurrence of both a Change of Control and a Rating Event.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Consolidated Total Assets</w:t>
      </w:r>
      <w:r>
        <w:rPr>
          <w:rFonts w:ascii="Times New Roman" w:hAnsi="Times New Roman"/>
          <w:color w:val="000000"/>
          <w:sz w:val="20"/>
        </w:rPr>
        <w:t>” means the total amount of assets (less applicable reserves and other properly deductible items) as set forth on the most recent consolidated balance sheet of the Parent and computed in accordance with GAAP.</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Definitive Note</w:t>
      </w:r>
      <w:r>
        <w:rPr>
          <w:rFonts w:ascii="Times New Roman" w:hAnsi="Times New Roman"/>
          <w:color w:val="000000"/>
          <w:sz w:val="20"/>
        </w:rPr>
        <w:t>” means a certificated Note registered in the name of the Holder thereof and issued in accordance with Section 2.07 of this Indenture, substantially in the form of Exhibit A, B or C, as applicable, hereto except that such Note shall not bear the Global Note Legend and shall not have the “Schedule of Exchanges of Interests in the Global Note” attached thereto.</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Domestic Subsidiary</w:t>
      </w:r>
      <w:r>
        <w:rPr>
          <w:rFonts w:ascii="Times New Roman" w:hAnsi="Times New Roman"/>
          <w:color w:val="000000"/>
          <w:sz w:val="20"/>
        </w:rPr>
        <w:t>” means a Subsidiary organized under the laws of the United States, any state thereof or the District of Columbia.</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Fitch</w:t>
      </w:r>
      <w:r>
        <w:rPr>
          <w:rFonts w:ascii="Times New Roman" w:hAnsi="Times New Roman"/>
          <w:color w:val="000000"/>
          <w:sz w:val="20"/>
        </w:rPr>
        <w:t>” means Fitch Inc., and its successors.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Headquarters</w:t>
      </w:r>
      <w:r>
        <w:rPr>
          <w:rFonts w:ascii="Times New Roman" w:hAnsi="Times New Roman"/>
          <w:color w:val="000000"/>
          <w:sz w:val="20"/>
        </w:rPr>
        <w:t>” means the corporate headquarters of the Parent as of the Issue Date, located in Dublin, Ireland.</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IAI Global Note</w:t>
      </w:r>
      <w:r>
        <w:rPr>
          <w:rFonts w:ascii="Times New Roman" w:hAnsi="Times New Roman"/>
          <w:color w:val="000000"/>
          <w:sz w:val="20"/>
        </w:rPr>
        <w:t>” means a Global Note substantially in the form of Exhibit A, B or C, as applicable, hereto bearing the Global Note Legend and the Private Placement Legend and deposited with or on behalf of and registered in the name of the Depositary or its nominee that will be issued in a denomination equal to the outstanding principal amount of the Notes sold to Institutional Accredited Investors.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Indirect Participant</w:t>
      </w:r>
      <w:r>
        <w:rPr>
          <w:rFonts w:ascii="Times New Roman" w:hAnsi="Times New Roman"/>
          <w:color w:val="000000"/>
          <w:sz w:val="20"/>
        </w:rPr>
        <w:t>” means a Person who holds a beneficial interest in a Global Note through a Participant.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Insolvency or Liquidation Proceeding</w:t>
      </w:r>
      <w:r>
        <w:rPr>
          <w:rFonts w:ascii="Times New Roman" w:hAnsi="Times New Roman"/>
          <w:color w:val="000000"/>
          <w:sz w:val="20"/>
        </w:rPr>
        <w:t>” means, with respect to any Person, (a) any voluntary or involuntary case or proceeding under any debtor relief law with respect to any such Person, (b) any other voluntary or involuntary insolvency, reorganization or bankruptcy case or proceeding, or any receivership, liquidation, reorganization, examinership, rescue process, administration or other similar event, case, process, action or proceeding or private or judicial foreclosure with respect to any such Person or with respect to all or any material portion of its assets, (c) any liquidation, dissolution, examinership, rescue process, reorganization or winding up of any such Person whether voluntary or involuntary or otherwise and whether or not involving insolvency or bankruptcy or (d) any assignment for the benefit of creditors or any other marshalling of all or any material part of the assets and liabilities of any such Person.</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Institutional Accredited Investor</w:t>
      </w:r>
      <w:r>
        <w:rPr>
          <w:rFonts w:ascii="Times New Roman" w:hAnsi="Times New Roman"/>
          <w:color w:val="000000"/>
          <w:sz w:val="20"/>
        </w:rPr>
        <w:t>” means an institution that is an “accredited investor” as defined in Rule 501(a)(1), (2), (3), (7), (9) or (12) under the Securities Act, who are not also QIBs.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Investment Grade Rating</w:t>
      </w:r>
      <w:r>
        <w:rPr>
          <w:rFonts w:ascii="Times New Roman" w:hAnsi="Times New Roman"/>
          <w:color w:val="000000"/>
          <w:sz w:val="20"/>
        </w:rPr>
        <w:t>” means a rating of Baa3 or better by Moody’s (or its equivalent under any successor rating categories of Moody’s), BBB- or better by S&amp;P (or its equivalent under any successor rating categories of S&amp;P) and a rating of BBB- or better by Fitch (or its equivalent under any successor rating categories of Fitch) or the equivalent investment grade credit rating from any additional Rating Agency or Rating Agencies selected by the Parent.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Issue Date</w:t>
      </w:r>
      <w:r>
        <w:rPr>
          <w:rFonts w:ascii="Times New Roman" w:hAnsi="Times New Roman"/>
          <w:color w:val="000000"/>
          <w:sz w:val="20"/>
        </w:rPr>
        <w:t>” means August 13, 2026.</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Lien</w:t>
      </w:r>
      <w:r>
        <w:rPr>
          <w:rFonts w:ascii="Times New Roman" w:hAnsi="Times New Roman"/>
          <w:color w:val="000000"/>
          <w:sz w:val="20"/>
        </w:rPr>
        <w:t>” means, with respect to any asset, (a) any mortgage, deed of trust, lien, license, pledge, hypothecation, encumbrance, assignment,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provided that any precautionary UCC financing statements or similar filings (including any filing of a UCC financing statement or other filing with a Governmental Authority in respect of an operating lease or a consignment) and any filings with any Governmental Authority in respect of any license shall not constitute Liens to the extent that such operating lease, consignment or license to which the filings relate are otherwise Permitted Liens hereunder; provided that in no event shall any operating lease or any non-exclusive license, sub-license or cross-license to intellectual property be deemed to constitute a Lien.</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Moody’s</w:t>
      </w:r>
      <w:r>
        <w:rPr>
          <w:rFonts w:ascii="Times New Roman" w:hAnsi="Times New Roman"/>
          <w:color w:val="000000"/>
          <w:sz w:val="20"/>
        </w:rPr>
        <w:t>” means Moody’s Investors Service, Inc. and any successor to its rating agency business.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Non-U.S. Person</w:t>
      </w:r>
      <w:r>
        <w:rPr>
          <w:rFonts w:ascii="Times New Roman" w:hAnsi="Times New Roman"/>
          <w:color w:val="000000"/>
          <w:sz w:val="20"/>
        </w:rPr>
        <w:t>” means a Person who is not a U.S. Person.</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Notes</w:t>
      </w:r>
      <w:r>
        <w:rPr>
          <w:rFonts w:ascii="Times New Roman" w:hAnsi="Times New Roman"/>
          <w:color w:val="000000"/>
          <w:sz w:val="20"/>
        </w:rPr>
        <w:t>” means, collectively, the 2029 Notes, the 2031 Notes and the 2036 Notes, including, in each case, any Additional Notes.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Obligations</w:t>
      </w:r>
      <w:r>
        <w:rPr>
          <w:rFonts w:ascii="Times New Roman" w:hAnsi="Times New Roman"/>
          <w:color w:val="000000"/>
          <w:sz w:val="20"/>
        </w:rPr>
        <w:t>” means any principal, interest (including all post-petition interest, fees, and expenses, whether or not allowed or allowable in the applicable Insolvency or Liquidation Proceeding), penalties, fees, indemnifications, reimbursements, damages and other liabilities payable under the documentation governing any Indebtedness For Borrowed Money.</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Offer to Purchase</w:t>
      </w:r>
      <w:r>
        <w:rPr>
          <w:rFonts w:ascii="Times New Roman" w:hAnsi="Times New Roman"/>
          <w:color w:val="000000"/>
          <w:sz w:val="20"/>
        </w:rPr>
        <w:t>” means a Change of Control Offer or Alternate Change of Control Offer.</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Participant</w:t>
      </w:r>
      <w:r>
        <w:rPr>
          <w:rFonts w:ascii="Times New Roman" w:hAnsi="Times New Roman"/>
          <w:color w:val="000000"/>
          <w:sz w:val="20"/>
        </w:rPr>
        <w:t>” means, with respect to the Depositary, Euroclear or Clearstream, a Person who has an account with the Depositary, Euroclear or Clearstream, respectively (and, with respect to DTC, shall include Euroclear and Clearstream).</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Permitted Liens</w:t>
      </w:r>
      <w:r>
        <w:rPr>
          <w:rFonts w:ascii="Times New Roman" w:hAnsi="Times New Roman"/>
          <w:color w:val="000000"/>
          <w:sz w:val="20"/>
        </w:rPr>
        <w:t>” means: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         Liens to secure obligations with regard to Treasury Management Arrangements and hedging obligations;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(2)         Liens in favor of the Parent or any Subsidiary;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(3)         Liens on property or Equity Interests of another Person existing at the time such other Person becomes a Subsidiary of the Parent or is merged with or into or consolidated with the Parent or any Subsidiary of the Parent; </w:t>
      </w:r>
      <w:r>
        <w:rPr>
          <w:rFonts w:ascii="Times New Roman" w:hAnsi="Times New Roman"/>
          <w:i/>
          <w:color w:val="000000"/>
          <w:sz w:val="20"/>
        </w:rPr>
        <w:t>provided</w:t>
      </w:r>
      <w:r>
        <w:rPr>
          <w:rFonts w:ascii="Times New Roman" w:hAnsi="Times New Roman"/>
          <w:color w:val="000000"/>
          <w:sz w:val="20"/>
        </w:rPr>
        <w:t xml:space="preserve"> that such Liens (a) are not incurred in contemplation thereof and (b) do not extend to any other property owned by the Parent or any of the Subsidiaries (other than after acquired property of such Person (to the extent required to become subject to such Liens under the terms of the applicable agreements as in effect at the time such Person becomes a Subsidiary of the Parent) assets and property affixed or appurtenant thereto);</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(4)         Liens on property (including Equity Interests) existing at the time of acquisition of the property by the Parent or any Subsidiary of the Parent; </w:t>
      </w:r>
      <w:r>
        <w:rPr>
          <w:rFonts w:ascii="Times New Roman" w:hAnsi="Times New Roman"/>
          <w:i/>
          <w:color w:val="000000"/>
          <w:sz w:val="20"/>
        </w:rPr>
        <w:t>provided</w:t>
      </w:r>
      <w:r>
        <w:rPr>
          <w:rFonts w:ascii="Times New Roman" w:hAnsi="Times New Roman"/>
          <w:color w:val="000000"/>
          <w:sz w:val="20"/>
        </w:rPr>
        <w:t xml:space="preserve"> that such Liens were in existence prior to such acquisition and not incurred in contemplation of, such acquisition;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(5)        Liens (a) to secure the performance of, or arising in connection with, public or statutory obligations (including worker’s compensation laws, unemployment insurance laws or similar legislation), insurance, surety or appeal bonds, performance bonds or other obligations of a like nature, good faith deposits in connection with bids, tenders, contracts (other than for the payment of indebtedness) or leases, deposits as security for contested taxes or import duties or for the payment of rent, in each case incurred in the ordinary course of business (including Liens to secure letters of credit or similar instruments issued to assure payment or performance of such obligations), (b) in respect of letters of credit, bank guarantees or similar instruments issued for the account of the Parent or any Subsidiary supporting obligations of the type set forth in clause (a) above and (c) Liens on cash and Cash Equivalents securing letters of credit issued in the ordinary course of business;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(6)          Liens on securities that are the subject of repurchase agreements permitted hereunder;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(7)         Liens (a) to secure Capital Lease Obligations or in connection with any sale and leaseback arrangements or finance lease obligations and (b) on indebtedness (including Capital Lease Obligations) incurred to finance the acquisition, construction, installation, maintenance, service, repair, replacement, remodeling, modernization, expansion, upgrade, development, update or improvement of property (real or personal), equipment or other assets (whether through the direct purchase of assets or the Capital Stock of any Person owning such assets) used or useful in the business of the Parent and its Subsidiaries; </w:t>
      </w:r>
      <w:r>
        <w:rPr>
          <w:rFonts w:ascii="Times New Roman" w:hAnsi="Times New Roman"/>
          <w:i/>
          <w:color w:val="000000"/>
          <w:sz w:val="20"/>
        </w:rPr>
        <w:t>provided</w:t>
      </w:r>
      <w:r>
        <w:rPr>
          <w:rFonts w:ascii="Times New Roman" w:hAnsi="Times New Roman"/>
          <w:color w:val="000000"/>
          <w:sz w:val="20"/>
        </w:rPr>
        <w:t xml:space="preserve"> that such Liens attach concurrently with or within 365 days after the acquisition, construction, installation, maintenance, service, repair, replacement, remodeling, modernization, expansion, upgrade, development, update or improvement of the property subject to such Liens;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that individual financings of equipment provided by one lender may be cross collateralized to other financings of equipment provided by such lender;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(8)        Liens existing on the Issue Date and any modifications, replacements, renewals or extensions thereof; </w:t>
      </w:r>
      <w:r>
        <w:rPr>
          <w:rFonts w:ascii="Times New Roman" w:hAnsi="Times New Roman"/>
          <w:i/>
          <w:color w:val="000000"/>
          <w:sz w:val="20"/>
        </w:rPr>
        <w:t>provided</w:t>
      </w:r>
      <w:r>
        <w:rPr>
          <w:rFonts w:ascii="Times New Roman" w:hAnsi="Times New Roman"/>
          <w:color w:val="000000"/>
          <w:sz w:val="20"/>
        </w:rPr>
        <w:t xml:space="preserve"> that such modified, replacement, renewal or extension Lien does not extend to any additional property other than (x) after-acquired property that is affixed or incorporated into the property covered by such Lien and (y) proceeds and products thereof;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(9)         Liens for taxes, assessments or other governmental charges or claims that are (a) not yet delinquent, or (b) being contested in good faith by appropriate proceedings and with respect to which adequate reserves have been established in accordance with, and to the extent required by, applicable accounting standards;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(10)      Liens imposed by law, such as carriers’, warehousemen’s, landlord’s and mechanics’ Liens, in each case, either (a) incurred in the ordinary course of business or (b) for sums not yet due or being contested in good faith by appropriate proceedings;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(11)      survey exceptions, encumbrances, easements or reservations of, or rights of others for, licenses, rights-of-way, sewers, electric lines, telegraph and telephone lines and other similar purposes, or zoning or other restrictions as to the use of real property or Liens incidental to the conduct of the business of such Person or to the ownership of their properties which were not incurred in connection with indebtedness and that do not in the aggregate materially adversely affect the value of said properties or materially impair their use in the operation of the business of such Person;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(12)        Liens securing the Notes and the Parent Guarantee;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(13)     Liens on insurance policies, premiums and proceeds thereof, or other deposits, to secure insurance premium financings and other liabilities to insurance carriers;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(14)      Liens arising from UCC financing statement filings regarding operating leases or consignments entered into by the Parent and the Subsidiaries and other precautionary UCC financing statements or similar filings;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(15)       Liens securing or arising out of judgments, decrees, orders, awards or notices of lis pendens and associated rights related to litigation with respect to which such Person shall then be proceeding with an appeal or other proceedings for review, or in respect of which the period within which such appeal or proceedings may be initiated shall not have expired, and Liens on litigation proceeds securing obligations to pay expenses incurred in connection with such litigation;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(16)       Liens arising by virtue of any statutory or common law provisions relating to banker’s liens and rights of set-off or similar rights and remedies as to deposit accounts or other funds maintained with a depository or financial institution or as to purchase orders and other agreements entered into with customers in the ordinary course of business;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(17)        Liens on cash, Cash Equivalents or other property arising in connection with the defeasance, discharge or redemption of indebtedness;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(18)      Liens on specific items of inventory or other goods (and the proceeds thereof) of any Person securing such Person’s obligations in respect of bankers’ acceptances issued or created for the account of such Person to facilitate the purchase, shipment or storage of such inventory or other goods;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(19)      Liens arising out of conditional sale, title retention, consignment or similar arrangements for the sale of goods entered into in the ordinary course of business;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(20)        Liens securing obligations in respect of obligations under or in respect of Swap Agreements;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(21)        Liens in favor of customs and revenue authorities arising as a matter of law to secure payment of customs duties in connection with the importation of goods in the ordinary course of business;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(22)      Liens on equipment or inventory of the Parent or any Subsidiary granted in the ordinary course of business to the Parent’s or such Subsidiary’s supplier at which such equipment or inventory is located;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(23)      any encumbrance or restriction (including put and call arrangements) with respect to Capital Stock of any joint venture, minority investment or similar arrangement pursuant to any joint venture, shareholder, investor rights or similar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(24)      leases, subleases, non-exclusive licenses or non-exclusive sublicenses granted to third parties entered into in the ordinary course of business which do not materially interfere with the conduct of the business of the Parent and the Subsidiaries and which do not secure any indebtedness;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(25)       Liens (a) of a collection bank arising under Section 4-210 of the Uniform Commercial Code on items in the course of collection and (b) attaching to commodity trading accounts or other commodities brokerage accounts incurred in the ordinary course of business, including Liens encumbering reasonable customary initial deposits and margin deposits;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(26)      ground leases in respect of real property on which facilities owned or leased by the Parent or any of its Subsidiaries are located and other Liens affecting the interest of any landlord (and any underlying landlord) of any real property leased by the Parent or any Subsidiary;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(27)     Liens to secure contractual payments (contingent or otherwise) payable by the Parent or its Subsidiaries to a seller after the consummation of an acquisition of a product, business, license or other assets;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(28)      Liens on any assets held by a Trustee (i) under any indenture or other debt instrument where the proceeds of the securities issued thereunder are held in escrow pursuant to customary escrow arrangements pending the release thereof, and (ii) under any indenture pursuant to customary discharge, redemption or defeasance provisions;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(29)       any interest or title of a lessor or licensor under any lease, sublease, license or sublicense entered into by the Parent or any Subsidiary (A) existing on the Issue Date (but not created in contemplation hereof), (B) entered into in the ordinary course of its business or (C) entered into in connection with an acquisition;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(30)       usual and customary Liens incurred to secure ACH Indebtedness, business credit card programs, and netting services, overdrafts and related liabilities arising from treasury, depositary and cash management services and Liens in the nature of the right of setoff in favor of counterparties to contractual agreements with the Parent and its Subsidiaries in the ordinary course of business;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(31)       Liens on deposits or other amounts held in escrow to secure payments (contingent or otherwise) payable by the Parent or any of its Subsidiaries with respect to the settlement, satisfaction, compromise or resolution or judgments, litigation, arbitration or other disputes;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(32)       other Liens securing Indebtedness For Borrowed Money to the extent such Indebtedness For Borrowed Money, when taken together with all other Indebtedness For Borrowed Money secured by Liens incurred pursuant to this clause (32) that are at that time outstanding, do not exceed the greater of (a) $1,000.0 million and (b) 5% of Consolidated Total Assets;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(33)      Liens on Securitization Assets in connection with Qualified Securitization Financing or a Qualified Receivables Factoring or Liens existing by reason of other contractual requirements of a Securitization Subsidiary or any Qualified Securitization Financing or Qualified Receivables Factoring;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(34)       purchase options, calls and similar rights of, and restrictions for the benefit of, a third party with respect to Equity Interests held by the Parent or any Subsidiary in joint ventures; and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(35)        Liens securing the Headquarters arising as a result of a Sale and Leaseback Transaction thereof.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For the avoidance of doubt, the inclusion of any specific Lien in the definition of Permitted Liens shall not give rise to any implication that the obligations secured by such Lien constitute Indebtedness For Borrowed Money.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For purposes of determining compliance with this definition, (A) Permitted Liens need not be incurred solely by reference to one category of Permitted Liens described above but are permitted to be incurred in part under any combination thereof and (B) in the event that a Lien (or any portion thereof) meets the criteria of one or more of the categories of Permitted Liens described above, the Parent may, in its sole discretion, classify or reclassify such item of Permitted Liens (or any portion thereof) in any manner that complies with this definition and the Parent may divide and classify a Lien in more than one of the types of Permitted Liens in one of the above clauses.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Pounds Sterling</w:t>
      </w:r>
      <w:r>
        <w:rPr>
          <w:rFonts w:ascii="Times New Roman" w:hAnsi="Times New Roman"/>
          <w:color w:val="000000"/>
          <w:sz w:val="20"/>
        </w:rPr>
        <w:t>” means the lawful currency of the United Kingdom.</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Principal Personal or Real Property</w:t>
      </w:r>
      <w:r>
        <w:rPr>
          <w:rFonts w:ascii="Times New Roman" w:hAnsi="Times New Roman"/>
          <w:color w:val="000000"/>
          <w:sz w:val="20"/>
        </w:rPr>
        <w:t>” means any personal or real property (including, for the avoidance of doubt, accounts receivable and inventory) that has a net book value as of the date of determination in excess of the greater of (a) $1,000.0 million and (b) 5% of Consolidated Total Assets of the Parent and its Subsidiaries as of the most recent balance sheet of the Parent.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Private Placement Legend</w:t>
      </w:r>
      <w:r>
        <w:rPr>
          <w:rFonts w:ascii="Times New Roman" w:hAnsi="Times New Roman"/>
          <w:color w:val="000000"/>
          <w:sz w:val="20"/>
        </w:rPr>
        <w:t>” means the legend set forth in in Section 2.04 hereof under the heading Section 2.07(f)(1) Private Placement Legend.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QIB</w:t>
      </w:r>
      <w:r>
        <w:rPr>
          <w:rFonts w:ascii="Times New Roman" w:hAnsi="Times New Roman"/>
          <w:color w:val="000000"/>
          <w:sz w:val="20"/>
        </w:rPr>
        <w:t>” means a “qualified institutional buyer” as defined in Rule 144A.</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Qualified Receivables Factoring</w:t>
      </w:r>
      <w:r>
        <w:rPr>
          <w:rFonts w:ascii="Times New Roman" w:hAnsi="Times New Roman"/>
          <w:color w:val="000000"/>
          <w:sz w:val="20"/>
        </w:rPr>
        <w:t>” means any transaction or series of transactions that may be entered into by the Parent or any Subsidiary pursuant to which the Parent or such Subsidiary may sell, convey, assign or otherwise transfer Securitization Assets (which may include a backup or precautionary grant of security interest in such Securitization Assets so sold, conveyed, assigned or otherwise transferred or purported to be so sold, conveyed, assigned or otherwise transferred) to any Person other than a Securitization Subsidiary, which may include Standard Securitization Undertakings.  The grant of a security interest in any accounts receivable of the Parent or any of its Subsidiaries to secure the Obligations shall not be deemed to be a Qualified Receivables Factoring.</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Qualified Securitization Financing</w:t>
      </w:r>
      <w:r>
        <w:rPr>
          <w:rFonts w:ascii="Times New Roman" w:hAnsi="Times New Roman"/>
          <w:color w:val="000000"/>
          <w:sz w:val="20"/>
        </w:rPr>
        <w:t>” means any Securitization Financing of a Securitization Subsidiary that meets the following conditions:  (a) such Qualified Securitization Financing (including financing terms, covenants, termination events and other provisions) is in the aggregate economically fair and reasonable to the Parent and the Securitization Subsidiary as determined by the Parent in good faith and (b) all sales and/or contributions of Securitization Assets and related assets to the Securitization Subsidiary are made at fair market value as determined by the Parent in good faith.  The grant of a security interest in any Securitization Assets of the Parent or any of its Subsidiaries (other than a Securitization Subsidiary) to secure Indebtedness For Borrowed Money under any indenture prior to engaging in any Securitization Financing shall not be deemed a Qualified Securitization Financing.</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Rating Agencies</w:t>
      </w:r>
      <w:r>
        <w:rPr>
          <w:rFonts w:ascii="Times New Roman" w:hAnsi="Times New Roman"/>
          <w:color w:val="000000"/>
          <w:sz w:val="20"/>
        </w:rPr>
        <w:t>” means (1) each of Fitch, Moody’s and S&amp;P; and (2) if any of Fitch, Moody’s or S&amp;P ceases to rate the Notes or fails to make a rating of the Notes publicly available for reasons outside of our control, a “nationally recognized statistical rating organization” within the meaning of Section 3(a)(62) under the Exchange Act selected by the Parent as a replacement agency for Fitch, Moody’s or S&amp;P, or all of them, as the case may be.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Rating Event</w:t>
      </w:r>
      <w:r>
        <w:rPr>
          <w:rFonts w:ascii="Times New Roman" w:hAnsi="Times New Roman"/>
          <w:color w:val="000000"/>
          <w:sz w:val="20"/>
        </w:rPr>
        <w:t xml:space="preserve">” means (1) with respect to the 2029 Notes, the rating on the 2029 Notes is lowered by at least two of the three Rating Agencies and the 2029 Notes are rated below an Investment Grade Rating by at least two of the three Rating Agencies, (2) with respect to the 2031 Notes, the rating on the 2031 Notes is lowered by at least two of the three Rating Agencies and the 2031 Notes are rated below an Investment Grade Rating by at least two of the three Rating Agencies, and (3) with respect to the 2036 Notes, the rating on the 2036 Notes is lowered by at least two of the three Rating Agencies and the 2036 Notes are rated below an Investment Grade Rating by at least two of the three Rating Agencies, in each case, on any date from the date of the first public notice of an arrangement that could result in a Change of Control until the end of the 60-day period following such public notice of the occurrence of a Change of Control (which period shall be extended so long as the rating of the applicable Notes is under publicly announced consideration for possible downgrade by at least two of the Rating Agencies); </w:t>
      </w:r>
      <w:r>
        <w:rPr>
          <w:rFonts w:ascii="Times New Roman" w:hAnsi="Times New Roman"/>
          <w:i/>
          <w:color w:val="000000"/>
          <w:sz w:val="20"/>
        </w:rPr>
        <w:t>provided</w:t>
      </w:r>
      <w:r>
        <w:rPr>
          <w:rFonts w:ascii="Times New Roman" w:hAnsi="Times New Roman"/>
          <w:color w:val="000000"/>
          <w:sz w:val="20"/>
        </w:rPr>
        <w:t xml:space="preserve"> that a Rating Event otherwise arising by virtue of a particular reduction in rating shall not be deemed to have occurred in respect of a particular Change of Control (and thus shall not be deemed a Rating Event for purposes of the definition of Change of Control Triggering Event hereunder) if the Rating Agencies making the reduction in rating to which this definition would otherwise apply do not announce or publicly confirm or inform us that the reduction was the result, in whole or in part, of any event or circumstance comprised of or arising as a result of, or in respect of, the applicable Change of Control (whether or not the applicable Change of Control shall have occurred at the time of the Rating Event).  The Trustee shall not be responsible for monitoring our rating status, making any request upon any Rating Agency, or determining whether any Rating Event with respect to the Notes has occurred.</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Receivables Repurchase Obligation</w:t>
      </w:r>
      <w:r>
        <w:rPr>
          <w:rFonts w:ascii="Times New Roman" w:hAnsi="Times New Roman"/>
          <w:color w:val="000000"/>
          <w:sz w:val="20"/>
        </w:rPr>
        <w:t>” means any obligation of a seller of receivables in a Qualified Receivables Factoring or Qualified Securitization Financing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 in each case, that are customary (as determined in good faith by the Parent) for non-recourse receivables financings.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Regulation S</w:t>
      </w:r>
      <w:r>
        <w:rPr>
          <w:rFonts w:ascii="Times New Roman" w:hAnsi="Times New Roman"/>
          <w:color w:val="000000"/>
          <w:sz w:val="20"/>
        </w:rPr>
        <w:t>” means Regulation S promulgated under the Securities Act.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Regulation S Global Note</w:t>
      </w:r>
      <w:r>
        <w:rPr>
          <w:rFonts w:ascii="Times New Roman" w:hAnsi="Times New Roman"/>
          <w:color w:val="000000"/>
          <w:sz w:val="20"/>
        </w:rPr>
        <w:t>” means a Global Note substantially in the form of Exhibit A, B or C, as applicable, hereto bearing the Global Note Legend and the Private Placement Legend and deposited with or on behalf of and registered in the name of the Depositary or its nominee, issued in a denomination equal to the outstanding principal amount of the Notes initially sold in reliance on Rule 903 of Regulation 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Regulation S Global Note Legend</w:t>
      </w:r>
      <w:r>
        <w:rPr>
          <w:rFonts w:ascii="Times New Roman" w:hAnsi="Times New Roman"/>
          <w:color w:val="000000"/>
          <w:sz w:val="20"/>
        </w:rPr>
        <w:t>” means the legend set forth in Section 2.04 hereof under the heading Section 2.07(f)(2) Regulation S Global Note Legend.</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Restricted Definitive Note</w:t>
      </w:r>
      <w:r>
        <w:rPr>
          <w:rFonts w:ascii="Times New Roman" w:hAnsi="Times New Roman"/>
          <w:color w:val="000000"/>
          <w:sz w:val="20"/>
        </w:rPr>
        <w:t>” means a Definitive Note bearing the Private Placement Legend.</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Restricted Global Note</w:t>
      </w:r>
      <w:r>
        <w:rPr>
          <w:rFonts w:ascii="Times New Roman" w:hAnsi="Times New Roman"/>
          <w:color w:val="000000"/>
          <w:sz w:val="20"/>
        </w:rPr>
        <w:t>” means a Global Note bearing the Private Placement Legend.</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Restricted Note</w:t>
      </w:r>
      <w:r>
        <w:rPr>
          <w:rFonts w:ascii="Times New Roman" w:hAnsi="Times New Roman"/>
          <w:color w:val="000000"/>
          <w:sz w:val="20"/>
        </w:rPr>
        <w:t>” means a Note required to bear the Private Placement legend.</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Restricted Period</w:t>
      </w:r>
      <w:r>
        <w:rPr>
          <w:rFonts w:ascii="Times New Roman" w:hAnsi="Times New Roman"/>
          <w:color w:val="000000"/>
          <w:sz w:val="20"/>
        </w:rPr>
        <w:t>” means the 40-day distribution compliance period as defined in Regulation 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Rule 144</w:t>
      </w:r>
      <w:r>
        <w:rPr>
          <w:rFonts w:ascii="Times New Roman" w:hAnsi="Times New Roman"/>
          <w:color w:val="000000"/>
          <w:sz w:val="20"/>
        </w:rPr>
        <w:t>” means Rule 144 promulgated under the Securities Act.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Rule 144A</w:t>
      </w:r>
      <w:r>
        <w:rPr>
          <w:rFonts w:ascii="Times New Roman" w:hAnsi="Times New Roman"/>
          <w:color w:val="000000"/>
          <w:sz w:val="20"/>
        </w:rPr>
        <w:t>” means Rule 144A promulgated under the Securities Act.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Rule 903</w:t>
      </w:r>
      <w:r>
        <w:rPr>
          <w:rFonts w:ascii="Times New Roman" w:hAnsi="Times New Roman"/>
          <w:color w:val="000000"/>
          <w:sz w:val="20"/>
        </w:rPr>
        <w:t>” means Rule 903 promulgated under the Securities Act.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Rule 904</w:t>
      </w:r>
      <w:r>
        <w:rPr>
          <w:rFonts w:ascii="Times New Roman" w:hAnsi="Times New Roman"/>
          <w:color w:val="000000"/>
          <w:sz w:val="20"/>
        </w:rPr>
        <w:t>” means Rule 904 promulgated under the Securities Act.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S&amp;P</w:t>
      </w:r>
      <w:r>
        <w:rPr>
          <w:rFonts w:ascii="Times New Roman" w:hAnsi="Times New Roman"/>
          <w:color w:val="000000"/>
          <w:sz w:val="20"/>
        </w:rPr>
        <w:t>” means S&amp;P Global Ratings, and any successor to its rating agency business.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Sale and Leaseback Transaction</w:t>
      </w:r>
      <w:r>
        <w:rPr>
          <w:rFonts w:ascii="Times New Roman" w:hAnsi="Times New Roman"/>
          <w:color w:val="000000"/>
          <w:sz w:val="20"/>
        </w:rPr>
        <w:t>” means any sale or other transfer of any property or asset by any Person with the intent to lease such property or asset as lessee.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Securities</w:t>
      </w:r>
      <w:r>
        <w:rPr>
          <w:rFonts w:ascii="Times New Roman" w:hAnsi="Times New Roman"/>
          <w:color w:val="000000"/>
          <w:sz w:val="20"/>
        </w:rPr>
        <w:t>” means the “Notes” as defined in the Base Indenture.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Securitization Assets</w:t>
      </w:r>
      <w:r>
        <w:rPr>
          <w:rFonts w:ascii="Times New Roman" w:hAnsi="Times New Roman"/>
          <w:color w:val="000000"/>
          <w:sz w:val="20"/>
        </w:rPr>
        <w:t>” means (a) the accounts receivable, royalty or other revenue streams and other rights to payment and other assets related thereto and the proceeds thereof and (b) contract rights, lockbox accounts and records with respect to such accounts receivable and any other assets customarily transferred in a securitization financing.</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Securitization Financing</w:t>
      </w:r>
      <w:r>
        <w:rPr>
          <w:rFonts w:ascii="Times New Roman" w:hAnsi="Times New Roman"/>
          <w:color w:val="000000"/>
          <w:sz w:val="20"/>
        </w:rPr>
        <w:t>” means any transaction or series of transactions that may be entered into by the Parent or any of its Subsidiaries pursuant to which the Parent or any of its Subsidiaries may sell, convey or otherwise transfer to (a) a Securitization Subsidiary (in the case of a transfer by the Parent or any of its Subsidiaries) or (b) any other Person (in the case of a transfer by a Securitization Subsidiary), or may grant a security interest in (which in either case may include a backup or precautionary grant) any Securitization Assets of the Parent or any of its Subsidiaries, and any assets related thereto, including all collateral securing such Securitization Assets, all contracts and all guarantees or other obligations in respect of such Securitization Assets, proceeds of such Securitization Assets and other assets that are customarily transferred or in respect of which security interests are customarily granted in connection with asset securitization transactions involving Securitization Assets.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Securitization Subsidiary</w:t>
      </w:r>
      <w:r>
        <w:rPr>
          <w:rFonts w:ascii="Times New Roman" w:hAnsi="Times New Roman"/>
          <w:color w:val="000000"/>
          <w:sz w:val="20"/>
        </w:rPr>
        <w:t>” means a wholly-owned Subsidiary of the Parent (or another Person formed for the purposes of engaging in a Qualified Securitization Financing in which the Parent or any Subsidiary of the Parent makes an investment and to which the Parent or any Subsidiary of the Parent transfers Securitization Assets and related assets) that engages in no activities other than in connection with the financing of Securitization Assets of the Parent or its Subsidiaries, all proceeds thereof and all rights (contingent and other), collateral and other assets relating thereto, and any business or activities incidental or related to such business, and which is designated by the Board of Directors or such other Person (as provided below) as a Securitization Subsidiary.</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Standard Securitization Undertakings</w:t>
      </w:r>
      <w:r>
        <w:rPr>
          <w:rFonts w:ascii="Times New Roman" w:hAnsi="Times New Roman"/>
          <w:color w:val="000000"/>
          <w:sz w:val="20"/>
        </w:rPr>
        <w:t>” means representations, warranties, covenants and indemnities entered into by the Parent or any Subsidiary of the Parent that are customary (as determined by the Parent in good faith) in a Securitization Financing or a Qualified Receivables Factoring, including without limitation those relating to the servicing of the assets of a Securitization Subsidiary, it being understood that a Receivables Repurchase Obligations shall be deemed to be a Standard Securitization Undertaking.</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Stated Maturity</w:t>
      </w:r>
      <w:r>
        <w:rPr>
          <w:rFonts w:ascii="Times New Roman" w:hAnsi="Times New Roman"/>
          <w:color w:val="000000"/>
          <w:sz w:val="20"/>
        </w:rPr>
        <w:t>” means, with respect to any installment of interest or principal on any series of Indebtedness For Borrowed Money, the date on which the payment of interest or principal was scheduled to be paid in the documentation governing such Indebtedness For Borrowed Money as of its date of issue, and will not include any contingent obligations to repay, redeem or repurchase any such interest or principal prior to the date originally scheduled for the payment thereof.</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Treasury Management Arrangement</w:t>
      </w:r>
      <w:r>
        <w:rPr>
          <w:rFonts w:ascii="Times New Roman" w:hAnsi="Times New Roman"/>
          <w:color w:val="000000"/>
          <w:sz w:val="20"/>
        </w:rPr>
        <w:t>” means any agreement or other arrangement governing the provision of treasury or cash management services, including deposit accounts, overdraft, credit or debit card, funds transfer, automated clearinghouse transfers, zero balance accounts, returned check concentration, controlled disbursement, lockbox, account reconciliation and reporting, trade finance services and other cash management services.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UCC</w:t>
      </w:r>
      <w:r>
        <w:rPr>
          <w:rFonts w:ascii="Times New Roman" w:hAnsi="Times New Roman"/>
          <w:color w:val="000000"/>
          <w:sz w:val="20"/>
        </w:rPr>
        <w:t>” means the Uniform Commercial Code as in effect from time to time in the State of New York or any other state the laws of which are required to be applied in connection with the issue of perfection of security interests.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Unrestricted Global Note</w:t>
      </w:r>
      <w:r>
        <w:rPr>
          <w:rFonts w:ascii="Times New Roman" w:hAnsi="Times New Roman"/>
          <w:color w:val="000000"/>
          <w:sz w:val="20"/>
        </w:rPr>
        <w:t>” means a Global Note that does not bear and is not required to bear the Private Placement Legend.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1.02         </w:t>
      </w:r>
      <w:r>
        <w:rPr>
          <w:rFonts w:ascii="Times New Roman" w:hAnsi="Times New Roman"/>
          <w:i/>
          <w:color w:val="000000"/>
          <w:sz w:val="20"/>
        </w:rPr>
        <w:t>Other Definitions</w:t>
      </w:r>
      <w:r>
        <w:rPr>
          <w:rFonts w:ascii="Times New Roman" w:hAnsi="Times New Roman"/>
          <w:color w:val="000000"/>
          <w:sz w:val="20"/>
        </w:rPr>
        <w:t xml:space="preserve">. </w:t>
      </w:r>
    </w:p>
    <w:p>
      <w:pPr>
        <w:pStyle w:val="TextBody"/>
        <w:bidi w:val="0"/>
        <w:spacing w:before="0" w:after="0"/>
        <w:ind w:left="0" w:right="0" w:firstLine="720"/>
        <w:jc w:val="both"/>
        <w:rPr/>
      </w:pPr>
      <w:r>
        <w:rPr/>
      </w:r>
    </w:p>
    <w:p>
      <w:pPr>
        <w:pStyle w:val="Normal"/>
        <w:bidi w:val="0"/>
        <w:spacing w:before="0" w:after="0"/>
        <w:jc w:val="left"/>
        <w:rPr>
          <w:sz w:val="4"/>
          <w:szCs w:val="4"/>
        </w:rPr>
      </w:pPr>
      <w:r>
        <w:rPr>
          <w:sz w:val="4"/>
          <w:szCs w:val="4"/>
        </w:rPr>
      </w:r>
      <w:bookmarkStart w:id="65" w:name="zc3923a07c5a941b7bb064bb349881131"/>
      <w:bookmarkStart w:id="66" w:name="zc3923a07c5a941b7bb064bb349881131"/>
      <w:bookmarkEnd w:id="66"/>
    </w:p>
    <w:tbl>
      <w:tblPr>
        <w:tblW w:w="4810" w:type="dxa"/>
        <w:jc w:val="left"/>
        <w:tblInd w:w="0" w:type="dxa"/>
        <w:tblLayout w:type="fixed"/>
        <w:tblCellMar>
          <w:top w:w="0" w:type="dxa"/>
          <w:left w:w="0" w:type="dxa"/>
          <w:bottom w:w="0" w:type="dxa"/>
          <w:right w:w="0" w:type="dxa"/>
        </w:tblCellMar>
      </w:tblPr>
      <w:tblGrid>
        <w:gridCol w:w="2930"/>
        <w:gridCol w:w="1880"/>
      </w:tblGrid>
      <w:tr>
        <w:trPr/>
        <w:tc>
          <w:tcPr>
            <w:tcW w:w="2930" w:type="dxa"/>
            <w:tcBorders/>
            <w:vAlign w:val="center"/>
          </w:tcPr>
          <w:p>
            <w:pPr>
              <w:pStyle w:val="TableContents"/>
              <w:bidi w:val="0"/>
              <w:spacing w:before="0" w:after="0"/>
              <w:jc w:val="both"/>
              <w:rPr>
                <w:b/>
                <w:color w:val="000000"/>
              </w:rPr>
            </w:pPr>
            <w:r>
              <w:rPr>
                <w:b/>
                <w:color w:val="000000"/>
              </w:rPr>
              <w:t>Term</w:t>
            </w:r>
          </w:p>
        </w:tc>
        <w:tc>
          <w:tcPr>
            <w:tcW w:w="1880" w:type="dxa"/>
            <w:tcBorders/>
            <w:vAlign w:val="center"/>
          </w:tcPr>
          <w:p>
            <w:pPr>
              <w:pStyle w:val="TableContents"/>
              <w:bidi w:val="0"/>
              <w:spacing w:before="0" w:after="0"/>
              <w:jc w:val="center"/>
              <w:rPr>
                <w:b/>
                <w:color w:val="000000"/>
              </w:rPr>
            </w:pPr>
            <w:r>
              <w:rPr>
                <w:b/>
                <w:color w:val="000000"/>
              </w:rPr>
              <w:t>Defined in Section</w:t>
            </w:r>
          </w:p>
        </w:tc>
      </w:tr>
      <w:tr>
        <w:trPr/>
        <w:tc>
          <w:tcPr>
            <w:tcW w:w="2930" w:type="dxa"/>
            <w:tcBorders/>
            <w:shd w:fill="CCEEFF" w:val="clear"/>
            <w:vAlign w:val="center"/>
          </w:tcPr>
          <w:p>
            <w:pPr>
              <w:pStyle w:val="TableContents"/>
              <w:bidi w:val="0"/>
              <w:spacing w:before="0" w:after="0"/>
              <w:jc w:val="both"/>
              <w:rPr>
                <w:color w:val="000000"/>
              </w:rPr>
            </w:pPr>
            <w:r>
              <w:rPr>
                <w:color w:val="000000"/>
              </w:rPr>
              <w:t>“</w:t>
            </w:r>
            <w:r>
              <w:rPr>
                <w:i/>
                <w:color w:val="000000"/>
              </w:rPr>
              <w:t>Additional Notes</w:t>
            </w:r>
            <w:r>
              <w:rPr>
                <w:color w:val="000000"/>
              </w:rPr>
              <w:t>”</w:t>
            </w:r>
          </w:p>
        </w:tc>
        <w:tc>
          <w:tcPr>
            <w:tcW w:w="1880" w:type="dxa"/>
            <w:tcBorders/>
            <w:shd w:fill="CCEEFF" w:val="clear"/>
            <w:vAlign w:val="center"/>
          </w:tcPr>
          <w:p>
            <w:pPr>
              <w:pStyle w:val="TableContents"/>
              <w:bidi w:val="0"/>
              <w:spacing w:before="0" w:after="0"/>
              <w:jc w:val="center"/>
              <w:rPr>
                <w:color w:val="000000"/>
              </w:rPr>
            </w:pPr>
            <w:r>
              <w:rPr>
                <w:color w:val="000000"/>
              </w:rPr>
              <w:t>2.03</w:t>
            </w:r>
          </w:p>
        </w:tc>
      </w:tr>
      <w:tr>
        <w:trPr/>
        <w:tc>
          <w:tcPr>
            <w:tcW w:w="2930" w:type="dxa"/>
            <w:tcBorders/>
            <w:vAlign w:val="center"/>
          </w:tcPr>
          <w:p>
            <w:pPr>
              <w:pStyle w:val="TableContents"/>
              <w:bidi w:val="0"/>
              <w:spacing w:before="0" w:after="0"/>
              <w:jc w:val="both"/>
              <w:rPr>
                <w:color w:val="000000"/>
              </w:rPr>
            </w:pPr>
            <w:r>
              <w:rPr>
                <w:color w:val="000000"/>
              </w:rPr>
              <w:t>“</w:t>
            </w:r>
            <w:r>
              <w:rPr>
                <w:i/>
                <w:color w:val="000000"/>
              </w:rPr>
              <w:t>Alternate Offer</w:t>
            </w:r>
            <w:r>
              <w:rPr>
                <w:color w:val="000000"/>
              </w:rPr>
              <w:t>”</w:t>
            </w:r>
          </w:p>
        </w:tc>
        <w:tc>
          <w:tcPr>
            <w:tcW w:w="1880" w:type="dxa"/>
            <w:tcBorders/>
            <w:vAlign w:val="center"/>
          </w:tcPr>
          <w:p>
            <w:pPr>
              <w:pStyle w:val="TableContents"/>
              <w:bidi w:val="0"/>
              <w:spacing w:before="0" w:after="0"/>
              <w:jc w:val="center"/>
              <w:rPr>
                <w:color w:val="000000"/>
              </w:rPr>
            </w:pPr>
            <w:r>
              <w:rPr>
                <w:color w:val="000000"/>
              </w:rPr>
              <w:t>4.02</w:t>
            </w:r>
          </w:p>
        </w:tc>
      </w:tr>
      <w:tr>
        <w:trPr/>
        <w:tc>
          <w:tcPr>
            <w:tcW w:w="2930" w:type="dxa"/>
            <w:tcBorders/>
            <w:shd w:fill="CCEEFF" w:val="clear"/>
            <w:vAlign w:val="center"/>
          </w:tcPr>
          <w:p>
            <w:pPr>
              <w:pStyle w:val="TableContents"/>
              <w:bidi w:val="0"/>
              <w:spacing w:before="0" w:after="0"/>
              <w:jc w:val="both"/>
              <w:rPr>
                <w:color w:val="000000"/>
              </w:rPr>
            </w:pPr>
            <w:r>
              <w:rPr>
                <w:color w:val="000000"/>
              </w:rPr>
              <w:t>“</w:t>
            </w:r>
            <w:r>
              <w:rPr>
                <w:i/>
                <w:color w:val="000000"/>
              </w:rPr>
              <w:t>Applicable Premium</w:t>
            </w:r>
            <w:r>
              <w:rPr>
                <w:color w:val="000000"/>
              </w:rPr>
              <w:t>”</w:t>
            </w:r>
          </w:p>
        </w:tc>
        <w:tc>
          <w:tcPr>
            <w:tcW w:w="1880" w:type="dxa"/>
            <w:tcBorders/>
            <w:shd w:fill="CCEEFF" w:val="clear"/>
            <w:vAlign w:val="center"/>
          </w:tcPr>
          <w:p>
            <w:pPr>
              <w:pStyle w:val="TableContents"/>
              <w:bidi w:val="0"/>
              <w:spacing w:before="0" w:after="0"/>
              <w:jc w:val="center"/>
              <w:rPr>
                <w:color w:val="000000"/>
              </w:rPr>
            </w:pPr>
            <w:r>
              <w:rPr>
                <w:color w:val="000000"/>
              </w:rPr>
              <w:t>3.01</w:t>
            </w:r>
          </w:p>
        </w:tc>
      </w:tr>
      <w:tr>
        <w:trPr/>
        <w:tc>
          <w:tcPr>
            <w:tcW w:w="2930" w:type="dxa"/>
            <w:tcBorders/>
            <w:vAlign w:val="center"/>
          </w:tcPr>
          <w:p>
            <w:pPr>
              <w:pStyle w:val="TableContents"/>
              <w:bidi w:val="0"/>
              <w:spacing w:before="0" w:after="0"/>
              <w:jc w:val="both"/>
              <w:rPr>
                <w:color w:val="000000"/>
              </w:rPr>
            </w:pPr>
            <w:r>
              <w:rPr>
                <w:color w:val="000000"/>
              </w:rPr>
              <w:t>“</w:t>
            </w:r>
            <w:r>
              <w:rPr>
                <w:i/>
                <w:color w:val="000000"/>
              </w:rPr>
              <w:t>Change of Control Offer</w:t>
            </w:r>
            <w:r>
              <w:rPr>
                <w:color w:val="000000"/>
              </w:rPr>
              <w:t>”</w:t>
            </w:r>
          </w:p>
        </w:tc>
        <w:tc>
          <w:tcPr>
            <w:tcW w:w="1880" w:type="dxa"/>
            <w:tcBorders/>
            <w:vAlign w:val="center"/>
          </w:tcPr>
          <w:p>
            <w:pPr>
              <w:pStyle w:val="TableContents"/>
              <w:bidi w:val="0"/>
              <w:spacing w:before="0" w:after="0"/>
              <w:jc w:val="center"/>
              <w:rPr>
                <w:color w:val="000000"/>
              </w:rPr>
            </w:pPr>
            <w:r>
              <w:rPr>
                <w:color w:val="000000"/>
              </w:rPr>
              <w:t>4.02</w:t>
            </w:r>
          </w:p>
        </w:tc>
      </w:tr>
      <w:tr>
        <w:trPr/>
        <w:tc>
          <w:tcPr>
            <w:tcW w:w="2930" w:type="dxa"/>
            <w:tcBorders/>
            <w:shd w:fill="CCEEFF" w:val="clear"/>
            <w:vAlign w:val="center"/>
          </w:tcPr>
          <w:p>
            <w:pPr>
              <w:pStyle w:val="TableContents"/>
              <w:bidi w:val="0"/>
              <w:spacing w:before="0" w:after="0"/>
              <w:jc w:val="both"/>
              <w:rPr>
                <w:color w:val="000000"/>
              </w:rPr>
            </w:pPr>
            <w:r>
              <w:rPr>
                <w:color w:val="000000"/>
              </w:rPr>
              <w:t>“</w:t>
            </w:r>
            <w:r>
              <w:rPr>
                <w:i/>
                <w:color w:val="000000"/>
              </w:rPr>
              <w:t>Change of Control Payment</w:t>
            </w:r>
            <w:r>
              <w:rPr>
                <w:color w:val="000000"/>
              </w:rPr>
              <w:t>”</w:t>
            </w:r>
          </w:p>
        </w:tc>
        <w:tc>
          <w:tcPr>
            <w:tcW w:w="1880" w:type="dxa"/>
            <w:tcBorders/>
            <w:shd w:fill="CCEEFF" w:val="clear"/>
            <w:vAlign w:val="center"/>
          </w:tcPr>
          <w:p>
            <w:pPr>
              <w:pStyle w:val="TableContents"/>
              <w:bidi w:val="0"/>
              <w:spacing w:before="0" w:after="0"/>
              <w:jc w:val="center"/>
              <w:rPr>
                <w:color w:val="000000"/>
              </w:rPr>
            </w:pPr>
            <w:r>
              <w:rPr>
                <w:color w:val="000000"/>
              </w:rPr>
              <w:t>4.02</w:t>
            </w:r>
          </w:p>
        </w:tc>
      </w:tr>
      <w:tr>
        <w:trPr/>
        <w:tc>
          <w:tcPr>
            <w:tcW w:w="2930" w:type="dxa"/>
            <w:tcBorders/>
            <w:vAlign w:val="center"/>
          </w:tcPr>
          <w:p>
            <w:pPr>
              <w:pStyle w:val="TableContents"/>
              <w:bidi w:val="0"/>
              <w:spacing w:before="0" w:after="0"/>
              <w:jc w:val="both"/>
              <w:rPr>
                <w:color w:val="000000"/>
              </w:rPr>
            </w:pPr>
            <w:r>
              <w:rPr>
                <w:color w:val="000000"/>
              </w:rPr>
              <w:t>“</w:t>
            </w:r>
            <w:r>
              <w:rPr>
                <w:i/>
                <w:color w:val="000000"/>
              </w:rPr>
              <w:t>Par Call Date</w:t>
            </w:r>
            <w:r>
              <w:rPr>
                <w:color w:val="000000"/>
              </w:rPr>
              <w:t>”</w:t>
            </w:r>
          </w:p>
        </w:tc>
        <w:tc>
          <w:tcPr>
            <w:tcW w:w="1880" w:type="dxa"/>
            <w:tcBorders/>
            <w:vAlign w:val="center"/>
          </w:tcPr>
          <w:p>
            <w:pPr>
              <w:pStyle w:val="TableContents"/>
              <w:bidi w:val="0"/>
              <w:spacing w:before="0" w:after="0"/>
              <w:jc w:val="center"/>
              <w:rPr>
                <w:color w:val="000000"/>
              </w:rPr>
            </w:pPr>
            <w:r>
              <w:rPr>
                <w:color w:val="000000"/>
              </w:rPr>
              <w:t>3.01</w:t>
            </w:r>
          </w:p>
        </w:tc>
      </w:tr>
      <w:tr>
        <w:trPr/>
        <w:tc>
          <w:tcPr>
            <w:tcW w:w="2930" w:type="dxa"/>
            <w:tcBorders/>
            <w:shd w:fill="CCEEFF" w:val="clear"/>
            <w:vAlign w:val="center"/>
          </w:tcPr>
          <w:p>
            <w:pPr>
              <w:pStyle w:val="TableContents"/>
              <w:bidi w:val="0"/>
              <w:spacing w:before="0" w:after="0"/>
              <w:jc w:val="both"/>
              <w:rPr>
                <w:color w:val="000000"/>
              </w:rPr>
            </w:pPr>
            <w:r>
              <w:rPr>
                <w:color w:val="000000"/>
              </w:rPr>
              <w:t>“</w:t>
            </w:r>
            <w:r>
              <w:rPr>
                <w:i/>
                <w:color w:val="000000"/>
              </w:rPr>
              <w:t>Purchase Date</w:t>
            </w:r>
            <w:r>
              <w:rPr>
                <w:color w:val="000000"/>
              </w:rPr>
              <w:t>”</w:t>
            </w:r>
          </w:p>
        </w:tc>
        <w:tc>
          <w:tcPr>
            <w:tcW w:w="1880" w:type="dxa"/>
            <w:tcBorders/>
            <w:shd w:fill="CCEEFF" w:val="clear"/>
            <w:vAlign w:val="center"/>
          </w:tcPr>
          <w:p>
            <w:pPr>
              <w:pStyle w:val="TableContents"/>
              <w:bidi w:val="0"/>
              <w:spacing w:before="0" w:after="0"/>
              <w:jc w:val="center"/>
              <w:rPr>
                <w:color w:val="000000"/>
              </w:rPr>
            </w:pPr>
            <w:r>
              <w:rPr>
                <w:color w:val="000000"/>
              </w:rPr>
              <w:t>3.04</w:t>
            </w:r>
          </w:p>
        </w:tc>
      </w:tr>
      <w:tr>
        <w:trPr/>
        <w:tc>
          <w:tcPr>
            <w:tcW w:w="2930" w:type="dxa"/>
            <w:tcBorders/>
            <w:vAlign w:val="center"/>
          </w:tcPr>
          <w:p>
            <w:pPr>
              <w:pStyle w:val="TableContents"/>
              <w:bidi w:val="0"/>
              <w:spacing w:before="0" w:after="0"/>
              <w:jc w:val="both"/>
              <w:rPr>
                <w:color w:val="000000"/>
              </w:rPr>
            </w:pPr>
            <w:r>
              <w:rPr>
                <w:color w:val="000000"/>
              </w:rPr>
              <w:t>“</w:t>
            </w:r>
            <w:r>
              <w:rPr>
                <w:i/>
                <w:color w:val="000000"/>
              </w:rPr>
              <w:t>Tax Redemption Date</w:t>
            </w:r>
            <w:r>
              <w:rPr>
                <w:color w:val="000000"/>
              </w:rPr>
              <w:t>”</w:t>
            </w:r>
          </w:p>
        </w:tc>
        <w:tc>
          <w:tcPr>
            <w:tcW w:w="1880" w:type="dxa"/>
            <w:tcBorders/>
            <w:vAlign w:val="center"/>
          </w:tcPr>
          <w:p>
            <w:pPr>
              <w:pStyle w:val="TableContents"/>
              <w:bidi w:val="0"/>
              <w:spacing w:before="0" w:after="0"/>
              <w:jc w:val="center"/>
              <w:rPr>
                <w:color w:val="000000"/>
              </w:rPr>
            </w:pPr>
            <w:r>
              <w:rPr>
                <w:color w:val="000000"/>
              </w:rPr>
              <w:t>3.02</w:t>
            </w:r>
          </w:p>
        </w:tc>
      </w:tr>
      <w:tr>
        <w:trPr/>
        <w:tc>
          <w:tcPr>
            <w:tcW w:w="2930" w:type="dxa"/>
            <w:tcBorders/>
            <w:shd w:fill="CCEEFF" w:val="clear"/>
            <w:vAlign w:val="center"/>
          </w:tcPr>
          <w:p>
            <w:pPr>
              <w:pStyle w:val="TableContents"/>
              <w:bidi w:val="0"/>
              <w:spacing w:before="0" w:after="0"/>
              <w:jc w:val="both"/>
              <w:rPr>
                <w:color w:val="000000"/>
              </w:rPr>
            </w:pPr>
            <w:r>
              <w:rPr>
                <w:color w:val="000000"/>
              </w:rPr>
              <w:t>“</w:t>
            </w:r>
            <w:r>
              <w:rPr>
                <w:i/>
                <w:color w:val="000000"/>
              </w:rPr>
              <w:t>Treasury Rate</w:t>
            </w:r>
            <w:r>
              <w:rPr>
                <w:color w:val="000000"/>
              </w:rPr>
              <w:t>”</w:t>
            </w:r>
          </w:p>
        </w:tc>
        <w:tc>
          <w:tcPr>
            <w:tcW w:w="1880" w:type="dxa"/>
            <w:tcBorders/>
            <w:shd w:fill="CCEEFF" w:val="clear"/>
            <w:vAlign w:val="center"/>
          </w:tcPr>
          <w:p>
            <w:pPr>
              <w:pStyle w:val="TableContents"/>
              <w:bidi w:val="0"/>
              <w:spacing w:before="0" w:after="0"/>
              <w:jc w:val="center"/>
              <w:rPr>
                <w:color w:val="000000"/>
              </w:rPr>
            </w:pPr>
            <w:r>
              <w:rPr>
                <w:color w:val="000000"/>
              </w:rPr>
              <w:t>3.01</w:t>
            </w:r>
          </w:p>
        </w:tc>
      </w:tr>
    </w:tbl>
    <w:p>
      <w:pPr>
        <w:pStyle w:val="TextBody"/>
        <w:bidi w:val="0"/>
        <w:spacing w:before="0" w:after="0"/>
        <w:ind w:left="0" w:right="0" w:firstLine="720"/>
        <w:jc w:val="both"/>
        <w:rPr>
          <w:color w:val="000000"/>
        </w:rPr>
      </w:pPr>
      <w:r>
        <w:rPr>
          <w:color w:val="00000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1.03         </w:t>
      </w:r>
      <w:r>
        <w:rPr>
          <w:rFonts w:ascii="Times New Roman" w:hAnsi="Times New Roman"/>
          <w:i/>
          <w:color w:val="000000"/>
          <w:sz w:val="20"/>
        </w:rPr>
        <w:t>Rules of Construction</w:t>
      </w:r>
      <w:r>
        <w:rPr>
          <w:rFonts w:ascii="Times New Roman" w:hAnsi="Times New Roman"/>
          <w:color w:val="000000"/>
          <w:sz w:val="20"/>
        </w:rPr>
        <w:t xml:space="preserve">.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Unless the context otherwise requires: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a term has the meaning assigned to it;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an accounting term not otherwise defined has the meaning assigned to it in accordance with GAAP;</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“or” is not exclusive;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words in the singular include the plural, and in the plural include the singular;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“will” shall be interpreted to express a command;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          provisions apply to successive events and transactions; and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(g)         references to sections of or rules under the Securities Act will be deemed to include substitute, replacement of successor sections or rules adopted by the SEC from time to time.</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2</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THE NOTES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2.01         </w:t>
      </w:r>
      <w:r>
        <w:rPr>
          <w:rFonts w:ascii="Times New Roman" w:hAnsi="Times New Roman"/>
          <w:i/>
          <w:color w:val="000000"/>
          <w:sz w:val="20"/>
        </w:rPr>
        <w:t>Creation of Notes; Designations</w:t>
      </w:r>
      <w:r>
        <w:rPr>
          <w:rFonts w:ascii="Times New Roman" w:hAnsi="Times New Roman"/>
          <w:color w:val="000000"/>
          <w:sz w:val="20"/>
        </w:rPr>
        <w:t xml:space="preserve">.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accordance with Section 2.01 of the Base Indenture, the Issuer hereby creates three Series of Notes issued pursuant to the Indenture.  The Notes of these Series shall be known and designated as the “5.064% Notes due 2029”, “5.421% Notes due 2031” and “5.995% Notes due 2036”, respectively, of the Issuer.  The Notes of each Series shall be entitled to the benefits of Parent Guarantee, such Parent Guarantee to be governed by Article 10 of the Base Indenture (including, without limitation, the provisions for release of such Parent Guarantee in respect of the Notes of these Series pursuant to Section 10.04 of the Base Indenture, as supplemented by Article 5 of this First Supplemental Indenture).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2.02         </w:t>
      </w:r>
      <w:r>
        <w:rPr>
          <w:rFonts w:ascii="Times New Roman" w:hAnsi="Times New Roman"/>
          <w:i/>
          <w:color w:val="000000"/>
          <w:sz w:val="20"/>
        </w:rPr>
        <w:t>Forms Generally</w:t>
      </w:r>
      <w:r>
        <w:rPr>
          <w:rFonts w:ascii="Times New Roman" w:hAnsi="Times New Roman"/>
          <w:color w:val="000000"/>
          <w:sz w:val="20"/>
        </w:rPr>
        <w:t xml:space="preserve">.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General</w:t>
      </w:r>
      <w:r>
        <w:rPr>
          <w:rFonts w:ascii="Times New Roman" w:hAnsi="Times New Roman"/>
          <w:color w:val="000000"/>
          <w:sz w:val="20"/>
        </w:rPr>
        <w:t xml:space="preserve">.  The 2029 Notes and the Trustee’s certificate of authentication with respect to the 2029 Notes will be substantially in the form of </w:t>
      </w:r>
      <w:r>
        <w:rPr>
          <w:rFonts w:ascii="Times New Roman" w:hAnsi="Times New Roman"/>
          <w:color w:val="000000"/>
          <w:sz w:val="20"/>
          <w:u w:val="single"/>
        </w:rPr>
        <w:t>Exhibit A</w:t>
      </w:r>
      <w:r>
        <w:rPr>
          <w:rFonts w:ascii="Times New Roman" w:hAnsi="Times New Roman"/>
          <w:color w:val="000000"/>
          <w:sz w:val="20"/>
        </w:rPr>
        <w:t xml:space="preserve"> hereto.  The 2031 Notes and the Trustee’s certificate of authentication with respect to the 2031 Notes will be substantially in the form of </w:t>
      </w:r>
      <w:r>
        <w:rPr>
          <w:rFonts w:ascii="Times New Roman" w:hAnsi="Times New Roman"/>
          <w:color w:val="000000"/>
          <w:sz w:val="20"/>
          <w:u w:val="single"/>
        </w:rPr>
        <w:t>Exhibit B</w:t>
      </w:r>
      <w:r>
        <w:rPr>
          <w:rFonts w:ascii="Times New Roman" w:hAnsi="Times New Roman"/>
          <w:color w:val="000000"/>
          <w:sz w:val="20"/>
        </w:rPr>
        <w:t xml:space="preserve"> hereto.  The 2036 Notes and the Trustee’s certificate of authentication with respect to the 2036 Notes will be substantially in the form of </w:t>
      </w:r>
      <w:r>
        <w:rPr>
          <w:rFonts w:ascii="Times New Roman" w:hAnsi="Times New Roman"/>
          <w:color w:val="000000"/>
          <w:sz w:val="20"/>
          <w:u w:val="single"/>
        </w:rPr>
        <w:t>Exhibit C</w:t>
      </w:r>
      <w:r>
        <w:rPr>
          <w:rFonts w:ascii="Times New Roman" w:hAnsi="Times New Roman"/>
          <w:color w:val="000000"/>
          <w:sz w:val="20"/>
        </w:rPr>
        <w:t xml:space="preserve"> hereto.  The Notes of each Series may have notations, legends or endorsements required by law, stock exchange rule or usage.  Each Note of each Series will be dated the date of its authentication.  The Notes of each Series shall be in minimum denominations of $200,000 and integral multiples of $1,000.</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terms and provisions contained in the Notes of each Series will constitute, and are hereby expressly made, a part of this First Supplemental Indenture and the Issuer, the Parent and the Trustee, by their execution and delivery of this First Supplemental Indenture, expressly agree to such terms and provisions and to be bound thereby.  However, to the extent any provision of any such Note conflicts with the express provisions of this First Supplemental Indenture, the provisions of this First Supplemental Indenture shall govern and be controlling.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Global Notes</w:t>
      </w:r>
      <w:r>
        <w:rPr>
          <w:rFonts w:ascii="Times New Roman" w:hAnsi="Times New Roman"/>
          <w:color w:val="000000"/>
          <w:sz w:val="20"/>
        </w:rPr>
        <w:t xml:space="preserve">.  The 2029 Notes issued in global form will be substantially in the form of </w:t>
      </w:r>
      <w:r>
        <w:rPr>
          <w:rFonts w:ascii="Times New Roman" w:hAnsi="Times New Roman"/>
          <w:color w:val="000000"/>
          <w:sz w:val="20"/>
          <w:u w:val="single"/>
        </w:rPr>
        <w:t>Exhibit A</w:t>
      </w:r>
      <w:r>
        <w:rPr>
          <w:rFonts w:ascii="Times New Roman" w:hAnsi="Times New Roman"/>
          <w:color w:val="000000"/>
          <w:sz w:val="20"/>
        </w:rPr>
        <w:t xml:space="preserve"> hereto (including the Global Note Legend thereon and the “Schedule of Exchanges of Interests in the Global Note” attached thereto).  The 2029 Notes issued in definitive form will be substantially in the form of </w:t>
      </w:r>
      <w:r>
        <w:rPr>
          <w:rFonts w:ascii="Times New Roman" w:hAnsi="Times New Roman"/>
          <w:color w:val="000000"/>
          <w:sz w:val="20"/>
          <w:u w:val="single"/>
        </w:rPr>
        <w:t>Exhibit A</w:t>
      </w:r>
      <w:r>
        <w:rPr>
          <w:rFonts w:ascii="Times New Roman" w:hAnsi="Times New Roman"/>
          <w:color w:val="000000"/>
          <w:sz w:val="20"/>
        </w:rPr>
        <w:t xml:space="preserve"> hereto (but without the Global Note Legend thereon and without the “Schedule of Exchanges of Interests in the Global Note” attached thereto).  The 2031 Notes issued in global form will be substantially in the form of </w:t>
      </w:r>
      <w:r>
        <w:rPr>
          <w:rFonts w:ascii="Times New Roman" w:hAnsi="Times New Roman"/>
          <w:color w:val="000000"/>
          <w:sz w:val="20"/>
          <w:u w:val="single"/>
        </w:rPr>
        <w:t>Exhibit B</w:t>
      </w:r>
      <w:r>
        <w:rPr>
          <w:rFonts w:ascii="Times New Roman" w:hAnsi="Times New Roman"/>
          <w:color w:val="000000"/>
          <w:sz w:val="20"/>
        </w:rPr>
        <w:t xml:space="preserve"> hereto (including the Global Note Legend thereon and the “Schedule of Exchanges of Interests in the Global Note” attached thereto).  The 2031 Notes issued in definitive form will be substantially in the form of </w:t>
      </w:r>
      <w:r>
        <w:rPr>
          <w:rFonts w:ascii="Times New Roman" w:hAnsi="Times New Roman"/>
          <w:color w:val="000000"/>
          <w:sz w:val="20"/>
          <w:u w:val="single"/>
        </w:rPr>
        <w:t>Exhibit B</w:t>
      </w:r>
      <w:r>
        <w:rPr>
          <w:rFonts w:ascii="Times New Roman" w:hAnsi="Times New Roman"/>
          <w:color w:val="000000"/>
          <w:sz w:val="20"/>
        </w:rPr>
        <w:t xml:space="preserve"> hereto (but without the Global Note Legend thereon and without the “Schedule of Exchanges of Interests in the Global Note” attached thereto).  The 2036 Notes issued in global form will be substantially in the form of </w:t>
      </w:r>
      <w:r>
        <w:rPr>
          <w:rFonts w:ascii="Times New Roman" w:hAnsi="Times New Roman"/>
          <w:color w:val="000000"/>
          <w:sz w:val="20"/>
          <w:u w:val="single"/>
        </w:rPr>
        <w:t>Exhibit C</w:t>
      </w:r>
      <w:r>
        <w:rPr>
          <w:rFonts w:ascii="Times New Roman" w:hAnsi="Times New Roman"/>
          <w:color w:val="000000"/>
          <w:sz w:val="20"/>
        </w:rPr>
        <w:t xml:space="preserve"> hereto (including the Global Note Legend thereon and the “Schedule of Exchanges of Interests in the Global Note” attached thereto).  The 2036 Notes issued in definitive form will be substantially in the form of </w:t>
      </w:r>
      <w:r>
        <w:rPr>
          <w:rFonts w:ascii="Times New Roman" w:hAnsi="Times New Roman"/>
          <w:color w:val="000000"/>
          <w:sz w:val="20"/>
          <w:u w:val="single"/>
        </w:rPr>
        <w:t>Exhibit C</w:t>
      </w:r>
      <w:r>
        <w:rPr>
          <w:rFonts w:ascii="Times New Roman" w:hAnsi="Times New Roman"/>
          <w:color w:val="000000"/>
          <w:sz w:val="20"/>
        </w:rPr>
        <w:t xml:space="preserve"> hereto (but without the Global Note Legend thereon and without the “Schedule of Exchanges of Interests in the Global Note” attached thereto).  Each Global Note will represent such of the outstanding Notes of each Series as will be specified therein and each shall provide that it represents the aggregate principal amount of outstanding Notes of each Series from time to time endorsed thereon and that the aggregate principal amount of outstanding Notes of each Series represented thereby may from time to time be reduced or increased, as appropriate, to reflect exchanges and redemptions.  Any endorsement of a Global Note to reflect the amount of any increase or decrease in the aggregate principal amount of outstanding Notes of each Series represented thereby will be made by the Trustee or the Custodian, at the direction of the Trustee, in accordance with instructions given by the Holder thereof.</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2.03          </w:t>
      </w:r>
      <w:r>
        <w:rPr>
          <w:rFonts w:ascii="Times New Roman" w:hAnsi="Times New Roman"/>
          <w:i/>
          <w:color w:val="000000"/>
          <w:sz w:val="20"/>
        </w:rPr>
        <w:t>Title and Terms of Notes</w:t>
      </w:r>
      <w:r>
        <w:rPr>
          <w:rFonts w:ascii="Times New Roman" w:hAnsi="Times New Roman"/>
          <w:color w:val="000000"/>
          <w:sz w:val="20"/>
        </w:rPr>
        <w:t xml:space="preserve">.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(a)         The aggregate principal amount of (i) 2029 Notes which shall be authenticated and delivered on the Issue Date under the Indenture shall be $500,000,000, (ii) 2031 Notes which shall be authenticated and delivered on the Issue Date under the Indenture shall be $1,000,000,000 and (iii) 2036 Notes which shall be authenticated and delivered on the Issue Date under the Indenture shall be $650,000,000;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the Issuer from time to time, without giving notice to or seeking the consent of the Holders of Notes of any Series, may issue additional notes (“</w:t>
      </w:r>
      <w:r>
        <w:rPr>
          <w:rFonts w:ascii="Times New Roman" w:hAnsi="Times New Roman"/>
          <w:i/>
          <w:color w:val="000000"/>
          <w:sz w:val="20"/>
        </w:rPr>
        <w:t>Additional Notes</w:t>
      </w:r>
      <w:r>
        <w:rPr>
          <w:rFonts w:ascii="Times New Roman" w:hAnsi="Times New Roman"/>
          <w:color w:val="000000"/>
          <w:sz w:val="20"/>
        </w:rPr>
        <w:t>”) of a Series in any amount having the same terms as Notes of such Series in all respects, except for the issue date, the issue price and the initial interest payment date.  Any such Additional Notes shall be authenticated by the Trustee upon receipt of an Authentication Order to that effect, and when so authenticated, will constitute “</w:t>
      </w:r>
      <w:r>
        <w:rPr>
          <w:rFonts w:ascii="Times New Roman" w:hAnsi="Times New Roman"/>
          <w:i/>
          <w:color w:val="000000"/>
          <w:sz w:val="20"/>
        </w:rPr>
        <w:t>Notes</w:t>
      </w:r>
      <w:r>
        <w:rPr>
          <w:rFonts w:ascii="Times New Roman" w:hAnsi="Times New Roman"/>
          <w:color w:val="000000"/>
          <w:sz w:val="20"/>
        </w:rPr>
        <w:t xml:space="preserve">” for all purposes of the Indenture and will (together with all other Notes of such Series issued under the Indenture) constitute a single Series of Notes of such Series under the Indenture; </w:t>
      </w:r>
      <w:r>
        <w:rPr>
          <w:rFonts w:ascii="Times New Roman" w:hAnsi="Times New Roman"/>
          <w:i/>
          <w:color w:val="000000"/>
          <w:sz w:val="20"/>
        </w:rPr>
        <w:t>provided</w:t>
      </w:r>
      <w:r>
        <w:rPr>
          <w:rFonts w:ascii="Times New Roman" w:hAnsi="Times New Roman"/>
          <w:color w:val="000000"/>
          <w:sz w:val="20"/>
        </w:rPr>
        <w:t xml:space="preserve"> that if such Additional Notes are not fungible with the Notes of such Series for U.S. federal income tax purposes, as applicable, as determined by the Issuer, such Additional Notes may have a separate CUSIP number.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(i) The 2029 Notes issued on the Issue Date will be issued at an issue price of 100.000% of the principal amount thereof, (ii) the 2031 Notes issued on the Issue Date will be issued at an issue price of 100.000% of the principal amount thereof and (iii) the 2036 Notes issued on the Issue Date will be issued at an issue price of 100.000% of the principal amount thereof.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(c)         The principal amount of the 2029 Notes is due and payable in full as set forth in </w:t>
      </w:r>
      <w:r>
        <w:rPr>
          <w:rFonts w:ascii="Times New Roman" w:hAnsi="Times New Roman"/>
          <w:color w:val="000000"/>
          <w:sz w:val="20"/>
          <w:u w:val="single"/>
        </w:rPr>
        <w:t>Exhibit A</w:t>
      </w:r>
      <w:r>
        <w:rPr>
          <w:rFonts w:ascii="Times New Roman" w:hAnsi="Times New Roman"/>
          <w:color w:val="000000"/>
          <w:sz w:val="20"/>
        </w:rPr>
        <w:t xml:space="preserve">.  The principal amount of the 2031 Notes is due and payable in full as set forth in </w:t>
      </w:r>
      <w:r>
        <w:rPr>
          <w:rFonts w:ascii="Times New Roman" w:hAnsi="Times New Roman"/>
          <w:color w:val="000000"/>
          <w:sz w:val="20"/>
          <w:u w:val="single"/>
        </w:rPr>
        <w:t>Exhibit B</w:t>
      </w:r>
      <w:r>
        <w:rPr>
          <w:rFonts w:ascii="Times New Roman" w:hAnsi="Times New Roman"/>
          <w:color w:val="000000"/>
          <w:sz w:val="20"/>
        </w:rPr>
        <w:t xml:space="preserve">.  The principal amount of the 2036 Notes is due and payable in full as set forth in </w:t>
      </w:r>
      <w:r>
        <w:rPr>
          <w:rFonts w:ascii="Times New Roman" w:hAnsi="Times New Roman"/>
          <w:color w:val="000000"/>
          <w:sz w:val="20"/>
          <w:u w:val="single"/>
        </w:rPr>
        <w:t>Exhibit C</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(d)         The rate or rates at which the Notes of each Series shall bear interest, the date or dates from which such interest shall accrue, the interest payment dates on which any such interest shall be payable and the regular record date for any interest payable on any interest payment date, in each case, shall be as set forth in the form of the Note as set forth in </w:t>
      </w:r>
      <w:r>
        <w:rPr>
          <w:rFonts w:ascii="Times New Roman" w:hAnsi="Times New Roman"/>
          <w:color w:val="000000"/>
          <w:sz w:val="20"/>
          <w:u w:val="single"/>
        </w:rPr>
        <w:t>Exhibit A</w:t>
      </w:r>
      <w:r>
        <w:rPr>
          <w:rFonts w:ascii="Times New Roman" w:hAnsi="Times New Roman"/>
          <w:color w:val="000000"/>
          <w:sz w:val="20"/>
        </w:rPr>
        <w:t xml:space="preserve"> (in the case of 2029 Notes), </w:t>
      </w:r>
      <w:r>
        <w:rPr>
          <w:rFonts w:ascii="Times New Roman" w:hAnsi="Times New Roman"/>
          <w:color w:val="000000"/>
          <w:sz w:val="20"/>
          <w:u w:val="single"/>
        </w:rPr>
        <w:t>Exhibit B</w:t>
      </w:r>
      <w:r>
        <w:rPr>
          <w:rFonts w:ascii="Times New Roman" w:hAnsi="Times New Roman"/>
          <w:color w:val="000000"/>
          <w:sz w:val="20"/>
        </w:rPr>
        <w:t xml:space="preserve"> (in the case of 2031 Notes) and </w:t>
      </w:r>
      <w:r>
        <w:rPr>
          <w:rFonts w:ascii="Times New Roman" w:hAnsi="Times New Roman"/>
          <w:color w:val="000000"/>
          <w:sz w:val="20"/>
          <w:u w:val="single"/>
        </w:rPr>
        <w:t>Exhibit C</w:t>
      </w:r>
      <w:r>
        <w:rPr>
          <w:rFonts w:ascii="Times New Roman" w:hAnsi="Times New Roman"/>
          <w:color w:val="000000"/>
          <w:sz w:val="20"/>
        </w:rPr>
        <w:t xml:space="preserve"> (in the case of 2036 Notes).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Other than as provided in Article 3 of this First Supplemental Indenture and Article 3 of the Base Indenture, the Notes of each Series issued hereunder shall not be redeemable.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          The Notes of each Series will initially be evidenced by one or more Global Notes issued in the name of Cede &amp; Co., as nominee of The Depository Trust Company.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2.04         </w:t>
      </w:r>
      <w:r>
        <w:rPr>
          <w:rFonts w:ascii="Times New Roman" w:hAnsi="Times New Roman"/>
          <w:i/>
          <w:color w:val="000000"/>
          <w:sz w:val="20"/>
        </w:rPr>
        <w:t>Transfer and Exchange</w:t>
      </w:r>
      <w:r>
        <w:rPr>
          <w:rFonts w:ascii="Times New Roman" w:hAnsi="Times New Roman"/>
          <w:color w:val="000000"/>
          <w:sz w:val="20"/>
        </w:rPr>
        <w:t xml:space="preserve">.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For purposes of this First Supplemental Indenture, Section 2.07 of the Base Indenture shall be amended and restated as follows, with other information in the Base Indenture deemed to have changed to the extent affected thereby; </w:t>
      </w:r>
      <w:r>
        <w:rPr>
          <w:rFonts w:ascii="Times New Roman" w:hAnsi="Times New Roman"/>
          <w:i/>
          <w:color w:val="000000"/>
          <w:sz w:val="20"/>
        </w:rPr>
        <w:t>provided</w:t>
      </w:r>
      <w:r>
        <w:rPr>
          <w:rFonts w:ascii="Times New Roman" w:hAnsi="Times New Roman"/>
          <w:color w:val="000000"/>
          <w:sz w:val="20"/>
        </w:rPr>
        <w:t xml:space="preserve"> that this Section 2.04 shall not become part of the terms of any other Series of Securities: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i/>
          <w:color w:val="000000"/>
          <w:sz w:val="20"/>
        </w:rPr>
        <w:t>Transfer and Exchange of Global Notes</w:t>
      </w:r>
      <w:r>
        <w:rPr>
          <w:rFonts w:ascii="Times New Roman" w:hAnsi="Times New Roman"/>
          <w:color w:val="000000"/>
          <w:sz w:val="20"/>
        </w:rPr>
        <w:t>. A Global Note may not be transferred except as a whole by the Depositary to a nominee of the Depositary, by a nominee of the Depositary to the Depositary or to another nominee of the Depositary, or by the Depositary or any such nominee to a successor Depositary or a nominee of such successor Depositary. All Global Notes will be exchanged by the Issuer for Definitive Notes if:</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(1)         the Issuer delivers to the Trustee notice from the Depositary that it is unwilling or unable to continue to act as Depositary or that it is no longer a clearing agency registered under the Exchange Act and, in either case, a successor Depositary is not appointed by the Issuer within 120 days after the date of such notice from the Depositary;</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(2)          the Issuer, at its option, notifies the Trustee that it elects to cause the issuance of certificated notes; or</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(3)        there has occurred and is continuing a Default or Event of Default with respect to the Notes and the Trustee has received a request from the Depositary.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Upon the occurrence of either of the preceding events in (1) or (2) above, Definitive Notes shall be issued in such names as the Depositary shall instruct the Trustee in writing. Global Notes also may be exchanged or replaced, in whole or in part, as provided in Sections 2.08 and 2.11 of this Indenture. Every Note authenticated and delivered in exchange for, or in lieu of, a Global Note or any portion thereof, pursuant to this Section 2.07 or Section 2.08 or 2.11 of this Indenture, shall be authenticated and delivered in the form of, and shall be, a Global Note. A Global Note may not be exchanged for another Note other than as provided in this Section 2.07(a), however, beneficial interests in a Global Note may be transferred and exchanged as provided in Section 2.07(b) or (c) hereof.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Notwithstanding the foregoing, in no event shall the Regulation S Global Note be exchanged by the Issuer for Definitive Notes prior to (A) the expiration of the Restricted Period and (B) the receipt by the Registrar of any certificates required pursuant to Rule 903(b)(3)(ii)(B) under the Securities Act.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i/>
          <w:color w:val="000000"/>
          <w:sz w:val="20"/>
        </w:rPr>
        <w:t xml:space="preserve">Transfer and Exchange of Beneficial Interests in the Global Notes. </w:t>
      </w:r>
      <w:r>
        <w:rPr>
          <w:rFonts w:ascii="Times New Roman" w:hAnsi="Times New Roman"/>
          <w:color w:val="000000"/>
          <w:sz w:val="20"/>
        </w:rPr>
        <w:t>The transfer and exchange of beneficial interests in the Global Notes will be effected through the Depositary, in accordance with the provisions of this Indenture and the Applicable Procedures. Beneficial interests in the Restricted Global Notes will be subject to restrictions on transfer comparable to those set forth herein to the extent required by the Securities Act. Transfers of beneficial interests in the Global Notes also will require compliance with either subparagraph (1) or (2) below, as applicable, as well as one or more of the other following subparagraphs, as applicable:</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(1)          </w:t>
      </w:r>
      <w:r>
        <w:rPr>
          <w:rFonts w:ascii="Times New Roman" w:hAnsi="Times New Roman"/>
          <w:i/>
          <w:color w:val="000000"/>
          <w:sz w:val="20"/>
        </w:rPr>
        <w:t>Transfer of Beneficial Interests in the Same Global Note</w:t>
      </w:r>
      <w:r>
        <w:rPr>
          <w:rFonts w:ascii="Times New Roman" w:hAnsi="Times New Roman"/>
          <w:color w:val="000000"/>
          <w:sz w:val="20"/>
        </w:rPr>
        <w:t>. Beneficial interests in any Restricted Global Note may be transferred to Persons who take delivery thereof in the form of a beneficial interest in the same Restricted Global Note in accordance with the transfer restrictions set forth in the Private Placement Legend applicable to such Restricted Global Note.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2.07(b)(1).</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(2)         </w:t>
      </w:r>
      <w:r>
        <w:rPr>
          <w:rFonts w:ascii="Times New Roman" w:hAnsi="Times New Roman"/>
          <w:i/>
          <w:color w:val="000000"/>
          <w:sz w:val="20"/>
        </w:rPr>
        <w:t>All Other Transfers and Exchanges of Beneficial Interests in Global Notes</w:t>
      </w:r>
      <w:r>
        <w:rPr>
          <w:rFonts w:ascii="Times New Roman" w:hAnsi="Times New Roman"/>
          <w:color w:val="000000"/>
          <w:sz w:val="20"/>
        </w:rPr>
        <w:t>. In connection with all transfers and exchanges of beneficial interests that are not subject to Section 2.07(b)(1) above, the transferor of such beneficial interest must deliver to the Registrar either:</w:t>
      </w:r>
    </w:p>
    <w:p>
      <w:pPr>
        <w:pStyle w:val="TextBody"/>
        <w:bidi w:val="0"/>
        <w:spacing w:before="0" w:after="0"/>
        <w:ind w:left="720" w:right="0" w:firstLine="72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(A)        both:</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(i)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(ii)     written instructions given in accordance with the Applicable Procedures containing information regarding the Participant account to be credited with such increase; or</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(B)        both:</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(i)          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(ii)         instructions given by the Depositary to the Registrar containing information regarding the Person in whose name such Definitive Note shall be registered to effect the transfer or exchange referred to in (1) above except in compliance with Section 2.07(a) above.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Upon satisfaction of all of the requirements for transfer of beneficial interests in Global Notes contained in this Indenture and the Notes or otherwise applicable under the Securities Act, the Trustee shall adjust the principal amount of the relevant Global Note(s) pursuant to Section 2.07(g) of this Indenture.</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(3)         </w:t>
      </w:r>
      <w:r>
        <w:rPr>
          <w:rFonts w:ascii="Times New Roman" w:hAnsi="Times New Roman"/>
          <w:i/>
          <w:color w:val="000000"/>
          <w:sz w:val="20"/>
        </w:rPr>
        <w:t>Transfer of Beneficial Interests to Another Restricted Global Note</w:t>
      </w:r>
      <w:r>
        <w:rPr>
          <w:rFonts w:ascii="Times New Roman" w:hAnsi="Times New Roman"/>
          <w:color w:val="000000"/>
          <w:sz w:val="20"/>
        </w:rPr>
        <w:t>. A beneficial interest in any Restricted Global Note may be transferred to a Person who takes delivery thereof in the form of a beneficial interest in another Restricted Global Note if the transfer complies with the requirements of Section 2.07(b)(2) above and the Registrar receives the following:</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(A)       if the transferee will take delivery in the form of a beneficial interest in the 144A Global Note, then the transferor must deliver a certificate in the form of Exhibit D hereto, including the certifications in item (1) thereof;</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(B)      if the transferee will take delivery in the form of a beneficial interest in the Regulation S Global Note, then the transferor must deliver a certificate in the form of Exhibit D hereto, including the certifications in item (2) thereof; and</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(C)        if the transferee will take delivery in the form of a beneficial interest in the IAI Global Note, then the transferor must deliver a certificate in the form of Exhibit D hereto, including the certifications, certificates and Opinion of Counsel required by item (3) thereof, if applicable; provided that in each case, if the requested transfer involves a beneficial interest in a Regulation S Global Note, such transfer may be effected only upon (A) the expiration of the Restricted Period and (B) the receipt by the Registrar of any certificates required pursuant to Rule 903(b)(3)(ii)(B) under the Securities Act.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(4)         </w:t>
      </w:r>
      <w:r>
        <w:rPr>
          <w:rFonts w:ascii="Times New Roman" w:hAnsi="Times New Roman"/>
          <w:i/>
          <w:color w:val="000000"/>
          <w:sz w:val="20"/>
        </w:rPr>
        <w:t>Transfer and Exchange of Beneficial Interests in a Restricted Global Note for Beneficial Interests in an Unrestricted Global Note</w:t>
      </w:r>
      <w:r>
        <w:rPr>
          <w:rFonts w:ascii="Times New Roman" w:hAnsi="Times New Roman"/>
          <w:color w:val="000000"/>
          <w:sz w:val="20"/>
        </w:rPr>
        <w:t>.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2.07(b)(2) above if the Registrar receives the following: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(A)        if the holder of such beneficial interest in a Restricted Global Note proposes to exchange such beneficial interest for a beneficial interest in an Unrestricted Global Note, a certificate from such holder in the form of Exhibit E hereto, including the certifications in item (1)(a) thereof; or</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(B)       if the holder of such beneficial interest in a Restricted Global Note proposes to transfer such beneficial interest to a Person who shall take delivery thereof in the form of a beneficial interest in an Unrestricted Global Note, a certificate from such holder in the form of Exhibit D hereto, including the certifications in item (4) thereof;</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and, in each such case set forth in this subparagraph (4),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any such transfer is effected pursuant to subparagraph (4) above at a time when an Unrestricted Global Note has not yet been issued, the Issuer shall issue and, upon receipt of an Authentication Order in accordance with Section 2.03 hereof, the Trustee shall authenticate one or more Unrestricted Global Notes in an aggregate principal amount equal to the aggregate principal amount of beneficial interests transferred pursuant to subparagraph (4) above.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Beneficial interests in an Unrestricted Global Note cannot be exchanged for, or transferred to Persons who take delivery thereof in the form of, a beneficial interest in a Restricted Global Note.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i/>
          <w:color w:val="000000"/>
          <w:sz w:val="20"/>
        </w:rPr>
        <w:t>Transfer or Exchange of Beneficial Interests in Global Notes for Definitive Notes</w:t>
      </w:r>
      <w:r>
        <w:rPr>
          <w:rFonts w:ascii="Times New Roman" w:hAnsi="Times New Roman"/>
          <w:color w:val="000000"/>
          <w:sz w:val="20"/>
        </w:rPr>
        <w:t>.  Transfers or exchanges of beneficial interests in Global Notes for Definitive Notes shall in each case be subject to the satisfaction of any applicable conditions set forth in Section 2.07(b)(2) above, and to the requirements set forth in this Section 2.07(c).</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(1)        </w:t>
      </w:r>
      <w:r>
        <w:rPr>
          <w:rFonts w:ascii="Times New Roman" w:hAnsi="Times New Roman"/>
          <w:i/>
          <w:color w:val="000000"/>
          <w:sz w:val="20"/>
        </w:rPr>
        <w:t>Beneficial Interests in Restricted Global Notes to Restricted Definitive Notes</w:t>
      </w:r>
      <w:r>
        <w:rPr>
          <w:rFonts w:ascii="Times New Roman" w:hAnsi="Times New Roman"/>
          <w:color w:val="000000"/>
          <w:sz w:val="20"/>
        </w:rPr>
        <w:t>. If, in accordance with Section 2.07(a), any holder of a beneficial interest 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(A)        if the holder of such beneficial interest in a Restricted Global Note proposes to exchange such beneficial interest for a Restricted Definitive Note, a certificate from such holder in the form of Exhibit E hereto, including the certifications in item (2)(a) thereof;</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(B)       if such beneficial interest is being transferred to a QIB in accordance with Rule 144A, a certificate to the effect set forth in Exhibit D hereto, including the certifications in item (1) thereof;</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(C)        if such beneficial interest is being transferred to a Non-U.S. Person in an offshore transaction in accordance with Rule 903 or Rule 904, a certificate to the effect set forth in Exhibit D hereto, including the certifications in item (2) thereof;</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(D)      if such beneficial interest is being transferred pursuant to an exemption from the registration requirements of the Securities Act in accordance with Rule 144, a certificate to the effect set forth in Exhibit D hereto, including the certifications in item (3)(a) thereof;</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(E)        if such beneficial interest is being transferred to an Institutional Accredited Investor in reliance on an exemption from the registration requirements of the Securities Act other than those listed in subparagraphs (B) through (D) above, a certificate to the effect set forth in Exhibit D hereto, including the certifications, certificates and Opinion of Counsel required by item (3) thereof, if applicable;</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(F)         if such beneficial interest is being transferred to the Issuer or any of its Subsidiaries, a certificate to the effect set forth in Exhibit D hereto, including the certifications in item (3)(b) thereof; or</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(G)        if such beneficial interest is being transferred pursuant to an effective registration statement under the Securities Act, a certificate to the effect set forth in Exhibit D hereto, including the certifications in item (3)(c) thereof, the Trustee shall cause the aggregate principal amount of the applicable Global Note to be reduced accordingly pursuant to Section 2.07(g) hereof, and the Issuer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2.07(c)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of a Series are so registered. Any Definitive Note issued in exchange for a beneficial interest in a Restricted Global Note pursuant to this Section 2.07(c)(1) shall bear the Private Placement Legend and shall be subject to all restrictions on transfer contained therein.</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(2)        </w:t>
      </w:r>
      <w:r>
        <w:rPr>
          <w:rFonts w:ascii="Times New Roman" w:hAnsi="Times New Roman"/>
          <w:i/>
          <w:color w:val="000000"/>
          <w:sz w:val="20"/>
        </w:rPr>
        <w:t>Beneficial Interests in Regulation S Global Note to Definitive Notes</w:t>
      </w:r>
      <w:r>
        <w:rPr>
          <w:rFonts w:ascii="Times New Roman" w:hAnsi="Times New Roman"/>
          <w:color w:val="000000"/>
          <w:sz w:val="20"/>
        </w:rPr>
        <w:t>. Notwithstanding Sections 2.07(c)(1) hereof, a beneficial interest in the Regulation S Global Note may not be exchanged for a Definitive Note or transferred to a Person who takes delivery thereof in the form of a Definitive Note prior to (A) the expiration of the Restricted Period and (B) the receipt by the Registrar of any certificates required pursuant to Rule 903(b)(3)(ii)(B) under the Securities Act.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(3)       </w:t>
      </w:r>
      <w:r>
        <w:rPr>
          <w:rFonts w:ascii="Times New Roman" w:hAnsi="Times New Roman"/>
          <w:i/>
          <w:color w:val="000000"/>
          <w:sz w:val="20"/>
        </w:rPr>
        <w:t>Beneficial Interests in Restricted Global Notes to Unrestricted Definitive Notes</w:t>
      </w:r>
      <w:r>
        <w:rPr>
          <w:rFonts w:ascii="Times New Roman" w:hAnsi="Times New Roman"/>
          <w:color w:val="000000"/>
          <w:sz w:val="20"/>
        </w:rPr>
        <w:t>. Subject to Section 2.07(a), a holder of a beneficial interest in a Restricted Global Note may exchange such beneficial interest for an Unrestricted Definitive Note or may transfer such beneficial interest to a Person who takes delivery thereof in the form of an Unrestricted Definitive Note only if the Registrar receives the following:</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(A)        if the holder of such beneficial interest in a Restricted Global Note proposes to exchange such beneficial interest for an Unrestricted Definitive Note, a certificate from such holder in the form of Exhibit E hereto, including the certifications in item (1)(b) thereof; or</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(B)       if the holder of such beneficial interest in a Restricted Global Note proposes to transfer such beneficial interest to a Person who shall take delivery thereof in the form of an Unrestricted Definitive Note, a certificate from such holder in the form of Exhibit D hereto, including the certifications in item (4) thereof;</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and, in each such case set forth in this subparagraph (3), if the Registrar or the Issuer so request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(4)         Beneficial Interests in Unrestricted Global Notes to Unrestricted Definitive Notes. Subject to Section 2.07(a), if any holder of a beneficial 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2.07(b)(2) hereof, the Trustee will cause the aggregate principal amount of the applicable Global Note to be reduced accordingly pursuant to Section 2.07(g) hereof, and the Issuer will execute and the Trustee will authenticate and deliver to the Person designated in the instructions a Definitive Note in the appropriate principal amount. Any Definitive Note issued in exchange for a beneficial interest pursuant to this Section 2.07(c)(4) will be registered in such name or names and in such authorized denomination or denominations as the holder of such beneficial interest requests through instructions to the Registrar from or through the Depositary and the Participant or Indirect Participant. The Trustee will deliver such Definitive Notes to the Persons in whose names such Notes of a Series are so registered. Any Definitive Note issued in exchange for a beneficial interest pursuant to this Section 2.07(c)(4) will not bear the Private Placement Legend.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w:t>
      </w:r>
      <w:r>
        <w:rPr>
          <w:rFonts w:ascii="Times New Roman" w:hAnsi="Times New Roman"/>
          <w:i/>
          <w:color w:val="000000"/>
          <w:sz w:val="20"/>
        </w:rPr>
        <w:t>Transfer and Exchange of Definitive Notes for Beneficial Interests in Global Notes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(1)        </w:t>
      </w:r>
      <w:r>
        <w:rPr>
          <w:rFonts w:ascii="Times New Roman" w:hAnsi="Times New Roman"/>
          <w:i/>
          <w:color w:val="000000"/>
          <w:sz w:val="20"/>
        </w:rPr>
        <w:t>Restricted Definitive Notes to Beneficial Interests in Restricted Global Notes</w:t>
      </w:r>
      <w:r>
        <w:rPr>
          <w:rFonts w:ascii="Times New Roman" w:hAnsi="Times New Roman"/>
          <w:color w:val="000000"/>
          <w:sz w:val="20"/>
        </w:rPr>
        <w:t>. If any Holder of a Restricted Definitive Note 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(A)       if the Holder of such Restricted Definitive Note proposes to exchange such Note for a beneficial interest in a Restricted Global Note, a certificate from such Holder in the form of Exhibit E hereto, including the certifications in item (2)(b) thereof;</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(B)        if such Restricted Definitive Note is being transferred to a QIB in accordance with Rule 144A, a certificate to the effect set forth in Exhibit D hereto, including the certifications in item (1) thereof;</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(C)        if such Restricted Definitive Note is being transferred to a Non-U.S. Person in an offshore transaction in accordance with Rule 903 or Rule 904, a certificate to the effect set forth in Exhibit D hereto, including the certifications in item (2) thereof;</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(D)        if such Restricted Definitive Note is being transferred pursuant to an exemption from the registration requirements of the Securities Act in accordance with Rule 144, a certificate to the effect set forth in Exhibit D hereto, including the certifications in item (3)(a) thereof;</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(E)      if such Restricted Definitive Note is being transferred to an Institutional Accredited Investor in reliance on an exemption from the registration requirements of the Securities Act other than those listed in subparagraphs (B) through (D) above, a certificate to the effect set forth in Exhibit D hereto, including the certifications, certificates and Opinion of Counsel required by item (3) thereof, if applicable;</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(F)         if such Restricted Definitive Note is being transferred to the Issuer or any of its Subsidiaries, a certificate to the effect set forth in Exhibit D hereto, including the certifications in item (3)(b) thereof; or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(G)      if such Restricted Definitive Note is being transferred pursuant to an effective registration statement under the Securities Act, a certificate to the effect set forth in Exhibit D hereto, including the certifications in item (3)(c) thereof, the Trustee will cancel the Restricted Definitive Note, increase or cause to be increased the aggregate principal amount of, in the case of clause (A) above, the appropriate Restricted Global Note, in the case of clause (B) above, the 144A Global Note, in the case of clause (C) above, the Regulation S Global Note, and in all other cases, the IAI Global Note.</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(2)         </w:t>
      </w:r>
      <w:r>
        <w:rPr>
          <w:rFonts w:ascii="Times New Roman" w:hAnsi="Times New Roman"/>
          <w:i/>
          <w:color w:val="000000"/>
          <w:sz w:val="20"/>
        </w:rPr>
        <w:t>Restricted Definitive Notes to Beneficial Interests in Unrestricted Global Notes</w:t>
      </w:r>
      <w:r>
        <w:rPr>
          <w:rFonts w:ascii="Times New Roman" w:hAnsi="Times New Roman"/>
          <w:color w:val="000000"/>
          <w:sz w:val="20"/>
        </w:rPr>
        <w:t>. A Holder of a Restricted Definitive Note may 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(A)        if the Holder of such Restricted Definitive Notes proposes to exchange such Notes of a Series for a beneficial interest in the Unrestricted Global Note, a certificate from such Holder in the form of Exhibit E hereto, including the certifications in item (1)(c) thereof; or</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(B)        if the Holder of such Restricted Definitive Notes proposes to transfer such Notes of a Series to a Person who shall take delivery thereof in the form of a beneficial interest in the Unrestricted Global Note, a certificate from such Holder in the form of Exhibit D hereto, including the certifications in item (4) thereof;</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and, in each such case set forth in this subparagraph (2), if the Registrar or the Issuer so request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Upon satisfaction of the conditions of any of the subparagraphs in this Section 2.07(d)(2), the Trustee will cancel the Restricted Definitive Notes and increase or cause to be increased the aggregate principal amount of the Unrestricted Global Note.</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(3)         Unrestricted Definitive Notes to Beneficial Interests in Unrestricted Global Notes. A Holder of an 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will cancel the applicable Unrestricted Definitive Note and increase or cause to be increased the aggregate principal amount of one of the Unrestricted Global Notes.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any such exchange or transfer from a Definitive Note to a beneficial interest is effected pursuant to subparagraph (2)(B) or (3) above at a time when an Unrestricted Global Note has not yet been issued, the Issuer will issue and, upon receipt of an Authentication Order in accordance with Section 2.03 of this Indenture, the Trustee will authenticate one or more Unrestricted Global Notes in an aggregate principal amount equal to the principal amount of Definitive Notes so transferred.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(e)       </w:t>
      </w:r>
      <w:r>
        <w:rPr>
          <w:rFonts w:ascii="Times New Roman" w:hAnsi="Times New Roman"/>
          <w:i/>
          <w:color w:val="000000"/>
          <w:sz w:val="20"/>
        </w:rPr>
        <w:t>Transfer and Exchange of Definitive Notes for Definitive Notes</w:t>
      </w:r>
      <w:r>
        <w:rPr>
          <w:rFonts w:ascii="Times New Roman" w:hAnsi="Times New Roman"/>
          <w:color w:val="000000"/>
          <w:sz w:val="20"/>
        </w:rPr>
        <w:t>. Upon request by a Holder of Definitive Notes and such Holder’s compliance with the provisions of this Section 2.07(e), the Registrar will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2.07(e).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(1)         </w:t>
      </w:r>
      <w:r>
        <w:rPr>
          <w:rFonts w:ascii="Times New Roman" w:hAnsi="Times New Roman"/>
          <w:i/>
          <w:color w:val="000000"/>
          <w:sz w:val="20"/>
        </w:rPr>
        <w:t>Restricted Definitive Notes to Restricted Definitive Notes</w:t>
      </w:r>
      <w:r>
        <w:rPr>
          <w:rFonts w:ascii="Times New Roman" w:hAnsi="Times New Roman"/>
          <w:color w:val="000000"/>
          <w:sz w:val="20"/>
        </w:rPr>
        <w:t>. Any Restricted Definitive Note may be transferred to and registered in the name of Persons who take delivery thereof in the form of a Restricted Definitive Note if the Registrar receives the following:</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(A)        if the transfer will be made pursuant to Rule 144A, then the transferor must deliver a certificate in the form of Exhibit D hereto, including the certifications in item (1) thereof;</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(B)        if the transfer will be made pursuant to Rule 903 or Rule 904, then the transferor must deliver a certificate in the form of Exhibit D hereto, including the certifications in item (2) thereof; and</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(C)        if the transfer will be made pursuant to any other exemption from the registration requirements of the Securities Act, then the transferor must deliver a certificate in the form of Exhibit D hereto, including the certifications, certificates and Opinion of Counsel required by item (3) thereof, if applicable.</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(2)        </w:t>
      </w:r>
      <w:r>
        <w:rPr>
          <w:rFonts w:ascii="Times New Roman" w:hAnsi="Times New Roman"/>
          <w:i/>
          <w:color w:val="000000"/>
          <w:sz w:val="20"/>
        </w:rPr>
        <w:t>Restricted Definitive Notes to Unrestricted Definitive Notes</w:t>
      </w:r>
      <w:r>
        <w:rPr>
          <w:rFonts w:ascii="Times New Roman" w:hAnsi="Times New Roman"/>
          <w:color w:val="000000"/>
          <w:sz w:val="20"/>
        </w:rPr>
        <w:t>. Any Restricted Definitive Note may be exchanged by the Holder thereof for an Unrestricted Definitive Note or transferred to a Person or Persons who take delivery thereof in the form of an Unrestricted Definitive Note if the Registrar receives the following:</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(A)       if the Holder of such Restricted Definitive Notes proposes to exchange such Notes for an Unrestricted Definitive Note, a certificate from such Holder in the form of Exhibit E hereto, including the certifications in item (1)(d) thereof; or</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(B)        if the Holder of such Restricted Definitive Notes proposes to transfer such Notes to a Person who shall take delivery thereof in the form of an Unrestricted Definitive Note, a certificate from such Holder in the form of Exhibit D hereto, including the certifications in item (4) thereof;</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and, in each such case set forth in this subparagraph (2), if the Registrar or the Issuer so request,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(3)        </w:t>
      </w:r>
      <w:r>
        <w:rPr>
          <w:rFonts w:ascii="Times New Roman" w:hAnsi="Times New Roman"/>
          <w:i/>
          <w:color w:val="000000"/>
          <w:sz w:val="20"/>
        </w:rPr>
        <w:t>Unrestricted Definitive Notes to Unrestricted Definitive Notes</w:t>
      </w:r>
      <w:r>
        <w:rPr>
          <w:rFonts w:ascii="Times New Roman" w:hAnsi="Times New Roman"/>
          <w:color w:val="000000"/>
          <w:sz w:val="20"/>
        </w:rPr>
        <w:t>. A Holder of Unrestricted Definitive Notes may 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(f)        </w:t>
      </w:r>
      <w:r>
        <w:rPr>
          <w:rFonts w:ascii="Times New Roman" w:hAnsi="Times New Roman"/>
          <w:i/>
          <w:color w:val="000000"/>
          <w:sz w:val="20"/>
        </w:rPr>
        <w:t>Legends</w:t>
      </w:r>
      <w:r>
        <w:rPr>
          <w:rFonts w:ascii="Times New Roman" w:hAnsi="Times New Roman"/>
          <w:color w:val="000000"/>
          <w:sz w:val="20"/>
        </w:rPr>
        <w:t>. The following legends will appear on the face of all Global Notes and Definitive Notes issued under this Indenture unless specifically stated otherwise in the applicable provisions of this Indenture.</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(1)          Private Placement Legend.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(A)      Except as permitted by subparagraph (B) or (C) below, each Global Note and each Definitive Note (and all Notes issued in exchange therefor or substitution thereof) shall bear the legend in substantially the following form:</w:t>
      </w:r>
    </w:p>
    <w:p>
      <w:pPr>
        <w:pStyle w:val="TextBody"/>
        <w:bidi w:val="0"/>
        <w:spacing w:before="0" w:after="0"/>
        <w:jc w:val="left"/>
        <w:rPr/>
      </w:pPr>
      <w:r>
        <w:rPr/>
      </w:r>
    </w:p>
    <w:p>
      <w:pPr>
        <w:pStyle w:val="TextBody"/>
        <w:bidi w:val="0"/>
        <w:spacing w:before="0" w:after="0"/>
        <w:ind w:left="1440" w:right="0" w:hanging="0"/>
        <w:jc w:val="both"/>
        <w:rPr>
          <w:color w:val="000000"/>
        </w:rPr>
      </w:pPr>
      <w:r>
        <w:rPr>
          <w:color w:val="000000"/>
        </w:rPr>
        <w:t>“</w:t>
      </w:r>
      <w:r>
        <w:rPr>
          <w:rFonts w:ascii="Times New Roman" w:hAnsi="Times New Roman"/>
          <w:color w:val="000000"/>
          <w:sz w:val="20"/>
        </w:rPr>
        <w:t>THIS NOTE HAS NOT BEEN REGISTERED UNDER THE U.S. SECURITIES ACT OF 1933, AS AMENDED (THE “SECURITIES ACT”), OR UNDER THE SECURITIES LAWS OF ANY STATE OR OTHER JURISDICTION, AND, ACCORDINGLY, MAY NOT BE OFFERED OR SOLD WITHIN THE UNITED STATES OR TO, OR FOR THE ACCOUNT OR BENEFIT OF, U.S. PERSONS EXCEPT AS SET FORTH BELOW.  EACH PURCHASER OF THIS NOTE IS HEREBY NOTIFIED THAT THE SELLER OF THIS NOTE MAY BE RELYING ON THE EXEMPTION FROM THE PROVISIONS OF SECTION 5 OF THE SECURITIES ACT PROVIDED BY RULE 144A THEREUNDER OR ANOTHER EXEMPTION UNDER THE SECURITIES ACT.</w:t>
      </w:r>
    </w:p>
    <w:p>
      <w:pPr>
        <w:pStyle w:val="TextBody"/>
        <w:bidi w:val="0"/>
        <w:spacing w:before="0" w:after="0"/>
        <w:jc w:val="left"/>
        <w:rPr/>
      </w:pPr>
      <w:r>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0"/>
        </w:rPr>
        <w:t>BY ITS ACCEPTANCE HEREOF, THE HOLDER OF THIS NOTE (1) REPRESENTS THAT (A) IT IS A “QUALIFIED INSTITUTIONAL BUYER” (AS DEFINED IN RULE 144A UNDER THE SECURITIES ACT), (B) IT IS NOT A U.S. PERSON AND IS ACQUIRING THIS NOTE IN AN OFFSHORE TRANSACTION IN COMPLIANCE WITH REGULATION S UNDER THE SECURITIES ACT OR (C) IT IS AN “INSTITUTIONAL” ACCREDITED INVESTOR (AS DEFINED IN RULE 501(a)(1), (2), (3), (7), (9) OR (12) UNDER REGULATION D PROMULGATED UNDER THE SECURITIES ACT (AN “ACCREDITED INVESTOR”)) AND (2) AGREES THAT IT WILL NOT WITHIN [ONE YEAR—FOR NOTES ISSUED PURSUANT TO RULE 144A][40 DAYS—FOR NOTES ISSUED IN OFFSHORE TRANSACTIONS PURSUANT TO REGULATION S] AFTER THE LATER OF THE DATE OF THE ORIGINAL ISSUANCE OF THIS NOTE AND THE DATE ON WHICH THE COMPANY OR ANY OF ITS RESPECTIVE AFFILIATES OWNED THIS NOTE, OFFER, RESELL OR OTHERWISE TRANSFER THIS NOTE EXCEPT (A) (I) TO THE COMPANY OR ANY SUBSIDIARY THEREOF, (II) FOR SO LONG AS THIS NOTE IS ELIGIBLE FOR RESALE PURSUANT TO RULE 144A UNDER THE SECURITIES ACT TO A PERSON WHOM THE SELLER REASONABLY BELIEVES IS A QUALIFIED INSTITUTIONAL BUYER IN COMPLIANCE WITH RULE 144A UNDER THE SECURITIES ACT, (III) TO AN ACCREDITED INVESTOR THAT IS ACQUIRING THE NOTES FOR ITS OWN ACCOUNT OR FOR THE ACCOUNT OF SUCH AN ACCREDITED INVESTOR, IN EACH CASE IN A MINIMUM PRINCIPAL AMOUNT OF THE NOTES OF $250,000, FOR INVESTMENT PURPOSES AND NOT WITH A VIEW TO OR FOR THE OFFER OR SALE IN CONNECTION WITH ANY DISTRIBUTION IN VIOLATION OF THE SECURITIES ACT, AND THAT PRIOR TO SUCH TRANSFER, FURNISHES (OR HAS FURNISHED ON ITS BEHALF BY A U.S. BROKER-DEALER) TO THE TRUSTEE A SIGNED LETTER CONTAINING CERTAIN REPRESENTATIONS AND AGREEMENTS RELATING TO THE RESTRICTIONS ON TRANSFER OF THIS NOTE (THE FORM OF WHICH LETTER CAN BE OBTAINED FROM THE TRUSTEE FOR THIS NOTE), (IV) OUTSIDE THE UNITED STATES IN AN OFFSHORE TRANSACTION IN COMPLIANCE WITH REGULATION S UNDER THE SECURITIES ACT (IF AVAILABLE), (V) PURSUANT TO ANOTHER EXEMPTION FROM REGISTRATION PROVIDED BY RULE 144 UNDER THE SECURITIES ACT (IF AVAILABLE), (VI) IN ACCORDANCE WITH ANOTHER EXEMPTION FROM THE REGISTRATION REQUIREMENTS OF THE SECURITIES ACT (AND BASED UPON AN OPINION OF COUNSEL IF THE COMPANY SO REQUESTS), OR (VII) PURSUANT TO AN EFFECTIVE REGISTRATION STATEMENT UNDER THE SECURITIES ACT AND (B) IN ACCORDANCE WITH ALL APPLICABLE SECURITIES LAWS OF THE STATES OF THE UNITED STATES AND OTHER JURISDICTIONS.  BY ITS ACCEPTANCE HEREOF, THE HOLDER OF THIS NOTE FURTHER AGREES THAT IT WILL GIVE TO EACH PERSON TO WHOM THIS NOTE IS TRANSFERRED A NOTICE SUBSTANTIALLY TO THE EFFECT OF THIS LEGEND.  IN CONNECTION WITH ANY TRANSFER OF THIS NOTE PURSUANT TO SUBCLAUSES (III) TO (VI) OF CLAUSE (A) ABOVE, THE HOLDER MUST, PRIOR TO SUCH TRANSFER, FURNISH TO THE TRUSTEE AND THE COMPANY SUCH CERTIFICATIONS, LEGAL OPINIONS OR OTHER INFORMATION AS EITHER OF THEM MAY REASONABLY REQUIRE TO CONFIRM THAT SUCH TRANSFER IS BEING MADE PURSUANT TO AN EXEMPTION FROM, OR IN A TRANSACTION NOT SUBJECT TO, THE REGISTRATION REQUIREMENTS OF THE SECURITIES ACT.  AS USED HEREIN, THE TERMS “OFFSHORE TRANSACTION,” “UNITED STATES” AND “U.S. PERSON” HAVE THE MEANINGS GIVEN TO THEM BY REGULATION S UNDER THE SECURITIES ACT.”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(B)       Notwithstanding the foregoing, any Global Note or Definitive Note issued pursuant to subparagraph (b)(4), (c)(3), (c)(4), (d)(2), (d)(3), (e)(2) or (e)(3) of this Section 2.07 (and all Notes issued in exchange therefor or substitution thereof) will not bear the Private Placement Legend.</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(C)       The Issuer may cause the removal of the Private Placement Legend from a Global Note at any time on or after the 366th day after the date hereof through the mandatory exchange procedures of the Depositary by delivery to the Depositary an instruction letter for the Depositary’s mandatory exchange process (and/or otherwise complying with any Applicable Procedures). Until such time as the Issuer provides such instruction letter to the Depositary notifying and confirming to the Depositary that the restricted period for the Notes represented by such Global Note has elapsed and instructing the Depositary to exchange all “restricted securities” represented by a restricted CUSIP for “unrestricted securities” represented by an unrestricted CUSIP (and/or otherwise complies with the Applicable Procedures) and the Depositary moves the Notes represented by such Global Note from a restricted CUSIP number to an unrestricted CUSIP number in accordance with its Applicable Procedures, the restricted CUSIP will be the CUSIP number for such Notes. At such time as the Issuer provides such instruction letter to the Depositary (and/or otherwise complies with the Applicable Procedures) and the Depositary has moved all of such Notes represented by a restricted CUSIP number to an unrestricted CUSIP number, the Private Placement Legend will be deemed removed from such Global Note and an unrestricted CUSIP number for such Notes will be deemed to be the CUSIP number for such Notes. Thereafter such Global Notes shall be deemed an Unrestricted Global Note. No Opinion of Counsel shall be required to be delivered in connection with the mandatory exchange process under this clause (C) and the removal of the Private Placement Legend; provided, however, the Trustee may rely on an Officer’s Certificate from the Issuer as sufficient evidence of the existence and satisfaction of the conditions as described above.</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(2)         </w:t>
      </w:r>
      <w:r>
        <w:rPr>
          <w:rFonts w:ascii="Times New Roman" w:hAnsi="Times New Roman"/>
          <w:i/>
          <w:color w:val="000000"/>
          <w:sz w:val="20"/>
        </w:rPr>
        <w:t>Regulation S Global Note Legend</w:t>
      </w:r>
      <w:r>
        <w:rPr>
          <w:rFonts w:ascii="Times New Roman" w:hAnsi="Times New Roman"/>
          <w:color w:val="000000"/>
          <w:sz w:val="20"/>
        </w:rPr>
        <w:t>. The Regulation S Temporary Global Note will bear a legend in substantially the following form:</w:t>
      </w:r>
    </w:p>
    <w:p>
      <w:pPr>
        <w:pStyle w:val="TextBody"/>
        <w:bidi w:val="0"/>
        <w:spacing w:before="0" w:after="0"/>
        <w:jc w:val="left"/>
        <w:rPr/>
      </w:pPr>
      <w:r>
        <w:rPr/>
      </w:r>
    </w:p>
    <w:p>
      <w:pPr>
        <w:pStyle w:val="TextBody"/>
        <w:bidi w:val="0"/>
        <w:spacing w:before="0" w:after="0"/>
        <w:ind w:left="1440" w:right="0" w:hanging="0"/>
        <w:jc w:val="both"/>
        <w:rPr>
          <w:color w:val="000000"/>
        </w:rPr>
      </w:pPr>
      <w:r>
        <w:rPr>
          <w:color w:val="000000"/>
        </w:rPr>
        <w:t>“</w:t>
      </w:r>
      <w:r>
        <w:rPr>
          <w:rFonts w:ascii="Times New Roman" w:hAnsi="Times New Roman"/>
          <w:color w:val="000000"/>
          <w:sz w:val="20"/>
        </w:rPr>
        <w:t>BY ITS ACQUISITION HEREOF, THE HOLDER HEREOF REPRESENTS THAT IT IS NOT A U.S. PERSON, NOR IS IT PURCHASING FOR THE ACCOUNT OF A U.S. PERSON, AND IS ACQUIRING THIS NOTE IN AN OFFSHORE TRANSACTION IN ACCORDANCE WITH REGULATION S UNDER THE SECURITIES ACT.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(g)        </w:t>
      </w:r>
      <w:r>
        <w:rPr>
          <w:rFonts w:ascii="Times New Roman" w:hAnsi="Times New Roman"/>
          <w:i/>
          <w:color w:val="000000"/>
          <w:sz w:val="20"/>
        </w:rPr>
        <w:t>Cancellation and/or Adjustment of Global Notes</w:t>
      </w:r>
      <w:r>
        <w:rPr>
          <w:rFonts w:ascii="Times New Roman" w:hAnsi="Times New Roman"/>
          <w:color w:val="000000"/>
          <w:sz w:val="20"/>
        </w:rPr>
        <w:t>. At such time as all beneficial interests in a particular Global Note have been exchanged for Definitive Notes or a particular Global Note has been redeemed, repurchased or canceled in whole and not in part, each such Global Note will be returned to or retained and canceled by the Trustee in accordance with Section 2.12 of this Indenture.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(h)          </w:t>
      </w:r>
      <w:r>
        <w:rPr>
          <w:rFonts w:ascii="Times New Roman" w:hAnsi="Times New Roman"/>
          <w:i/>
          <w:color w:val="000000"/>
          <w:sz w:val="20"/>
        </w:rPr>
        <w:t>General Provisions Relating to Transfers and Exchanges.</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(1)         To permit registrations of transfers and exchanges, the Issuer will execute and the Trustee will authenticate Global Notes and Definitive Notes upon receipt of an Authentication Order in accordance with Section 2.03 of this Indenture or at the Registrar’s request.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(2)         No service charge will be made to a Holder of a beneficial interest in a Global Note or to a Holder of a Definitive Note for any registration of transfer or exchange, but the Issuer may require payment of a sum sufficient to cover any transfer tax or similar governmental charge payable in connection therewith (other than any such transfer taxes or similar governmental charge payable upon exchange or transfer pursuant to Sections 2.11 and 3.06 of the Base Indenture, or Section 3.05 or 4.02 of the First Supplemental Indenture).</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(3)        The Registrar will not be required to register the transfer of or exchange of any Note selected for redemption in whole or in part, except the unredeemed portion of any Note being redeemed in part.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(4)        All Global Notes and Definitive Notes issued upon any registration of transfer or exchange of Global Notes or Definitive Notes will be the valid obligations of the Issuer, evidencing the same debt, and entitled to the same benefits under this Indenture, as the Global Notes or Definitive Notes surrendered upon such registration of transfer or exchange.</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(5)          Neither the Registrar nor the Issuer will be required:</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(A)       to issue, to register the transfer of or to exchange any Notes during a period beginning at the opening of business 15 days before the day of delivering any notice of redemption under Section 3.03 of the Base Indenture and ending at the close of business on the day of such delivery;</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(B)        to register the transfer of or to exchange any Note selected for redemption in whole or in part, except the unredeemed portion of any Note being redeemed in part; or</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(C)        to register the transfer of or to exchange a Note between a record date and the next succeeding interest payment date.</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(6)         Prior to due presentment for the registration of a transfer of any Note, the Trustee, any Agent and the Issuer may deem and treat the Person in whose name any Note is registered as the absolute owner of such Note for the purpose of receiving payment of principal of and interest on such Notes and for all other purposes, and none of the Trustee, any Agent or the Issuer shall be affected by notice to the contrary.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(7)        The Trustee will authenticate Global Notes and Definitive Notes in accordance with the provisions of Section 2.03 of this Indenture.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Neither the Trustee nor any Agent shall have any obligation or duty to monitor, determine or inquire as to compliance with any restrictions on transfer imposed under this Indenture or under applicable law with respect to any transfer of any interest in any Note (including any transfers between or among any participants of the Depositary or beneficial owners of interests in any Global Notes)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Neither the Trustee nor any Agent shall have any responsibility for any actions taken or not taken by the Depositary. None of the Trustee, any Paying Agent or Registrar shall have any responsibility or liability for any acts or omissions of any Depositary with respect to such global Note, for the records of any Depositary, including records in respect of beneficial ownership interests in respect of any such global Note, for any transactions between such depositary and any participant in such Depositary or between or among any such Depositary, any such participant and/or any holder or owner of a beneficial interest in such global Note or for any transfers of beneficial interests in any such global Note.</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3</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REDEMPTION AND PREPAYMENT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3.01         </w:t>
      </w:r>
      <w:r>
        <w:rPr>
          <w:rFonts w:ascii="Times New Roman" w:hAnsi="Times New Roman"/>
          <w:i/>
          <w:color w:val="000000"/>
          <w:sz w:val="20"/>
        </w:rPr>
        <w:t>Optional Redemption</w:t>
      </w:r>
      <w:r>
        <w:rPr>
          <w:rFonts w:ascii="Times New Roman" w:hAnsi="Times New Roman"/>
          <w:color w:val="000000"/>
          <w:sz w:val="20"/>
        </w:rPr>
        <w:t xml:space="preserve">.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Prior to the applicable Par Call Date with respect to each Series of Notes, the Issuer may redeem the Notes of such Series at its option, in whole or in part, at any time and from time to time, at a redemption price (expressed as a percentage of principal amount and rounded to three decimal places) equal to the greater of: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the sum of the present values of the remaining scheduled payments of principal and interest thereon discounted to the redemption date (assuming that such Notes matured on their applicable Par Call Date) on a semi-annual basis (assuming a 360-day year consisting of twelve 30-day months) at the applicable Treasury Rate (as defined below) plus 15 basis points in the case of the 2029 Notes, 20 basis points in the case of the 2031 Notes and 25 basis points in the case of the 2036 Notes, less unpaid interest accrued to the date of redemption (any excess of the amount described in this bullet point over the amount described in Section 3.01(b), the “</w:t>
      </w:r>
      <w:r>
        <w:rPr>
          <w:rFonts w:ascii="Times New Roman" w:hAnsi="Times New Roman"/>
          <w:i/>
          <w:color w:val="000000"/>
          <w:sz w:val="20"/>
        </w:rPr>
        <w:t>Applicable Premium</w:t>
      </w:r>
      <w:r>
        <w:rPr>
          <w:rFonts w:ascii="Times New Roman" w:hAnsi="Times New Roman"/>
          <w:color w:val="000000"/>
          <w:sz w:val="20"/>
        </w:rPr>
        <w:t>”); and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100% of the principal amount of the Notes to be redeemed,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plus, in either case, accrued and unpaid interest thereon to the redemption date, as calculated by the Issuer, which the Trustee, the Paying Agent, the Transfer Agent and the Registrar shall not be required to review, investigate or verify.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On or after the applicable Par Call Date with respect to each Series of Notes, the Issuer may redeem the Notes of such Series, in whole or in part, at any time or from time to time, at a</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redemption price equal to 100% of the principal amount of the Notes being redeemed plus accrued and unpaid interest thereon to, but not including, the redemption date.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Par Call Date</w:t>
      </w:r>
      <w:r>
        <w:rPr>
          <w:rFonts w:ascii="Times New Roman" w:hAnsi="Times New Roman"/>
          <w:color w:val="000000"/>
          <w:sz w:val="20"/>
        </w:rPr>
        <w:t>” means (i) with respect to the 2029 Notes, July 13, 2029 (one month prior to the maturity date of the 2029 Notes), (ii) with respect to the 2031 Notes, July 13, 2031 (one month prior to the maturity date of the 2031 Notes) and (iii) with respect to the 2036 Notes, May 13, 2036 (three months prior to the maturity date of the 2036 Notes).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Treasury Rate</w:t>
      </w:r>
      <w:r>
        <w:rPr>
          <w:rFonts w:ascii="Times New Roman" w:hAnsi="Times New Roman"/>
          <w:color w:val="000000"/>
          <w:sz w:val="20"/>
        </w:rPr>
        <w:t>” means, with respect to any redemption date, the yield determined by the Issuer in accordance with the following two paragraphs.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Issuer shall select, as applicable:  (1) the yield for the Treasury constant maturity on H.15 exactly equal to the period from the redemption date to the Par Call Date (the “</w:t>
      </w:r>
      <w:r>
        <w:rPr>
          <w:rFonts w:ascii="Times New Roman" w:hAnsi="Times New Roman"/>
          <w:i/>
          <w:color w:val="000000"/>
          <w:sz w:val="20"/>
        </w:rPr>
        <w:t>Remaining Life</w:t>
      </w:r>
      <w:r>
        <w:rPr>
          <w:rFonts w:ascii="Times New Roman" w:hAnsi="Times New Roman"/>
          <w:color w:val="000000"/>
          <w:sz w:val="20"/>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such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3.02         </w:t>
      </w:r>
      <w:r>
        <w:rPr>
          <w:rFonts w:ascii="Times New Roman" w:hAnsi="Times New Roman"/>
          <w:i/>
          <w:color w:val="000000"/>
          <w:sz w:val="20"/>
        </w:rPr>
        <w:t>Mandatory Redemption</w:t>
      </w:r>
      <w:r>
        <w:rPr>
          <w:rFonts w:ascii="Times New Roman" w:hAnsi="Times New Roman"/>
          <w:color w:val="000000"/>
          <w:sz w:val="20"/>
        </w:rPr>
        <w:t xml:space="preserve">.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 is not required to make mandatory redemption or sinking fund payments with respect to the Notes.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3.03         </w:t>
      </w:r>
      <w:r>
        <w:rPr>
          <w:rFonts w:ascii="Times New Roman" w:hAnsi="Times New Roman"/>
          <w:i/>
          <w:color w:val="000000"/>
          <w:sz w:val="20"/>
        </w:rPr>
        <w:t>Optional Redemption for Changes in Taxes</w:t>
      </w:r>
      <w:r>
        <w:rPr>
          <w:rFonts w:ascii="Times New Roman" w:hAnsi="Times New Roman"/>
          <w:color w:val="000000"/>
          <w:sz w:val="20"/>
        </w:rPr>
        <w:t xml:space="preserve">.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 may redeem the Notes of any Series, in whole but not in part, at its discretion at any time upon giving not less than 10 nor more than 60 days’ notice to the Holders thereof (which notice shall be irrevocable and given in accordance with the procedures described in Sections 3.02 and 3.03 of the Base Indenture), at a redemption price equal to 100% of the principal amount of Notes redeemed, plus accrued and unpaid interest to, but not including, the date of redemption (a “</w:t>
      </w:r>
      <w:r>
        <w:rPr>
          <w:rFonts w:ascii="Times New Roman" w:hAnsi="Times New Roman"/>
          <w:i/>
          <w:color w:val="000000"/>
          <w:sz w:val="20"/>
        </w:rPr>
        <w:t>Tax Redemption Date</w:t>
      </w:r>
      <w:r>
        <w:rPr>
          <w:rFonts w:ascii="Times New Roman" w:hAnsi="Times New Roman"/>
          <w:color w:val="000000"/>
          <w:sz w:val="20"/>
        </w:rPr>
        <w:t>”) and all Additional Amounts (if any) then due and that may become due on the Tax Redemption Date as a result of the redemption or otherwise (subject to the right of Holders of such Notes on the relevant record date to receive interest due on the relevant interest payment date and Additional Amounts (if any) in respect thereof if such Notes have not been redeemed or repurchased prior to such date), if, as a result of any change in, or amendment to, the laws, regulations, rulings or treaties of any relevant Tax Jurisdiction affecting taxation, or any change in, or amendment to, the official position regarding the application, administration or interpretation of such laws, regulations, rulings or treaties (including by virtue of a holding, judgment or order by a court of competent jurisdiction or a change in official administrative practice), which change or amendment has not been publicly announced before, and which becomes effective after, the Issue Date (or, if the relevant Tax Jurisdiction became a Tax Jurisdiction on a date after the Issue Date, such later date)on the next date on which any amount would be payable in respect of such Notes, the Issuer or the Parent is or would be required to pay Additional Amounts, and the Issuer or the Parent (but, in the case of the Parent, only if the payment giving rise to such requirement cannot be made by the Issuer without the obligation to pay Additional Amounts) cannot avoid any such payment obligation by taking reasonable measures available to them (including, for the avoidance of doubt, the appointment of a new Paying Agent).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 will not give any such notice of redemption earlier than 60 days prior to the earliest date on which the Issuer or the Parent would be obligated to make such payment, deduction or withholding if a payment in respect of the Notes were then due and at the time such notice is given, the obligation to pay Additional Amounts must remain in effect.  Prior to the publication or, where relevant, mailing of any notice of redemption of the Notes of any Series pursuant to the foregoing, the Issuer will deliver to the Trustee an opinion of independent tax counsel of recognized standing (which counsel shall be reasonably acceptable to the Trustee) attesting to the effect that the conditions for redemption specified above have been satisfied (which opinion, for the avoidance of doubt, shall not be required to include an opinion as to whether “reasonable efforts” could be undertaken to avoid the otherwise applicable obligations).  In addition, before the Issuer publishes or mails notice of redemption of the Notes pursuant to the forgoing, it will deliver to the Trustee an Officer’s Certificate to the effect that it or the Parent (but, in the case of the Parent, only if the payment giving rise to such requirement cannot be made by the Issuer without the obligation to pay Additional Amounts) cannot avoid the obligation to pay Additional Amounts by taking reasonable measures available to it.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Trustee will accept and shall be entitled to conclusively rely on such Officer’s Certificate and opinion of counsel as sufficient evidence of the existence and satisfaction of the conditions as described above, in which event it will be conclusive and binding on all of the holders.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3.04         </w:t>
      </w:r>
      <w:r>
        <w:rPr>
          <w:rFonts w:ascii="Times New Roman" w:hAnsi="Times New Roman"/>
          <w:i/>
          <w:color w:val="000000"/>
          <w:sz w:val="20"/>
        </w:rPr>
        <w:t>Optional Redemption Procedures</w:t>
      </w:r>
      <w:r>
        <w:rPr>
          <w:rFonts w:ascii="Times New Roman" w:hAnsi="Times New Roman"/>
          <w:color w:val="000000"/>
          <w:sz w:val="20"/>
        </w:rPr>
        <w:t xml:space="preserve">.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provisions of Article 3 of the Base Indenture shall apply in the case of a redemption pursuant to Article 3 of this First Supplemental Indenture solely for the benefit of the Holders of the Notes.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3.05         </w:t>
      </w:r>
      <w:r>
        <w:rPr>
          <w:rFonts w:ascii="Times New Roman" w:hAnsi="Times New Roman"/>
          <w:i/>
          <w:color w:val="000000"/>
          <w:sz w:val="20"/>
        </w:rPr>
        <w:t>Offer to Purchase</w:t>
      </w:r>
      <w:r>
        <w:rPr>
          <w:rFonts w:ascii="Times New Roman" w:hAnsi="Times New Roman"/>
          <w:color w:val="000000"/>
          <w:sz w:val="20"/>
        </w:rPr>
        <w:t xml:space="preserve">.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the event that, pursuant to Section 4.02 hereof, the Issuer is required to commence an Offer to Purchase, it will follow the procedures specified below.</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connection with any Offer to Purchase, the Issuer will deliver electronically or mail by first class mail (or deliver to DTC in the case of Global Notes) a notice to each Holder of the applicable Series of Notes describing the transaction or transactions that give rise to such Offer to Purchase and offering to repurchase such Notes on the date specified in the notice (the “</w:t>
      </w:r>
      <w:r>
        <w:rPr>
          <w:rFonts w:ascii="Times New Roman" w:hAnsi="Times New Roman"/>
          <w:i/>
          <w:color w:val="000000"/>
          <w:sz w:val="20"/>
        </w:rPr>
        <w:t>Purchase Date</w:t>
      </w:r>
      <w:r>
        <w:rPr>
          <w:rFonts w:ascii="Times New Roman" w:hAnsi="Times New Roman"/>
          <w:color w:val="000000"/>
          <w:sz w:val="20"/>
        </w:rPr>
        <w:t>”), which date will be no earlier than 10 days and no later than 60 days from the date such notice is mailed.  The purchase price for the Offer to Purchase shall be as set forth in Section 4.02; provided that if the Purchase Date is on or after an interest record date and on or before the related interest payment date, any accrued and unpaid interest will be paid to the Person in whose name a Note is registered at the close of business on such record date.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notice will contain all instructions and materials necessary to enable such Holders to tender Notes pursuant to the Offer to Purchase.  The notice, which will govern the terms of the Offer to Purchase, will state: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that the Offer to Purchase is being made pursuant to this Section 3.05 and Section 4.02 hereof and the length of time the Offer to Purchase will remain open;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the purchase price and the Purchase Date;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that any Note not tendered or accepted for payment will continue to accrete or accrue interest;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that, unless the Issuer defaults in making such payment, any Note accepted for payment pursuant to the Offer to Purchase will cease to accrete or accrue interest after the Purchase Date;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that Holders electing to have a Note purchased pursuant to an Offer to Purchase may elect to have Notes purchased in denominations of $200,000 or an integral multiple of $1,000 in excess thereof;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         that Holders electing to have Notes purchased pursuant to any Offer to Purchase will be required to surrender the Note, with the form entitled “Option of Holder to Elect Purchase” attached to the Notes completed, or transfer by book-entry transfer, to the Issuer, a Depositary, if appointed by the Issuer, or a Paying Agent at the address specified in the notice at least three days before the Purchase Date;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(g)         that Holders whose Notes were purchased only in part will be issued new Notes equal in principal amount to the unpurchased portion of the Notes surrendered (or transferred by book-entry transfer).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On the applicable Purchase Date, the Issuer will, to the extent lawful: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          accept for payment all Notes or portions of Notes properly tendered pursuant to the Offer to Purchase;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(2)         deposit with the Paying Agent an amount equal to the purchase price in respect of all Notes or portions of Notes properly tendered; and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(3)        deliver or cause to be delivered to the Trustee the Notes properly accepted together with an Officer’s Certificate stating the aggregate principal amount of Notes or portions of Notes being purchased by the Issuer pursuant to this Section 3.05 and a written order to cancel those Notes (in accordance with the Trustee’s procedures).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 the Depositary or the Paying Agent, as the case may be, will promptly deliver to each Holder of Notes properly tendered the purchase price for such Notes, and the Trustee will promptly authenticate and mail (or cause to be transferred by book entry) to each Holder a new Note equal in principal amount to any unpurchased portion of the Notes surrendered, if any.  The Issuer will publicly announce the results of the Offer to Purchase on or as soon as practicable after the Purchase Date.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 will comply with the requirements of Rule 14e-1 under the Exchange Act and any other securities laws and regulations thereunder to the extent those laws and regulations are applicable in connection with each repurchase of Notes pursuant to an Offer to Purchase.  To the extent that the provisions of any securities laws or regulations conflict with the provisions of the Indenture governing such Offer to Purchase, the Issuer will comply with the applicable securities laws and regulations and will not be deemed to have breached its obligations under such provisions of the Indenture by virtue of such compliance.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provisions under this First Supplemental Indenture relative to the Issuer’s obligation to make any Offer to Purchase may be waived or modified with the consent of the Holders of a majority in principal amount of the Notes.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Notwithstanding anything to the contrary contained herein, any Offer to Purchase may be made in advance of a Change of Control Triggering Event, which may be conditioned upon the consummation of such Change of Control Triggering Event, if a definitive agreement is in place for the Change of Control Triggering Event at the time the Offer to Purchase is made. In addition, an Offer to Purchase may be made at the same time as consents are solicited with respect to an amendment, supplement or waiver of the indenture, the Notes and/or the Parent Guarantee (but such Offer to Purchase may not condition tenders on the delivery of such consents).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 the Parent or any of their respective Affiliates may at any time and from time to time purchase Notes of any Series in the open market or otherwise, subject to compliance with applicable securities laws. Any Notes purchased in the open market or otherwise by the Issuer or the Parent will be cancelled or remain outstanding as instructed, in each case, by the Issuer or the Parent, as the case may be.</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4</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CERTAIN COVENANTS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Unless otherwise noted, the following covenants will apply to the Notes in addition to the covenants in Article 4 of the Base Indenture: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4.01         </w:t>
      </w:r>
      <w:r>
        <w:rPr>
          <w:rFonts w:ascii="Times New Roman" w:hAnsi="Times New Roman"/>
          <w:i/>
          <w:color w:val="000000"/>
          <w:sz w:val="20"/>
        </w:rPr>
        <w:t>Liens</w:t>
      </w:r>
      <w:r>
        <w:rPr>
          <w:rFonts w:ascii="Times New Roman" w:hAnsi="Times New Roman"/>
          <w:color w:val="000000"/>
          <w:sz w:val="20"/>
        </w:rPr>
        <w:t xml:space="preserve">.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The Parent will not, and will not permit any of its Significant Subsidiaries to, directly or indirectly, create, incur, assume or permit to exist any Lien on any of its Principal Personal or Real Property (including Equity Interests of a Significant Subsidiary holding Principal Personal or Real Property), whether owned at the Issue Date or thereafter acquired, securing Indebtedness For Borrowed Money, other than Permitted Liens, without effectively providing that the Notes shall be secured, equally and ratably, on such assets of the Parent or such Subsidiary with (or senior or prior to) the Indebtedness For Borrowed Money so secured for so long as such Indebtedness For Borrowed Money is so secured.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Any Lien on any Principal Personal or Real Property created for the benefit of the Holders of the Notes pursuant to clause (a) immediately above shall provide by its terms that such Lien shall be automatically and unconditionally released and discharged upon the release and discharge of the Lien that gave rise to such Lien created for the benefit of the Holders of the Notes.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This Section 4.01 requires only equal and ratable treatment in the application of proceeds of collateral and does not require that the Trustee have any ability to control the collateral or the enforcement of remedies.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The foregoing restrictions do not apply to extensions, renewals or replacements of any Indebtedness For Borrowed Money (and any successive extensions, renewals or replacements of such Indebtedness For Borrowed Money) secured by Liens, so long as the principal amount of Indebtedness For Borrowed Money secured thereby shall not exceed the amount of such Indebtedness For Borrowed Money secured by the foregoing Liens existing at the time of such extension, renewal or replacement (plus an amount equal to any premiums, accrued interest, fees, expenses or other costs payable in connection therewith).</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Further, an increase in the amount of Indebtedness For Borrowed Money in connection with any accrual of interest, accretion of accreted value, amortization of original issue discount, payment of interest in the form of additional Indebtedness For Borrowed Money with the same terms, and accretion of original issue discount and increases in the amount of Indebtedness For Borrowed Money outstanding solely as a result of fluctuations in the exchange rate of currencies or increases in the value of property securing Indebtedness For Borrowed Money, shall not constitute an incurrence or assumption for the purposes of this covenant, so long as the original Liens securing such Indebtedness For Borrowed Money were permitted under the indenture.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4.02         </w:t>
      </w:r>
      <w:r>
        <w:rPr>
          <w:rFonts w:ascii="Times New Roman" w:hAnsi="Times New Roman"/>
          <w:i/>
          <w:color w:val="000000"/>
          <w:sz w:val="20"/>
        </w:rPr>
        <w:t>Offer to Repurchase Upon Change of Control Triggering Event</w:t>
      </w:r>
      <w:r>
        <w:rPr>
          <w:rFonts w:ascii="Times New Roman" w:hAnsi="Times New Roman"/>
          <w:color w:val="000000"/>
          <w:sz w:val="20"/>
        </w:rPr>
        <w:t xml:space="preserve">.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If a Change of Control Triggering Event occurs with respect to a Series of Notes, unless the Issuer has previously or concurrently delivered a redemption notice with respect to all the outstanding Notes of such Series pursuant to Section 3.01, within 30 days following such Change of Control Triggering Event, the Issuer will make an Offer to Purchase all of the Notes of such Series (a “</w:t>
      </w:r>
      <w:r>
        <w:rPr>
          <w:rFonts w:ascii="Times New Roman" w:hAnsi="Times New Roman"/>
          <w:i/>
          <w:color w:val="000000"/>
          <w:sz w:val="20"/>
        </w:rPr>
        <w:t>Change of Control Offer</w:t>
      </w:r>
      <w:r>
        <w:rPr>
          <w:rFonts w:ascii="Times New Roman" w:hAnsi="Times New Roman"/>
          <w:color w:val="000000"/>
          <w:sz w:val="20"/>
        </w:rPr>
        <w:t>”) on the terms set forth in the Indenture and in compliance with Section 3.05.  In the Change of Control Offer, the Issuer will offer to purchase all of the Notes of the applicable Series at a purchase price in cash equal to 101% of the aggregate principal amount of Notes repurchased, plus accrued and unpaid interest on the Notes repurchased to, but not including, the date of purchase (the “</w:t>
      </w:r>
      <w:r>
        <w:rPr>
          <w:rFonts w:ascii="Times New Roman" w:hAnsi="Times New Roman"/>
          <w:i/>
          <w:color w:val="000000"/>
          <w:sz w:val="20"/>
        </w:rPr>
        <w:t>Change of Control Payment</w:t>
      </w:r>
      <w:r>
        <w:rPr>
          <w:rFonts w:ascii="Times New Roman" w:hAnsi="Times New Roman"/>
          <w:color w:val="000000"/>
          <w:sz w:val="20"/>
        </w:rPr>
        <w:t>”) (subject to the rights of Holders of Notes on the relevant record date to receive interest due on the relevant interest payment date if the Notes have not been redeemed or repurchased prior to such date).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Notwithstanding anything to the contrary in this Section 4.02, the Issuer will not be required to make a Change of Control Offer upon a Change of Control Triggering Event if (1) a third party makes the Change of Control Offer in the manner, at the times and otherwise in compliance with the requirements set forth in the Indenture applicable to a Change of Control Offer made by the Issuer and purchases all Notes of the Series as to which the Change of Control Triggering Event has occurred and that were properly tendered and not withdrawn under the Change of Control Offer, (2) in connection with or in contemplation of any Change of Control, the Issuer (or any Affiliate of the Issuer) has made an offer to purchase (an “</w:t>
      </w:r>
      <w:r>
        <w:rPr>
          <w:rFonts w:ascii="Times New Roman" w:hAnsi="Times New Roman"/>
          <w:i/>
          <w:color w:val="000000"/>
          <w:sz w:val="20"/>
        </w:rPr>
        <w:t>Alternate Offer</w:t>
      </w:r>
      <w:r>
        <w:rPr>
          <w:rFonts w:ascii="Times New Roman" w:hAnsi="Times New Roman"/>
          <w:color w:val="000000"/>
          <w:sz w:val="20"/>
        </w:rPr>
        <w:t>”) any and all Notes of the Series as to which the Change of Control Triggering Event is contemplated to occur and that are validly tendered at a cash price equal to or higher than the Change of Control Payment and has purchased all Notes of such Series that were properly tendered in accordance with the terms of the Alternate Offer or (3) notice of redemption with respect to such Series of Notes has been given pursuant to Section 3.07 under the Indenture, unless and until there is a default in payment of the applicable redemption price.</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5</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DEFEASANCE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5.01         </w:t>
      </w:r>
      <w:r>
        <w:rPr>
          <w:rFonts w:ascii="Times New Roman" w:hAnsi="Times New Roman"/>
          <w:i/>
          <w:color w:val="000000"/>
          <w:sz w:val="20"/>
        </w:rPr>
        <w:t>Covenant Defeasance</w:t>
      </w:r>
      <w:r>
        <w:rPr>
          <w:rFonts w:ascii="Times New Roman" w:hAnsi="Times New Roman"/>
          <w:color w:val="000000"/>
          <w:sz w:val="20"/>
        </w:rPr>
        <w:t xml:space="preserve">.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8.03 of the Base Indenture shall be superseded in its entirety by the following language with respect to, and solely for the benefit of the Holders of the Notes; provided that this Section 5.01 shall not become part of the terms of any other Series of Securities: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Upon the Issuer’s exercise under Section 8.01 of the Base Indenture of the option applicable to this Section 5.01, the Issuer and the Parent will, with respect to the Notes of any Series and subject to the satisfaction of the conditions set forth in Section 8.04 of the Base Indenture, be released from each of their obligations under Sections 3.05, 4.01 and 4.02 of this First Supplemental Indenture and Section 4.03 and clauses (a)(3) and (c)(3) of Section 5.01 of the Base Indenture with respect to the outstanding Notes of such Series on and after the date the conditions set forth in Section 8.04 of the Base Indenture are satisfied (hereinafter, “</w:t>
      </w:r>
      <w:r>
        <w:rPr>
          <w:rFonts w:ascii="Times New Roman" w:hAnsi="Times New Roman"/>
          <w:i/>
          <w:color w:val="000000"/>
          <w:sz w:val="20"/>
        </w:rPr>
        <w:t>Covenant Defeasance</w:t>
      </w:r>
      <w:r>
        <w:rPr>
          <w:rFonts w:ascii="Times New Roman" w:hAnsi="Times New Roman"/>
          <w:color w:val="000000"/>
          <w:sz w:val="20"/>
        </w:rPr>
        <w:t>”), and the Notes of such Series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this First Supplemental Indenture and outstanding Notes of a Series and related Parent Guarantee, the Issuer and the Parent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of the Base Indenture, but, except as specified above, the remainder of the Indenture and such Notes and the Parent Guarantee will be unaffected thereby.  In addition, upon the Issuer’s exercise under Section 8.01 of the Base Indenture of the option applicable to this Section 8.03, subject to the satisfaction of the conditions set forth in Section 8.04 of the Base Indenture, Sections 6.01(3), (4), (5), (6) (only as such clause 6 applies to Significant Subsidiaries) and (7) (only as such clause 7 applies to Significant Subsidiaries) of the Base Indenture will not constitute Events of Default.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6</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MISCELLANEOUS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6.01         </w:t>
      </w:r>
      <w:r>
        <w:rPr>
          <w:rFonts w:ascii="Times New Roman" w:hAnsi="Times New Roman"/>
          <w:i/>
          <w:color w:val="000000"/>
          <w:sz w:val="20"/>
        </w:rPr>
        <w:t>Effect of the First Supplemental Indenture</w:t>
      </w:r>
      <w:r>
        <w:rPr>
          <w:rFonts w:ascii="Times New Roman" w:hAnsi="Times New Roman"/>
          <w:color w:val="000000"/>
          <w:sz w:val="20"/>
        </w:rPr>
        <w:t xml:space="preserve">.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First Supplemental Indenture is a supplemental indenture within the meaning of Section 2.02 of the Base Indenture, and the Base Indenture shall (notwithstanding Section 12.12 thereof or Section 6.04 hereof) be read together with this First Supplemental Indenture and shall have the same effect over the Notes of each Series, in the same manner as if the provisions of the Base Indenture and this First Supplemental Indenture were contained in the same instrument.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Article 7 of the Base Indenture is hereby incorporated by reference herein, </w:t>
      </w:r>
      <w:r>
        <w:rPr>
          <w:rFonts w:ascii="Times New Roman" w:hAnsi="Times New Roman"/>
          <w:i/>
          <w:color w:val="000000"/>
          <w:sz w:val="20"/>
        </w:rPr>
        <w:t>mutatis mutandis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6.02         </w:t>
      </w:r>
      <w:r>
        <w:rPr>
          <w:rFonts w:ascii="Times New Roman" w:hAnsi="Times New Roman"/>
          <w:i/>
          <w:color w:val="000000"/>
          <w:sz w:val="20"/>
        </w:rPr>
        <w:t>No Adverse Interpretation of Other Agreements</w:t>
      </w:r>
      <w:r>
        <w:rPr>
          <w:rFonts w:ascii="Times New Roman" w:hAnsi="Times New Roman"/>
          <w:color w:val="000000"/>
          <w:sz w:val="20"/>
        </w:rPr>
        <w:t xml:space="preserve">.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First Supplemental Indenture may not be used to interpret any other indenture, loan or debt agreement of the Parent or its Subsidiaries or of any other Person.  Any such indenture, loan or debt agreement may not be used to interpret this First Supplemental Indenture.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6.03         </w:t>
      </w:r>
      <w:r>
        <w:rPr>
          <w:rFonts w:ascii="Times New Roman" w:hAnsi="Times New Roman"/>
          <w:i/>
          <w:color w:val="000000"/>
          <w:sz w:val="20"/>
        </w:rPr>
        <w:t>Successors</w:t>
      </w:r>
      <w:r>
        <w:rPr>
          <w:rFonts w:ascii="Times New Roman" w:hAnsi="Times New Roman"/>
          <w:color w:val="000000"/>
          <w:sz w:val="20"/>
        </w:rPr>
        <w:t xml:space="preserve">.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All agreements of the Parent and the Issuer in this First Supplemental Indenture and the Notes will bind its successors.  All agreements of the Trustee in this First Supplemental Indenture will bind its successors.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6.04         </w:t>
      </w:r>
      <w:r>
        <w:rPr>
          <w:rFonts w:ascii="Times New Roman" w:hAnsi="Times New Roman"/>
          <w:i/>
          <w:color w:val="000000"/>
          <w:sz w:val="20"/>
        </w:rPr>
        <w:t>Severability</w:t>
      </w:r>
      <w:r>
        <w:rPr>
          <w:rFonts w:ascii="Times New Roman" w:hAnsi="Times New Roman"/>
          <w:color w:val="000000"/>
          <w:sz w:val="20"/>
        </w:rPr>
        <w:t xml:space="preserve">.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case any provision in this First Supplemental Indenture or in the Notes is invalid, illegal or unenforceable, the validity, legality and enforceability of the remaining provisions will not in any way be affected or impaired thereby.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6.05         </w:t>
      </w:r>
      <w:r>
        <w:rPr>
          <w:rFonts w:ascii="Times New Roman" w:hAnsi="Times New Roman"/>
          <w:i/>
          <w:color w:val="000000"/>
          <w:sz w:val="20"/>
        </w:rPr>
        <w:t>Table of Contents, Headings, etc</w:t>
      </w:r>
      <w:r>
        <w:rPr>
          <w:rFonts w:ascii="Times New Roman" w:hAnsi="Times New Roman"/>
          <w:color w:val="000000"/>
          <w:sz w:val="20"/>
        </w:rPr>
        <w:t xml:space="preserve">.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Table of Contents, Cross-Reference Table and Headings of the Articles and Sections of this First Supplemental Indenture have been inserted for convenience of reference only, are not to be considered a part of this First Supplemental Indenture and will in no way modify or restrict any of the terms or provisions hereof.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6.06         </w:t>
      </w:r>
      <w:r>
        <w:rPr>
          <w:rFonts w:ascii="Times New Roman" w:hAnsi="Times New Roman"/>
          <w:i/>
          <w:color w:val="000000"/>
          <w:sz w:val="20"/>
        </w:rPr>
        <w:t>Beneficiaries of this First Supplemental Indenture</w:t>
      </w:r>
      <w:r>
        <w:rPr>
          <w:rFonts w:ascii="Times New Roman" w:hAnsi="Times New Roman"/>
          <w:color w:val="000000"/>
          <w:sz w:val="20"/>
        </w:rPr>
        <w:t xml:space="preserve">.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Nothing in this First Supplemental Indenture or in the Notes of any Series offered hereby, expressed or implied, shall give to any Person, other than the parties hereto and their successors hereunder, and the Holders of the Notes of such Series, any benefit or any legal or equitable right, remedy or claim under this First Supplemental Indenture.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6.07         </w:t>
      </w:r>
      <w:r>
        <w:rPr>
          <w:rFonts w:ascii="Times New Roman" w:hAnsi="Times New Roman"/>
          <w:i/>
          <w:color w:val="000000"/>
          <w:sz w:val="20"/>
        </w:rPr>
        <w:t>Governing Law; Waiver of Jury Trial; Jurisdiction</w:t>
      </w:r>
      <w:r>
        <w:rPr>
          <w:rFonts w:ascii="Times New Roman" w:hAnsi="Times New Roman"/>
          <w:color w:val="000000"/>
          <w:sz w:val="20"/>
        </w:rPr>
        <w:t xml:space="preserve">.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12.09 of the Base Indenture is hereby incorporated by reference herein, </w:t>
      </w:r>
      <w:r>
        <w:rPr>
          <w:rFonts w:ascii="Times New Roman" w:hAnsi="Times New Roman"/>
          <w:i/>
          <w:color w:val="000000"/>
          <w:sz w:val="20"/>
        </w:rPr>
        <w:t>mutatis mutandis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[Signatures on following page]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7" w:name="zffebba980f234fcfb0f54775050767cd"/>
      <w:bookmarkStart w:id="68" w:name="zffebba980f234fcfb0f54775050767cd"/>
      <w:bookmarkEnd w:id="68"/>
    </w:p>
    <w:tbl>
      <w:tblPr>
        <w:tblW w:w="7388" w:type="dxa"/>
        <w:jc w:val="left"/>
        <w:tblInd w:w="0" w:type="dxa"/>
        <w:tblLayout w:type="fixed"/>
        <w:tblCellMar>
          <w:top w:w="0" w:type="dxa"/>
          <w:left w:w="0" w:type="dxa"/>
          <w:bottom w:w="0" w:type="dxa"/>
          <w:right w:w="0" w:type="dxa"/>
        </w:tblCellMar>
      </w:tblPr>
      <w:tblGrid>
        <w:gridCol w:w="2750"/>
        <w:gridCol w:w="769"/>
        <w:gridCol w:w="3743"/>
        <w:gridCol w:w="126"/>
      </w:tblGrid>
      <w:tr>
        <w:trPr/>
        <w:tc>
          <w:tcPr>
            <w:tcW w:w="2750" w:type="dxa"/>
            <w:tcBorders/>
            <w:vAlign w:val="center"/>
          </w:tcPr>
          <w:p>
            <w:pPr>
              <w:pStyle w:val="TableContents"/>
              <w:bidi w:val="0"/>
              <w:spacing w:before="0" w:after="0"/>
              <w:jc w:val="both"/>
              <w:rPr>
                <w:color w:val="000000"/>
              </w:rPr>
            </w:pPr>
            <w:r>
              <w:rPr>
                <w:color w:val="000000"/>
              </w:rPr>
              <w:t>Dated as of August 13, 2026</w:t>
            </w:r>
          </w:p>
        </w:tc>
        <w:tc>
          <w:tcPr>
            <w:tcW w:w="4638" w:type="dxa"/>
            <w:gridSpan w:val="3"/>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4638" w:type="dxa"/>
            <w:gridSpan w:val="3"/>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4638" w:type="dxa"/>
            <w:gridSpan w:val="3"/>
            <w:tcBorders/>
            <w:vAlign w:val="center"/>
          </w:tcPr>
          <w:p>
            <w:pPr>
              <w:pStyle w:val="TableContents"/>
              <w:bidi w:val="0"/>
              <w:spacing w:before="0" w:after="0"/>
              <w:jc w:val="left"/>
              <w:rPr>
                <w:b/>
                <w:color w:val="000000"/>
              </w:rPr>
            </w:pPr>
            <w:r>
              <w:rPr>
                <w:b/>
                <w:color w:val="000000"/>
              </w:rPr>
              <w:t>ICON INVESTMENTS SIX DESIGNATED</w:t>
            </w:r>
          </w:p>
          <w:p>
            <w:pPr>
              <w:pStyle w:val="TableContents"/>
              <w:bidi w:val="0"/>
              <w:spacing w:before="0" w:after="0"/>
              <w:jc w:val="left"/>
              <w:rPr>
                <w:b/>
                <w:color w:val="000000"/>
              </w:rPr>
            </w:pPr>
            <w:r>
              <w:rPr>
                <w:b/>
                <w:color w:val="000000"/>
              </w:rPr>
              <w:t>ACTIVITY COMPANY</w:t>
            </w:r>
          </w:p>
        </w:tc>
      </w:tr>
      <w:tr>
        <w:trPr/>
        <w:tc>
          <w:tcPr>
            <w:tcW w:w="2750" w:type="dxa"/>
            <w:tcBorders/>
            <w:vAlign w:val="center"/>
          </w:tcPr>
          <w:p>
            <w:pPr>
              <w:pStyle w:val="TableContents"/>
              <w:bidi w:val="0"/>
              <w:spacing w:before="0" w:after="283"/>
              <w:jc w:val="left"/>
              <w:rPr/>
            </w:pPr>
            <w:r>
              <w:rPr/>
              <w:t> </w:t>
            </w:r>
          </w:p>
        </w:tc>
        <w:tc>
          <w:tcPr>
            <w:tcW w:w="4638" w:type="dxa"/>
            <w:gridSpan w:val="3"/>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0"/>
              <w:jc w:val="both"/>
              <w:rPr>
                <w:color w:val="000000"/>
              </w:rPr>
            </w:pPr>
            <w:r>
              <w:rPr>
                <w:color w:val="000000"/>
              </w:rPr>
              <w:t>By:</w:t>
            </w:r>
          </w:p>
        </w:tc>
        <w:tc>
          <w:tcPr>
            <w:tcW w:w="3743" w:type="dxa"/>
            <w:tcBorders>
              <w:bottom w:val="single" w:sz="12" w:space="0" w:color="000000"/>
            </w:tcBorders>
            <w:tcMar>
              <w:bottom w:w="28" w:type="dxa"/>
            </w:tcMar>
            <w:vAlign w:val="center"/>
          </w:tcPr>
          <w:p>
            <w:pPr>
              <w:pStyle w:val="TableContents"/>
              <w:bidi w:val="0"/>
              <w:spacing w:before="0" w:after="0"/>
              <w:jc w:val="left"/>
              <w:rPr/>
            </w:pPr>
            <w:r>
              <w:rPr/>
              <w:t>/s/ Louise Howard</w:t>
            </w:r>
          </w:p>
        </w:tc>
        <w:tc>
          <w:tcPr>
            <w:tcW w:w="126"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4638" w:type="dxa"/>
            <w:gridSpan w:val="3"/>
            <w:tcBorders/>
            <w:vAlign w:val="center"/>
          </w:tcPr>
          <w:p>
            <w:pPr>
              <w:pStyle w:val="TableContents"/>
              <w:bidi w:val="0"/>
              <w:spacing w:before="0" w:after="0"/>
              <w:jc w:val="both"/>
              <w:rPr>
                <w:color w:val="000000"/>
              </w:rPr>
            </w:pPr>
            <w:r>
              <w:rPr>
                <w:color w:val="000000"/>
              </w:rPr>
              <w:t>Name: Louise Howard</w:t>
            </w:r>
          </w:p>
        </w:tc>
      </w:tr>
      <w:tr>
        <w:trPr/>
        <w:tc>
          <w:tcPr>
            <w:tcW w:w="2750" w:type="dxa"/>
            <w:tcBorders/>
            <w:vAlign w:val="center"/>
          </w:tcPr>
          <w:p>
            <w:pPr>
              <w:pStyle w:val="TableContents"/>
              <w:bidi w:val="0"/>
              <w:spacing w:before="0" w:after="283"/>
              <w:jc w:val="left"/>
              <w:rPr/>
            </w:pPr>
            <w:r>
              <w:rPr/>
              <w:t> </w:t>
            </w:r>
          </w:p>
        </w:tc>
        <w:tc>
          <w:tcPr>
            <w:tcW w:w="4638" w:type="dxa"/>
            <w:gridSpan w:val="3"/>
            <w:tcBorders/>
            <w:vAlign w:val="center"/>
          </w:tcPr>
          <w:p>
            <w:pPr>
              <w:pStyle w:val="TableContents"/>
              <w:bidi w:val="0"/>
              <w:spacing w:before="0" w:after="0"/>
              <w:jc w:val="both"/>
              <w:rPr>
                <w:color w:val="000000"/>
              </w:rPr>
            </w:pPr>
            <w:r>
              <w:rPr>
                <w:color w:val="000000"/>
              </w:rPr>
              <w:t>Title: Attorney</w:t>
            </w:r>
          </w:p>
        </w:tc>
      </w:tr>
      <w:tr>
        <w:trPr/>
        <w:tc>
          <w:tcPr>
            <w:tcW w:w="2750" w:type="dxa"/>
            <w:tcBorders/>
            <w:vAlign w:val="center"/>
          </w:tcPr>
          <w:p>
            <w:pPr>
              <w:pStyle w:val="TableContents"/>
              <w:bidi w:val="0"/>
              <w:spacing w:before="0" w:after="283"/>
              <w:jc w:val="left"/>
              <w:rPr/>
            </w:pPr>
            <w:r>
              <w:rPr/>
              <w:t> </w:t>
            </w:r>
          </w:p>
        </w:tc>
        <w:tc>
          <w:tcPr>
            <w:tcW w:w="4638" w:type="dxa"/>
            <w:gridSpan w:val="3"/>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4638" w:type="dxa"/>
            <w:gridSpan w:val="3"/>
            <w:tcBorders/>
            <w:vAlign w:val="center"/>
          </w:tcPr>
          <w:p>
            <w:pPr>
              <w:pStyle w:val="TableContents"/>
              <w:bidi w:val="0"/>
              <w:spacing w:before="0" w:after="0"/>
              <w:jc w:val="both"/>
              <w:rPr>
                <w:b/>
                <w:color w:val="000000"/>
              </w:rPr>
            </w:pPr>
            <w:r>
              <w:rPr>
                <w:b/>
                <w:color w:val="000000"/>
              </w:rPr>
              <w:t>ICON PUBLIC LIMITED COMPANY</w:t>
            </w:r>
          </w:p>
        </w:tc>
      </w:tr>
      <w:tr>
        <w:trPr/>
        <w:tc>
          <w:tcPr>
            <w:tcW w:w="2750" w:type="dxa"/>
            <w:tcBorders/>
            <w:vAlign w:val="center"/>
          </w:tcPr>
          <w:p>
            <w:pPr>
              <w:pStyle w:val="TableContents"/>
              <w:bidi w:val="0"/>
              <w:spacing w:before="0" w:after="283"/>
              <w:jc w:val="left"/>
              <w:rPr/>
            </w:pPr>
            <w:r>
              <w:rPr/>
              <w:t> </w:t>
            </w:r>
          </w:p>
        </w:tc>
        <w:tc>
          <w:tcPr>
            <w:tcW w:w="4638" w:type="dxa"/>
            <w:gridSpan w:val="3"/>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0"/>
              <w:jc w:val="both"/>
              <w:rPr>
                <w:color w:val="000000"/>
              </w:rPr>
            </w:pPr>
            <w:r>
              <w:rPr>
                <w:color w:val="000000"/>
              </w:rPr>
              <w:t>By:</w:t>
            </w:r>
          </w:p>
        </w:tc>
        <w:tc>
          <w:tcPr>
            <w:tcW w:w="3743" w:type="dxa"/>
            <w:tcBorders>
              <w:bottom w:val="single" w:sz="12" w:space="0" w:color="000000"/>
            </w:tcBorders>
            <w:tcMar>
              <w:bottom w:w="28" w:type="dxa"/>
            </w:tcMar>
            <w:vAlign w:val="center"/>
          </w:tcPr>
          <w:p>
            <w:pPr>
              <w:pStyle w:val="TableContents"/>
              <w:bidi w:val="0"/>
              <w:spacing w:before="0" w:after="0"/>
              <w:jc w:val="left"/>
              <w:rPr/>
            </w:pPr>
            <w:r>
              <w:rPr/>
              <w:t>/s/ Emer Lyons</w:t>
            </w:r>
          </w:p>
        </w:tc>
        <w:tc>
          <w:tcPr>
            <w:tcW w:w="126"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4638" w:type="dxa"/>
            <w:gridSpan w:val="3"/>
            <w:tcBorders/>
            <w:vAlign w:val="center"/>
          </w:tcPr>
          <w:p>
            <w:pPr>
              <w:pStyle w:val="TableContents"/>
              <w:bidi w:val="0"/>
              <w:spacing w:before="0" w:after="0"/>
              <w:jc w:val="both"/>
              <w:rPr>
                <w:color w:val="000000"/>
              </w:rPr>
            </w:pPr>
            <w:r>
              <w:rPr>
                <w:color w:val="000000"/>
              </w:rPr>
              <w:t>Name: Emer Lyons</w:t>
            </w:r>
          </w:p>
        </w:tc>
      </w:tr>
      <w:tr>
        <w:trPr/>
        <w:tc>
          <w:tcPr>
            <w:tcW w:w="2750" w:type="dxa"/>
            <w:tcBorders/>
            <w:vAlign w:val="center"/>
          </w:tcPr>
          <w:p>
            <w:pPr>
              <w:pStyle w:val="TableContents"/>
              <w:bidi w:val="0"/>
              <w:spacing w:before="0" w:after="283"/>
              <w:jc w:val="left"/>
              <w:rPr/>
            </w:pPr>
            <w:r>
              <w:rPr/>
              <w:t> </w:t>
            </w:r>
          </w:p>
        </w:tc>
        <w:tc>
          <w:tcPr>
            <w:tcW w:w="4638" w:type="dxa"/>
            <w:gridSpan w:val="3"/>
            <w:tcBorders/>
            <w:vAlign w:val="center"/>
          </w:tcPr>
          <w:p>
            <w:pPr>
              <w:pStyle w:val="TableContents"/>
              <w:bidi w:val="0"/>
              <w:spacing w:before="0" w:after="283"/>
              <w:jc w:val="left"/>
              <w:rPr/>
            </w:pPr>
            <w:r>
              <w:rPr/>
              <w:t>Title: Attorney</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[Signature Page to the First Supplemental Indenture]</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9" w:name="z93375ad220894ea28741eda9f26cfc9d"/>
      <w:bookmarkStart w:id="70" w:name="z93375ad220894ea28741eda9f26cfc9d"/>
      <w:bookmarkEnd w:id="70"/>
    </w:p>
    <w:tbl>
      <w:tblPr>
        <w:tblW w:w="2569" w:type="dxa"/>
        <w:jc w:val="left"/>
        <w:tblInd w:w="0" w:type="dxa"/>
        <w:tblLayout w:type="fixed"/>
        <w:tblCellMar>
          <w:top w:w="0" w:type="dxa"/>
          <w:left w:w="0" w:type="dxa"/>
          <w:bottom w:w="0" w:type="dxa"/>
          <w:right w:w="0" w:type="dxa"/>
        </w:tblCellMar>
      </w:tblPr>
      <w:tblGrid>
        <w:gridCol w:w="75"/>
        <w:gridCol w:w="657"/>
        <w:gridCol w:w="1736"/>
        <w:gridCol w:w="101"/>
      </w:tblGrid>
      <w:tr>
        <w:trPr/>
        <w:tc>
          <w:tcPr>
            <w:tcW w:w="75" w:type="dxa"/>
            <w:tcBorders/>
            <w:vAlign w:val="center"/>
          </w:tcPr>
          <w:p>
            <w:pPr>
              <w:pStyle w:val="TableContents"/>
              <w:bidi w:val="0"/>
              <w:spacing w:before="0" w:after="283"/>
              <w:jc w:val="left"/>
              <w:rPr/>
            </w:pPr>
            <w:r>
              <w:rPr/>
              <w:t> </w:t>
            </w:r>
          </w:p>
        </w:tc>
        <w:tc>
          <w:tcPr>
            <w:tcW w:w="2494" w:type="dxa"/>
            <w:gridSpan w:val="3"/>
            <w:tcBorders/>
            <w:vAlign w:val="center"/>
          </w:tcPr>
          <w:p>
            <w:pPr>
              <w:pStyle w:val="TableContents"/>
              <w:bidi w:val="0"/>
              <w:spacing w:before="0" w:after="0"/>
              <w:jc w:val="left"/>
              <w:rPr>
                <w:b/>
              </w:rPr>
            </w:pPr>
            <w:r>
              <w:rPr>
                <w:b/>
              </w:rPr>
              <w:t>CITIBANK, N.A.,</w:t>
            </w:r>
          </w:p>
        </w:tc>
      </w:tr>
      <w:tr>
        <w:trPr/>
        <w:tc>
          <w:tcPr>
            <w:tcW w:w="75" w:type="dxa"/>
            <w:tcBorders/>
            <w:vAlign w:val="center"/>
          </w:tcPr>
          <w:p>
            <w:pPr>
              <w:pStyle w:val="TableContents"/>
              <w:bidi w:val="0"/>
              <w:spacing w:before="0" w:after="283"/>
              <w:jc w:val="left"/>
              <w:rPr/>
            </w:pPr>
            <w:r>
              <w:rPr/>
              <w:t> </w:t>
            </w:r>
          </w:p>
        </w:tc>
        <w:tc>
          <w:tcPr>
            <w:tcW w:w="2494" w:type="dxa"/>
            <w:gridSpan w:val="3"/>
            <w:tcBorders/>
            <w:vAlign w:val="center"/>
          </w:tcPr>
          <w:p>
            <w:pPr>
              <w:pStyle w:val="TableContents"/>
              <w:bidi w:val="0"/>
              <w:spacing w:before="0" w:after="0"/>
              <w:jc w:val="left"/>
              <w:rPr/>
            </w:pPr>
            <w:r>
              <w:rPr/>
              <w:t>as Trustee</w:t>
            </w:r>
          </w:p>
        </w:tc>
      </w:tr>
      <w:tr>
        <w:trPr/>
        <w:tc>
          <w:tcPr>
            <w:tcW w:w="75" w:type="dxa"/>
            <w:tcBorders/>
            <w:vAlign w:val="center"/>
          </w:tcPr>
          <w:p>
            <w:pPr>
              <w:pStyle w:val="TableContents"/>
              <w:bidi w:val="0"/>
              <w:spacing w:before="0" w:after="283"/>
              <w:jc w:val="left"/>
              <w:rPr/>
            </w:pPr>
            <w:r>
              <w:rPr/>
              <w:t> </w:t>
            </w:r>
          </w:p>
        </w:tc>
        <w:tc>
          <w:tcPr>
            <w:tcW w:w="249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0"/>
              <w:jc w:val="both"/>
              <w:rPr>
                <w:color w:val="000000"/>
              </w:rPr>
            </w:pPr>
            <w:r>
              <w:rPr>
                <w:color w:val="000000"/>
              </w:rPr>
              <w:t xml:space="preserve">By:  </w:t>
            </w:r>
          </w:p>
        </w:tc>
        <w:tc>
          <w:tcPr>
            <w:tcW w:w="1736" w:type="dxa"/>
            <w:tcBorders>
              <w:bottom w:val="single" w:sz="12" w:space="0" w:color="000000"/>
            </w:tcBorders>
            <w:tcMar>
              <w:bottom w:w="28" w:type="dxa"/>
            </w:tcMar>
            <w:vAlign w:val="center"/>
          </w:tcPr>
          <w:p>
            <w:pPr>
              <w:pStyle w:val="TableContents"/>
              <w:bidi w:val="0"/>
              <w:spacing w:before="0" w:after="0"/>
              <w:jc w:val="left"/>
              <w:rPr/>
            </w:pPr>
            <w:r>
              <w:rPr/>
              <w:t>/s/ Eva Waite</w:t>
            </w:r>
          </w:p>
        </w:tc>
        <w:tc>
          <w:tcPr>
            <w:tcW w:w="10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94" w:type="dxa"/>
            <w:gridSpan w:val="3"/>
            <w:tcBorders/>
            <w:vAlign w:val="center"/>
          </w:tcPr>
          <w:p>
            <w:pPr>
              <w:pStyle w:val="TableContents"/>
              <w:bidi w:val="0"/>
              <w:spacing w:before="0" w:after="0"/>
              <w:jc w:val="both"/>
              <w:rPr>
                <w:color w:val="000000"/>
              </w:rPr>
            </w:pPr>
            <w:r>
              <w:rPr>
                <w:color w:val="000000"/>
              </w:rPr>
              <w:t>Name: Eva Waite</w:t>
            </w:r>
          </w:p>
        </w:tc>
      </w:tr>
      <w:tr>
        <w:trPr/>
        <w:tc>
          <w:tcPr>
            <w:tcW w:w="75" w:type="dxa"/>
            <w:tcBorders/>
            <w:vAlign w:val="center"/>
          </w:tcPr>
          <w:p>
            <w:pPr>
              <w:pStyle w:val="TableContents"/>
              <w:bidi w:val="0"/>
              <w:spacing w:before="0" w:after="283"/>
              <w:jc w:val="left"/>
              <w:rPr/>
            </w:pPr>
            <w:r>
              <w:rPr/>
              <w:t> </w:t>
            </w:r>
          </w:p>
        </w:tc>
        <w:tc>
          <w:tcPr>
            <w:tcW w:w="2494" w:type="dxa"/>
            <w:gridSpan w:val="3"/>
            <w:tcBorders/>
            <w:vAlign w:val="center"/>
          </w:tcPr>
          <w:p>
            <w:pPr>
              <w:pStyle w:val="TableContents"/>
              <w:bidi w:val="0"/>
              <w:spacing w:before="0" w:after="0"/>
              <w:jc w:val="both"/>
              <w:rPr>
                <w:color w:val="000000"/>
              </w:rPr>
            </w:pPr>
            <w:r>
              <w:rPr>
                <w:color w:val="000000"/>
              </w:rPr>
              <w:t>Title: Senior Trust Officer</w:t>
            </w:r>
          </w:p>
        </w:tc>
      </w:tr>
    </w:tbl>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[Signature Page to the First Supplemental Indenture]</w:t>
      </w:r>
    </w:p>
    <w:p>
      <w:pPr>
        <w:pStyle w:val="HorizontalLine"/>
        <w:pBdr>
          <w:bottom w:val="single" w:sz="12" w:space="0" w:color="808080"/>
        </w:pBdr>
        <w:bidi w:val="0"/>
        <w:spacing w:before="200" w:after="200"/>
        <w:jc w:val="left"/>
        <w:rPr/>
      </w:pPr>
      <w:r>
        <w:rPr/>
      </w:r>
    </w:p>
    <w:p>
      <w:pPr>
        <w:pStyle w:val="TextBody"/>
        <w:bidi w:val="0"/>
        <w:spacing w:before="0" w:after="0"/>
        <w:jc w:val="right"/>
        <w:rPr>
          <w:rFonts w:ascii="Times New Roman" w:hAnsi="Times New Roman"/>
          <w:color w:val="000000"/>
          <w:sz w:val="20"/>
        </w:rPr>
      </w:pPr>
      <w:r>
        <w:rPr>
          <w:rFonts w:ascii="Times New Roman" w:hAnsi="Times New Roman"/>
          <w:b/>
          <w:color w:val="000000"/>
          <w:sz w:val="20"/>
        </w:rPr>
        <w:t>Exhibit A</w:t>
      </w:r>
      <w:r>
        <w:rPr>
          <w:rFonts w:ascii="Times New Roman" w:hAnsi="Times New Roman"/>
          <w:color w:val="000000"/>
          <w:sz w:val="20"/>
        </w:rPr>
        <w:t xml:space="preserve">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[Face of Note]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Insert the Global Note Legend, if applicable pursuant to the provisions of the Indenture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Insert the Private Placement Legend, if applicable pursuant to the provisions of the Indenture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Insert the Regulation S Global Note Legend, if applicable pursuant to the provisions of the Indenture</w:t>
      </w:r>
      <w:r>
        <w:rPr>
          <w:rFonts w:ascii="Times New Roman" w:hAnsi="Times New Roman"/>
          <w:color w:val="000000"/>
          <w:sz w:val="20"/>
        </w:rPr>
        <w:t>]</w:t>
      </w:r>
    </w:p>
    <w:p>
      <w:pPr>
        <w:pStyle w:val="TextBody"/>
        <w:bidi w:val="0"/>
        <w:spacing w:before="0" w:after="0"/>
        <w:jc w:val="left"/>
        <w:rPr/>
      </w:pPr>
      <w:r>
        <w:rPr/>
      </w:r>
    </w:p>
    <w:p>
      <w:pPr>
        <w:pStyle w:val="TextBody"/>
        <w:bidi w:val="0"/>
        <w:spacing w:lineRule="auto" w:line="240" w:before="0" w:after="0"/>
        <w:jc w:val="right"/>
        <w:rPr>
          <w:rFonts w:ascii="Times New Roman" w:hAnsi="Times New Roman"/>
          <w:color w:val="000000"/>
          <w:sz w:val="20"/>
        </w:rPr>
      </w:pPr>
      <w:r>
        <w:rPr>
          <w:rFonts w:ascii="Times New Roman" w:hAnsi="Times New Roman"/>
          <w:color w:val="000000"/>
          <w:sz w:val="20"/>
        </w:rPr>
        <w:t>CUSIP1: [●]</w:t>
      </w:r>
    </w:p>
    <w:p>
      <w:pPr>
        <w:pStyle w:val="TextBody"/>
        <w:bidi w:val="0"/>
        <w:spacing w:before="0" w:after="0"/>
        <w:jc w:val="left"/>
        <w:rPr/>
      </w:pPr>
      <w:r>
        <w:rPr/>
      </w:r>
    </w:p>
    <w:p>
      <w:pPr>
        <w:pStyle w:val="TextBody"/>
        <w:bidi w:val="0"/>
        <w:spacing w:lineRule="auto" w:line="240" w:before="0" w:after="0"/>
        <w:jc w:val="right"/>
        <w:rPr>
          <w:rFonts w:ascii="Times New Roman" w:hAnsi="Times New Roman"/>
          <w:color w:val="000000"/>
          <w:sz w:val="20"/>
        </w:rPr>
      </w:pPr>
      <w:r>
        <w:rPr>
          <w:rFonts w:ascii="Times New Roman" w:hAnsi="Times New Roman"/>
          <w:color w:val="000000"/>
          <w:sz w:val="20"/>
        </w:rPr>
        <w:t>ISIN2: [●]</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5.064% NOTES DUE 2029</w:t>
      </w:r>
    </w:p>
    <w:p>
      <w:pPr>
        <w:pStyle w:val="TextBody"/>
        <w:bidi w:val="0"/>
        <w:spacing w:before="0" w:after="0"/>
        <w:jc w:val="center"/>
        <w:rPr>
          <w:color w:val="000000"/>
        </w:rPr>
      </w:pPr>
      <w:r>
        <w:rPr>
          <w:color w:val="000000"/>
        </w:rPr>
      </w:r>
    </w:p>
    <w:p>
      <w:pPr>
        <w:pStyle w:val="Normal"/>
        <w:bidi w:val="0"/>
        <w:spacing w:before="0" w:after="0"/>
        <w:jc w:val="left"/>
        <w:rPr>
          <w:sz w:val="4"/>
          <w:szCs w:val="4"/>
        </w:rPr>
      </w:pPr>
      <w:r>
        <w:rPr>
          <w:sz w:val="4"/>
          <w:szCs w:val="4"/>
        </w:rPr>
      </w:r>
      <w:bookmarkStart w:id="71" w:name="zac1f3ea97d2e46f09a36db252260c744"/>
      <w:bookmarkStart w:id="72" w:name="zac1f3ea97d2e46f09a36db252260c744"/>
      <w:bookmarkEnd w:id="72"/>
    </w:p>
    <w:tbl>
      <w:tblPr>
        <w:tblW w:w="3100" w:type="dxa"/>
        <w:jc w:val="left"/>
        <w:tblInd w:w="0" w:type="dxa"/>
        <w:tblLayout w:type="fixed"/>
        <w:tblCellMar>
          <w:top w:w="0" w:type="dxa"/>
          <w:left w:w="0" w:type="dxa"/>
          <w:bottom w:w="0" w:type="dxa"/>
          <w:right w:w="0" w:type="dxa"/>
        </w:tblCellMar>
      </w:tblPr>
      <w:tblGrid>
        <w:gridCol w:w="1640"/>
        <w:gridCol w:w="1460"/>
      </w:tblGrid>
      <w:tr>
        <w:trPr/>
        <w:tc>
          <w:tcPr>
            <w:tcW w:w="1640" w:type="dxa"/>
            <w:tcBorders/>
            <w:vAlign w:val="center"/>
          </w:tcPr>
          <w:p>
            <w:pPr>
              <w:pStyle w:val="TableContents"/>
              <w:bidi w:val="0"/>
              <w:spacing w:before="0" w:after="0"/>
              <w:ind w:left="720" w:right="0" w:hanging="0"/>
              <w:jc w:val="left"/>
              <w:rPr/>
            </w:pPr>
            <w:r>
              <w:rPr/>
              <w:t>No. __________</w:t>
            </w:r>
          </w:p>
        </w:tc>
        <w:tc>
          <w:tcPr>
            <w:tcW w:w="1460" w:type="dxa"/>
            <w:tcBorders/>
            <w:vAlign w:val="center"/>
          </w:tcPr>
          <w:p>
            <w:pPr>
              <w:pStyle w:val="TableContents"/>
              <w:bidi w:val="0"/>
              <w:spacing w:before="0" w:after="283"/>
              <w:jc w:val="right"/>
              <w:rPr/>
            </w:pPr>
            <w:r>
              <w:rPr/>
              <w:t>$___________</w:t>
            </w:r>
          </w:p>
        </w:tc>
      </w:tr>
    </w:tbl>
    <w:p>
      <w:pPr>
        <w:pStyle w:val="TextBody"/>
        <w:bidi w:val="0"/>
        <w:spacing w:before="0" w:after="0"/>
        <w:ind w:left="0" w:right="0" w:firstLine="720"/>
        <w:jc w:val="both"/>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ICON INVESTMENTS SIX DESIGNATED ACTIVITY COMPANY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promises to pay to ____________ or registered assigns, the principal sum [set forth on the Schedule of Exchanges of Interests in the Global Note attached hereto] [__________________ DOLLARS] on August 13, 2029.</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Original Issue Date:  August 13, 2026.</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Interest Payment Dates:  February 13 and August 13.</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Record Dates:  February 1 and August 1.</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Interest Rate:  5.064%.</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Additional provisions of this Note are set forth on the other side of this Note.</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lineRule="auto" w:line="240" w:before="0" w:after="0"/>
        <w:ind w:left="357" w:right="0" w:hanging="357"/>
        <w:jc w:val="both"/>
        <w:rPr>
          <w:rFonts w:ascii="Times New Roman" w:hAnsi="Times New Roman"/>
          <w:color w:val="000000"/>
          <w:sz w:val="20"/>
        </w:rPr>
      </w:pPr>
      <w:r>
        <w:rPr>
          <w:rFonts w:ascii="Times New Roman" w:hAnsi="Times New Roman"/>
          <w:color w:val="000000"/>
          <w:sz w:val="20"/>
        </w:rPr>
        <w:t>1 CUSIPs: 45115A AD6 (Rule 144A) and G4712P AA6 (Regulation S).</w:t>
      </w:r>
    </w:p>
    <w:p>
      <w:pPr>
        <w:pStyle w:val="TextBody"/>
        <w:bidi w:val="0"/>
        <w:spacing w:lineRule="auto" w:line="240" w:before="0" w:after="0"/>
        <w:ind w:left="357" w:right="0" w:hanging="357"/>
        <w:jc w:val="both"/>
        <w:rPr>
          <w:rFonts w:ascii="Times New Roman" w:hAnsi="Times New Roman"/>
          <w:color w:val="000000"/>
          <w:sz w:val="20"/>
        </w:rPr>
      </w:pPr>
      <w:r>
        <w:rPr>
          <w:rFonts w:ascii="Times New Roman" w:hAnsi="Times New Roman"/>
          <w:color w:val="000000"/>
          <w:sz w:val="20"/>
        </w:rPr>
        <w:t>2 ISINs: US45115AAD63 (Rule 144A) and USG4712PAA69 (Regulation 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 - 1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73" w:name="z8772a8d899f84263bdd1ea613e54cb45"/>
      <w:bookmarkStart w:id="74" w:name="z8772a8d899f84263bdd1ea613e54cb45"/>
      <w:bookmarkEnd w:id="74"/>
    </w:p>
    <w:tbl>
      <w:tblPr>
        <w:tblW w:w="793" w:type="dxa"/>
        <w:jc w:val="left"/>
        <w:tblInd w:w="0" w:type="dxa"/>
        <w:tblLayout w:type="fixed"/>
        <w:tblCellMar>
          <w:top w:w="0" w:type="dxa"/>
          <w:left w:w="0" w:type="dxa"/>
          <w:bottom w:w="0" w:type="dxa"/>
          <w:right w:w="0" w:type="dxa"/>
        </w:tblCellMar>
      </w:tblPr>
      <w:tblGrid>
        <w:gridCol w:w="710"/>
        <w:gridCol w:w="23"/>
        <w:gridCol w:w="60"/>
      </w:tblGrid>
      <w:tr>
        <w:trPr/>
        <w:tc>
          <w:tcPr>
            <w:tcW w:w="710" w:type="dxa"/>
            <w:tcBorders/>
            <w:vAlign w:val="center"/>
          </w:tcPr>
          <w:p>
            <w:pPr>
              <w:pStyle w:val="TableContents"/>
              <w:bidi w:val="0"/>
              <w:spacing w:before="0" w:after="0"/>
              <w:jc w:val="left"/>
              <w:rPr/>
            </w:pPr>
            <w:r>
              <w:rPr/>
              <w:t xml:space="preserve">Dated: </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both"/>
        <w:rPr>
          <w:color w:val="000000"/>
        </w:rPr>
      </w:pPr>
      <w:r>
        <w:rPr>
          <w:color w:val="000000"/>
        </w:rPr>
        <w:t xml:space="preserve">         </w:t>
      </w:r>
    </w:p>
    <w:p>
      <w:pPr>
        <w:pStyle w:val="Normal"/>
        <w:bidi w:val="0"/>
        <w:spacing w:before="0" w:after="0"/>
        <w:jc w:val="left"/>
        <w:rPr>
          <w:sz w:val="4"/>
          <w:szCs w:val="4"/>
        </w:rPr>
      </w:pPr>
      <w:r>
        <w:rPr>
          <w:sz w:val="4"/>
          <w:szCs w:val="4"/>
        </w:rPr>
      </w:r>
      <w:bookmarkStart w:id="75" w:name="z045590fa6f304ac492154b861dacd45a"/>
      <w:bookmarkStart w:id="76" w:name="z045590fa6f304ac492154b861dacd45a"/>
      <w:bookmarkEnd w:id="76"/>
    </w:p>
    <w:tbl>
      <w:tblPr>
        <w:tblW w:w="6948" w:type="dxa"/>
        <w:jc w:val="left"/>
        <w:tblInd w:w="0" w:type="dxa"/>
        <w:tblLayout w:type="fixed"/>
        <w:tblCellMar>
          <w:top w:w="0" w:type="dxa"/>
          <w:left w:w="0" w:type="dxa"/>
          <w:bottom w:w="0" w:type="dxa"/>
          <w:right w:w="0" w:type="dxa"/>
        </w:tblCellMar>
      </w:tblPr>
      <w:tblGrid>
        <w:gridCol w:w="2305"/>
        <w:gridCol w:w="4465"/>
        <w:gridCol w:w="178"/>
      </w:tblGrid>
      <w:tr>
        <w:trPr/>
        <w:tc>
          <w:tcPr>
            <w:tcW w:w="6948" w:type="dxa"/>
            <w:gridSpan w:val="3"/>
            <w:tcBorders/>
            <w:vAlign w:val="center"/>
          </w:tcPr>
          <w:p>
            <w:pPr>
              <w:pStyle w:val="TableContents"/>
              <w:bidi w:val="0"/>
              <w:spacing w:before="0" w:after="283"/>
              <w:jc w:val="left"/>
              <w:rPr/>
            </w:pPr>
            <w:r>
              <w:rPr/>
              <w:t>ICON INVESTMENTS SIX DESIGNATED ACTIVITY COMPANY</w:t>
            </w:r>
          </w:p>
        </w:tc>
      </w:tr>
      <w:tr>
        <w:trPr/>
        <w:tc>
          <w:tcPr>
            <w:tcW w:w="2305" w:type="dxa"/>
            <w:tcBorders/>
            <w:vAlign w:val="center"/>
          </w:tcPr>
          <w:p>
            <w:pPr>
              <w:pStyle w:val="TableContents"/>
              <w:bidi w:val="0"/>
              <w:spacing w:before="0" w:after="283"/>
              <w:jc w:val="left"/>
              <w:rPr/>
            </w:pPr>
            <w:r>
              <w:rPr/>
            </w:r>
          </w:p>
        </w:tc>
        <w:tc>
          <w:tcPr>
            <w:tcW w:w="4465" w:type="dxa"/>
            <w:tcBorders/>
            <w:vAlign w:val="center"/>
          </w:tcPr>
          <w:p>
            <w:pPr>
              <w:pStyle w:val="TableContents"/>
              <w:bidi w:val="0"/>
              <w:spacing w:before="0" w:after="283"/>
              <w:jc w:val="left"/>
              <w:rPr/>
            </w:pPr>
            <w:r>
              <w:rPr/>
            </w:r>
          </w:p>
        </w:tc>
        <w:tc>
          <w:tcPr>
            <w:tcW w:w="178" w:type="dxa"/>
            <w:tcBorders/>
            <w:vAlign w:val="center"/>
          </w:tcPr>
          <w:p>
            <w:pPr>
              <w:pStyle w:val="TableContents"/>
              <w:bidi w:val="0"/>
              <w:spacing w:before="0" w:after="283"/>
              <w:jc w:val="left"/>
              <w:rPr/>
            </w:pPr>
            <w:r>
              <w:rPr/>
            </w:r>
          </w:p>
        </w:tc>
      </w:tr>
      <w:tr>
        <w:trPr/>
        <w:tc>
          <w:tcPr>
            <w:tcW w:w="2305" w:type="dxa"/>
            <w:tcBorders/>
            <w:vAlign w:val="center"/>
          </w:tcPr>
          <w:p>
            <w:pPr>
              <w:pStyle w:val="TableContents"/>
              <w:bidi w:val="0"/>
              <w:spacing w:before="0" w:after="283"/>
              <w:jc w:val="left"/>
              <w:rPr>
                <w:color w:val="000000"/>
              </w:rPr>
            </w:pPr>
            <w:r>
              <w:rPr>
                <w:color w:val="000000"/>
              </w:rPr>
              <w:t>By:</w:t>
            </w:r>
          </w:p>
        </w:tc>
        <w:tc>
          <w:tcPr>
            <w:tcW w:w="4465" w:type="dxa"/>
            <w:tcBorders>
              <w:bottom w:val="single" w:sz="12" w:space="0" w:color="000000"/>
            </w:tcBorders>
            <w:tcMar>
              <w:bottom w:w="28" w:type="dxa"/>
            </w:tcMar>
            <w:vAlign w:val="center"/>
          </w:tcPr>
          <w:p>
            <w:pPr>
              <w:pStyle w:val="TableContents"/>
              <w:bidi w:val="0"/>
              <w:spacing w:before="0" w:after="283"/>
              <w:jc w:val="left"/>
              <w:rPr/>
            </w:pPr>
            <w:r>
              <w:rPr/>
            </w:r>
          </w:p>
        </w:tc>
        <w:tc>
          <w:tcPr>
            <w:tcW w:w="178" w:type="dxa"/>
            <w:tcBorders/>
            <w:vAlign w:val="center"/>
          </w:tcPr>
          <w:p>
            <w:pPr>
              <w:pStyle w:val="TableContents"/>
              <w:bidi w:val="0"/>
              <w:spacing w:before="0" w:after="283"/>
              <w:jc w:val="left"/>
              <w:rPr/>
            </w:pPr>
            <w:r>
              <w:rPr/>
            </w:r>
          </w:p>
        </w:tc>
      </w:tr>
      <w:tr>
        <w:trPr/>
        <w:tc>
          <w:tcPr>
            <w:tcW w:w="2305" w:type="dxa"/>
            <w:tcBorders/>
            <w:vAlign w:val="center"/>
          </w:tcPr>
          <w:p>
            <w:pPr>
              <w:pStyle w:val="TableContents"/>
              <w:bidi w:val="0"/>
              <w:spacing w:before="0" w:after="283"/>
              <w:jc w:val="left"/>
              <w:rPr/>
            </w:pPr>
            <w:r>
              <w:rPr/>
            </w:r>
          </w:p>
        </w:tc>
        <w:tc>
          <w:tcPr>
            <w:tcW w:w="4465" w:type="dxa"/>
            <w:tcBorders/>
            <w:vAlign w:val="center"/>
          </w:tcPr>
          <w:p>
            <w:pPr>
              <w:pStyle w:val="TableContents"/>
              <w:bidi w:val="0"/>
              <w:spacing w:before="0" w:after="283"/>
              <w:jc w:val="left"/>
              <w:rPr/>
            </w:pPr>
            <w:r>
              <w:rPr/>
              <w:t>Name:</w:t>
            </w:r>
          </w:p>
        </w:tc>
        <w:tc>
          <w:tcPr>
            <w:tcW w:w="178" w:type="dxa"/>
            <w:tcBorders/>
            <w:vAlign w:val="center"/>
          </w:tcPr>
          <w:p>
            <w:pPr>
              <w:pStyle w:val="TableContents"/>
              <w:bidi w:val="0"/>
              <w:spacing w:before="0" w:after="283"/>
              <w:jc w:val="left"/>
              <w:rPr/>
            </w:pPr>
            <w:r>
              <w:rPr/>
            </w:r>
          </w:p>
        </w:tc>
      </w:tr>
      <w:tr>
        <w:trPr/>
        <w:tc>
          <w:tcPr>
            <w:tcW w:w="2305" w:type="dxa"/>
            <w:tcBorders/>
            <w:vAlign w:val="center"/>
          </w:tcPr>
          <w:p>
            <w:pPr>
              <w:pStyle w:val="TableContents"/>
              <w:bidi w:val="0"/>
              <w:spacing w:before="0" w:after="283"/>
              <w:jc w:val="left"/>
              <w:rPr/>
            </w:pPr>
            <w:r>
              <w:rPr/>
            </w:r>
          </w:p>
        </w:tc>
        <w:tc>
          <w:tcPr>
            <w:tcW w:w="4465" w:type="dxa"/>
            <w:tcBorders/>
            <w:vAlign w:val="center"/>
          </w:tcPr>
          <w:p>
            <w:pPr>
              <w:pStyle w:val="TableContents"/>
              <w:bidi w:val="0"/>
              <w:spacing w:before="0" w:after="283"/>
              <w:jc w:val="left"/>
              <w:rPr/>
            </w:pPr>
            <w:r>
              <w:rPr/>
              <w:t>Title:</w:t>
            </w:r>
          </w:p>
        </w:tc>
        <w:tc>
          <w:tcPr>
            <w:tcW w:w="178" w:type="dxa"/>
            <w:tcBorders/>
            <w:vAlign w:val="center"/>
          </w:tcPr>
          <w:p>
            <w:pPr>
              <w:pStyle w:val="TableContents"/>
              <w:bidi w:val="0"/>
              <w:spacing w:before="0" w:after="283"/>
              <w:jc w:val="left"/>
              <w:rPr/>
            </w:pPr>
            <w:r>
              <w:rPr/>
            </w:r>
          </w:p>
        </w:tc>
      </w:tr>
    </w:tbl>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[Signature Page to 5.064% Note due 2029]</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 - 2</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TRUSTEE’S CERTIFICATE OF AUTHENTICATION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7" w:name="z111a2fc59ab74b9cab6bc1c69be61e54"/>
      <w:bookmarkStart w:id="78" w:name="z111a2fc59ab74b9cab6bc1c69be61e54"/>
      <w:bookmarkEnd w:id="78"/>
    </w:p>
    <w:tbl>
      <w:tblPr>
        <w:tblW w:w="3424" w:type="dxa"/>
        <w:jc w:val="left"/>
        <w:tblInd w:w="0" w:type="dxa"/>
        <w:tblLayout w:type="fixed"/>
        <w:tblCellMar>
          <w:top w:w="0" w:type="dxa"/>
          <w:left w:w="0" w:type="dxa"/>
          <w:bottom w:w="0" w:type="dxa"/>
          <w:right w:w="0" w:type="dxa"/>
        </w:tblCellMar>
      </w:tblPr>
      <w:tblGrid>
        <w:gridCol w:w="506"/>
        <w:gridCol w:w="2858"/>
        <w:gridCol w:w="60"/>
      </w:tblGrid>
      <w:tr>
        <w:trPr/>
        <w:tc>
          <w:tcPr>
            <w:tcW w:w="3364" w:type="dxa"/>
            <w:gridSpan w:val="2"/>
            <w:tcBorders/>
            <w:vAlign w:val="center"/>
          </w:tcPr>
          <w:p>
            <w:pPr>
              <w:pStyle w:val="TableContents"/>
              <w:bidi w:val="0"/>
              <w:spacing w:before="0" w:after="0"/>
              <w:jc w:val="left"/>
              <w:rPr/>
            </w:pPr>
            <w:r>
              <w:rPr/>
              <w:t xml:space="preserve">This is one of the Notes referred to </w:t>
            </w:r>
          </w:p>
          <w:p>
            <w:pPr>
              <w:pStyle w:val="TableContents"/>
              <w:bidi w:val="0"/>
              <w:spacing w:before="0" w:after="0"/>
              <w:jc w:val="left"/>
              <w:rPr>
                <w:color w:val="000000"/>
              </w:rPr>
            </w:pPr>
            <w:r>
              <w:rPr>
                <w:color w:val="000000"/>
              </w:rPr>
              <w:t>in the within-mentioned Indenture:</w:t>
            </w:r>
          </w:p>
        </w:tc>
        <w:tc>
          <w:tcPr>
            <w:tcW w:w="60" w:type="dxa"/>
            <w:tcBorders/>
            <w:vAlign w:val="center"/>
          </w:tcPr>
          <w:p>
            <w:pPr>
              <w:pStyle w:val="TableContents"/>
              <w:bidi w:val="0"/>
              <w:spacing w:before="0" w:after="283"/>
              <w:jc w:val="left"/>
              <w:rPr/>
            </w:pPr>
            <w:r>
              <w:rPr/>
            </w:r>
          </w:p>
        </w:tc>
      </w:tr>
      <w:tr>
        <w:trPr/>
        <w:tc>
          <w:tcPr>
            <w:tcW w:w="506" w:type="dxa"/>
            <w:tcBorders/>
            <w:vAlign w:val="center"/>
          </w:tcPr>
          <w:p>
            <w:pPr>
              <w:pStyle w:val="TableContents"/>
              <w:bidi w:val="0"/>
              <w:spacing w:before="0" w:after="283"/>
              <w:jc w:val="left"/>
              <w:rPr/>
            </w:pPr>
            <w:r>
              <w:rPr/>
            </w:r>
          </w:p>
        </w:tc>
        <w:tc>
          <w:tcPr>
            <w:tcW w:w="2858"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r>
      <w:tr>
        <w:trPr/>
        <w:tc>
          <w:tcPr>
            <w:tcW w:w="3364" w:type="dxa"/>
            <w:gridSpan w:val="2"/>
            <w:tcBorders/>
            <w:vAlign w:val="center"/>
          </w:tcPr>
          <w:p>
            <w:pPr>
              <w:pStyle w:val="TableContents"/>
              <w:bidi w:val="0"/>
              <w:spacing w:before="0" w:after="0"/>
              <w:jc w:val="left"/>
              <w:rPr>
                <w:color w:val="000000"/>
              </w:rPr>
            </w:pPr>
            <w:r>
              <w:rPr>
                <w:color w:val="000000"/>
              </w:rPr>
              <w:t>CITIBANK, N.A.,</w:t>
            </w:r>
          </w:p>
        </w:tc>
        <w:tc>
          <w:tcPr>
            <w:tcW w:w="60" w:type="dxa"/>
            <w:tcBorders/>
            <w:vAlign w:val="center"/>
          </w:tcPr>
          <w:p>
            <w:pPr>
              <w:pStyle w:val="TableContents"/>
              <w:bidi w:val="0"/>
              <w:spacing w:before="0" w:after="283"/>
              <w:jc w:val="left"/>
              <w:rPr/>
            </w:pPr>
            <w:r>
              <w:rPr/>
            </w:r>
          </w:p>
        </w:tc>
      </w:tr>
      <w:tr>
        <w:trPr/>
        <w:tc>
          <w:tcPr>
            <w:tcW w:w="3364" w:type="dxa"/>
            <w:gridSpan w:val="2"/>
            <w:tcBorders/>
            <w:vAlign w:val="center"/>
          </w:tcPr>
          <w:p>
            <w:pPr>
              <w:pStyle w:val="TableContents"/>
              <w:bidi w:val="0"/>
              <w:spacing w:before="0" w:after="0"/>
              <w:jc w:val="left"/>
              <w:rPr>
                <w:color w:val="000000"/>
              </w:rPr>
            </w:pPr>
            <w:r>
              <w:rPr>
                <w:color w:val="000000"/>
              </w:rPr>
              <w:t>as Trustee</w:t>
            </w:r>
          </w:p>
        </w:tc>
        <w:tc>
          <w:tcPr>
            <w:tcW w:w="60" w:type="dxa"/>
            <w:tcBorders/>
            <w:vAlign w:val="center"/>
          </w:tcPr>
          <w:p>
            <w:pPr>
              <w:pStyle w:val="TableContents"/>
              <w:bidi w:val="0"/>
              <w:spacing w:before="0" w:after="283"/>
              <w:jc w:val="left"/>
              <w:rPr/>
            </w:pPr>
            <w:r>
              <w:rPr/>
            </w:r>
          </w:p>
        </w:tc>
      </w:tr>
      <w:tr>
        <w:trPr/>
        <w:tc>
          <w:tcPr>
            <w:tcW w:w="506" w:type="dxa"/>
            <w:tcBorders/>
            <w:vAlign w:val="center"/>
          </w:tcPr>
          <w:p>
            <w:pPr>
              <w:pStyle w:val="TableContents"/>
              <w:bidi w:val="0"/>
              <w:spacing w:before="0" w:after="283"/>
              <w:jc w:val="left"/>
              <w:rPr/>
            </w:pPr>
            <w:r>
              <w:rPr/>
            </w:r>
          </w:p>
        </w:tc>
        <w:tc>
          <w:tcPr>
            <w:tcW w:w="2858"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r>
      <w:tr>
        <w:trPr/>
        <w:tc>
          <w:tcPr>
            <w:tcW w:w="506" w:type="dxa"/>
            <w:tcBorders/>
            <w:vAlign w:val="center"/>
          </w:tcPr>
          <w:p>
            <w:pPr>
              <w:pStyle w:val="TableContents"/>
              <w:bidi w:val="0"/>
              <w:spacing w:before="0" w:after="283"/>
              <w:jc w:val="left"/>
              <w:rPr>
                <w:color w:val="000000"/>
              </w:rPr>
            </w:pPr>
            <w:r>
              <w:rPr>
                <w:color w:val="000000"/>
              </w:rPr>
              <w:t>By:</w:t>
            </w:r>
          </w:p>
        </w:tc>
        <w:tc>
          <w:tcPr>
            <w:tcW w:w="2858" w:type="dxa"/>
            <w:tcBorders>
              <w:bottom w:val="single" w:sz="12" w:space="0" w:color="000000"/>
            </w:tcBorders>
            <w:tcMar>
              <w:bottom w:w="28" w:type="dxa"/>
            </w:tcMar>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r>
      <w:tr>
        <w:trPr/>
        <w:tc>
          <w:tcPr>
            <w:tcW w:w="506" w:type="dxa"/>
            <w:tcBorders/>
            <w:vAlign w:val="center"/>
          </w:tcPr>
          <w:p>
            <w:pPr>
              <w:pStyle w:val="TableContents"/>
              <w:bidi w:val="0"/>
              <w:spacing w:before="0" w:after="283"/>
              <w:jc w:val="left"/>
              <w:rPr/>
            </w:pPr>
            <w:r>
              <w:rPr/>
              <w:t> </w:t>
            </w:r>
          </w:p>
        </w:tc>
        <w:tc>
          <w:tcPr>
            <w:tcW w:w="2858" w:type="dxa"/>
            <w:tcBorders/>
            <w:vAlign w:val="center"/>
          </w:tcPr>
          <w:p>
            <w:pPr>
              <w:pStyle w:val="TableContents"/>
              <w:bidi w:val="0"/>
              <w:spacing w:before="0" w:after="283"/>
              <w:jc w:val="center"/>
              <w:rPr/>
            </w:pPr>
            <w:r>
              <w:rPr/>
              <w:t>Authorized Signatory</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[Signature Page to 5.064% Note due 2029]</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 - 3</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 of Reverse Side of Initial Note]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5.064% Notes due 2029 (the “</w:t>
      </w:r>
      <w:r>
        <w:rPr>
          <w:rFonts w:ascii="Times New Roman" w:hAnsi="Times New Roman"/>
          <w:i/>
          <w:color w:val="000000"/>
          <w:sz w:val="20"/>
        </w:rPr>
        <w:t>Notes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Capitalized terms used herein have the meanings assigned to them in the Indenture referred to below unless otherwise indicated.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          </w:t>
      </w:r>
      <w:r>
        <w:rPr>
          <w:rFonts w:ascii="Times New Roman" w:hAnsi="Times New Roman"/>
          <w:i/>
          <w:color w:val="000000"/>
          <w:sz w:val="20"/>
        </w:rPr>
        <w:t>INTEREST.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 promises to pay interest semi-annually in arrears February 13 and August 13 of each year, or if any such day is not a Business Day, on the next succeeding Business Day (each, an “</w:t>
      </w:r>
      <w:r>
        <w:rPr>
          <w:rFonts w:ascii="Times New Roman" w:hAnsi="Times New Roman"/>
          <w:i/>
          <w:color w:val="000000"/>
          <w:sz w:val="20"/>
        </w:rPr>
        <w:t>Interest Payment Date</w:t>
      </w:r>
      <w:r>
        <w:rPr>
          <w:rFonts w:ascii="Times New Roman" w:hAnsi="Times New Roman"/>
          <w:color w:val="000000"/>
          <w:sz w:val="20"/>
        </w:rPr>
        <w:t xml:space="preserve">”).  Interest on the Notes (computed on the basis of a 360-day year consisting of twelve 30-day months) will accrue from the most recent date to which interest has been paid or, if no interest has been paid, from the Original Issue Date (shown on the face of this Note) until maturity at a rate per annum equal to 5.064%; </w:t>
      </w:r>
      <w:r>
        <w:rPr>
          <w:rFonts w:ascii="Times New Roman" w:hAnsi="Times New Roman"/>
          <w:i/>
          <w:color w:val="000000"/>
          <w:sz w:val="20"/>
        </w:rPr>
        <w:t>provided</w:t>
      </w:r>
      <w:r>
        <w:rPr>
          <w:rFonts w:ascii="Times New Roman" w:hAnsi="Times New Roman"/>
          <w:color w:val="000000"/>
          <w:sz w:val="20"/>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Times New Roman" w:hAnsi="Times New Roman"/>
          <w:i/>
          <w:color w:val="000000"/>
          <w:sz w:val="20"/>
        </w:rPr>
        <w:t>provided further</w:t>
      </w:r>
      <w:r>
        <w:rPr>
          <w:rFonts w:ascii="Times New Roman" w:hAnsi="Times New Roman"/>
          <w:color w:val="000000"/>
          <w:sz w:val="20"/>
        </w:rPr>
        <w:t xml:space="preserve"> that the first Interest Payment Date shall be February 13, 2027.  If an interest payment date or the maturity date falls on a day that is not a Business Day, the related payment of principal or interest will be made on the next succeeding Business Day as if made on the date the payment was due, and no interest shall accrue for the intervening period.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(2)          </w:t>
      </w:r>
      <w:r>
        <w:rPr>
          <w:rFonts w:ascii="Times New Roman" w:hAnsi="Times New Roman"/>
          <w:i/>
          <w:color w:val="000000"/>
          <w:sz w:val="20"/>
        </w:rPr>
        <w:t>METHOD OF PAYMENT.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The Issuer will pay interest on the Notes (except defaulted interest) to the Persons who are registered Holders of Notes at the close of business on the February 1 or August 1 next preceding the Interest Payment Date, even if such Notes are cancelled after such record date and on or before such Interest Payment Date, except as provided in Section 2.14 of the Base Indenture with respect to defaulted interest.  The Notes will be payable as to principal, premium, if any, and interest at the office or agency of the Paying Agent maintained for such purpose within the City and State of New York, or, at the option of the Issuer, payment of interest may be made by check mailed to the Holders at their addresses set forth in the books and records of the Registrar; </w:t>
      </w:r>
      <w:r>
        <w:rPr>
          <w:rFonts w:ascii="Times New Roman" w:hAnsi="Times New Roman"/>
          <w:i/>
          <w:color w:val="000000"/>
          <w:sz w:val="20"/>
        </w:rPr>
        <w:t>provided</w:t>
      </w:r>
      <w:r>
        <w:rPr>
          <w:rFonts w:ascii="Times New Roman" w:hAnsi="Times New Roman"/>
          <w:color w:val="000000"/>
          <w:sz w:val="20"/>
        </w:rPr>
        <w:t xml:space="preserve"> that payment by wire transfer of immediately available funds will be required with respect to principal of and interest and premium, if any, on, all Global Notes and all other Notes the Holders of which will have provided wire transfer instructions to the Issuer or the Paying Agent.  Such payment will be in such money of the United States of America as at the time of payment is legal tender for payment of public and private debts.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(3)          </w:t>
      </w:r>
      <w:r>
        <w:rPr>
          <w:rFonts w:ascii="Times New Roman" w:hAnsi="Times New Roman"/>
          <w:i/>
          <w:color w:val="000000"/>
          <w:sz w:val="20"/>
        </w:rPr>
        <w:t>PAYING AGENT AND REGISTRAR.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Initially, Citibank, N.A., the Trustee under the Indenture, will act as Paying Agent and Registrar.  The Issuer may change any Paying Agent or Registrar without notice to any Holder.  The Issuer or any of its Subsidiaries may act in any such capacity.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(4)          </w:t>
      </w:r>
      <w:r>
        <w:rPr>
          <w:rFonts w:ascii="Times New Roman" w:hAnsi="Times New Roman"/>
          <w:i/>
          <w:color w:val="000000"/>
          <w:sz w:val="20"/>
        </w:rPr>
        <w:t>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 issued the Notes pursuant to an Indenture, dated as of August 13, 2026 (the “</w:t>
      </w:r>
      <w:r>
        <w:rPr>
          <w:rFonts w:ascii="Times New Roman" w:hAnsi="Times New Roman"/>
          <w:i/>
          <w:color w:val="000000"/>
          <w:sz w:val="20"/>
        </w:rPr>
        <w:t>Base Indenture</w:t>
      </w:r>
      <w:r>
        <w:rPr>
          <w:rFonts w:ascii="Times New Roman" w:hAnsi="Times New Roman"/>
          <w:color w:val="000000"/>
          <w:sz w:val="20"/>
        </w:rPr>
        <w:t>”), among the Issuer, Parent and the Trustee, as amended and supplemented with respect to the Notes by the First Supplemental Indenture, dated as of August 13, 2026 (the “</w:t>
      </w:r>
      <w:r>
        <w:rPr>
          <w:rFonts w:ascii="Times New Roman" w:hAnsi="Times New Roman"/>
          <w:i/>
          <w:color w:val="000000"/>
          <w:sz w:val="20"/>
        </w:rPr>
        <w:t>First Supplemental Indenture</w:t>
      </w:r>
      <w:r>
        <w:rPr>
          <w:rFonts w:ascii="Times New Roman" w:hAnsi="Times New Roman"/>
          <w:color w:val="000000"/>
          <w:sz w:val="20"/>
        </w:rPr>
        <w:t>”; the Base Indenture, as amended and supplemented with respect to the Notes by the First Supplemental Indenture, the “</w:t>
      </w:r>
      <w:r>
        <w:rPr>
          <w:rFonts w:ascii="Times New Roman" w:hAnsi="Times New Roman"/>
          <w:i/>
          <w:color w:val="000000"/>
          <w:sz w:val="20"/>
        </w:rPr>
        <w:t>Indenture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terms of the Notes include those stated in the Indenture and those made part of the Indenture by reference to the Trust Indenture Act.  The Notes are subject to all such terms, and Holders are referred to the Indenture and to the Trust Indenture Act for a statement of such terms.  To the extent any provision of this Note conflicts with the express provisions of the Indenture, the provisions of the Indenture shall govern and be controlling.  The Notes are senior unsecured obligations of the Issuer.  The Indenture does not limit the aggregate principal amount of Notes that may be issued thereunder.</w:t>
      </w:r>
    </w:p>
    <w:p>
      <w:pPr>
        <w:pStyle w:val="TextBody"/>
        <w:bidi w:val="0"/>
        <w:spacing w:before="0" w:after="0"/>
        <w:ind w:left="0" w:right="0" w:firstLine="72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 - 4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Issuer’s obligations under the Notes are unconditionally guaranteed on a senior unsecured basis, to the extent set forth in the Indenture, by the Parent.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(5)          </w:t>
      </w:r>
      <w:r>
        <w:rPr>
          <w:rFonts w:ascii="Times New Roman" w:hAnsi="Times New Roman"/>
          <w:i/>
          <w:color w:val="000000"/>
          <w:sz w:val="20"/>
        </w:rPr>
        <w:t>OPTIONAL REDEMPTION.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Prior to July 13, 2029 (the “</w:t>
      </w:r>
      <w:r>
        <w:rPr>
          <w:rFonts w:ascii="Times New Roman" w:hAnsi="Times New Roman"/>
          <w:i/>
          <w:color w:val="000000"/>
          <w:sz w:val="20"/>
        </w:rPr>
        <w:t>Par Call Date</w:t>
      </w:r>
      <w:r>
        <w:rPr>
          <w:rFonts w:ascii="Times New Roman" w:hAnsi="Times New Roman"/>
          <w:color w:val="000000"/>
          <w:sz w:val="20"/>
        </w:rPr>
        <w:t>”), the Issuer may redeem the Notes at its option, in whole or in part, at any time and from time to time, at a redemption price (expressed as a percentage of principal amount and rounded to three decimal places) equal to the greater of:</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          the sum of the present values of the remaining scheduled payments of principal and interest thereon discounted to the redemption date (assuming that such Notes matured on the Par Call Date) on a semi-annual basis (assuming a 360-day year consisting of twelve 30-day months) at the applicable Treasury Rate (as defined below) plus 15 basis points, less unpaid interest accrued to the date of redemption (any excess of the amount described in this bullet point over the amount described in the immediately succeeding bullet point, the “</w:t>
      </w:r>
      <w:r>
        <w:rPr>
          <w:rFonts w:ascii="Times New Roman" w:hAnsi="Times New Roman"/>
          <w:i/>
          <w:color w:val="000000"/>
          <w:sz w:val="20"/>
        </w:rPr>
        <w:t>Applicable Premium</w:t>
      </w:r>
      <w:r>
        <w:rPr>
          <w:rFonts w:ascii="Times New Roman" w:hAnsi="Times New Roman"/>
          <w:color w:val="000000"/>
          <w:sz w:val="20"/>
        </w:rPr>
        <w:t>”); and</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(b)          100% of the principal amount of the Notes to be redeemed,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plus, in either case, accrued and unpaid interest thereon to the redemption date, as calculated by the Issuer, which the Trustee shall not be required to review, investigate or verify.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On or after the Par Call Date, the Issuer may redeem the Notes, in whole or in part, at any time or from time to time, at a redemption price equal to 100% of the principal amount of the Notes being redeemed plus accrued and unpaid interest thereon to, but not including, the redemption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Treasury Rate</w:t>
      </w:r>
      <w:r>
        <w:rPr>
          <w:rFonts w:ascii="Times New Roman" w:hAnsi="Times New Roman"/>
          <w:color w:val="000000"/>
          <w:sz w:val="20"/>
        </w:rPr>
        <w:t>” means, with respect to any redemption date, the yield determined by the Issuer in accordance with the following two paragraphs.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Issuer shall select, as applicable:  (1) the yield for the Treasury constant maturity on H.15 exactly equal to the period from the redemption date to the Par Call Date (the “</w:t>
      </w:r>
      <w:r>
        <w:rPr>
          <w:rFonts w:ascii="Times New Roman" w:hAnsi="Times New Roman"/>
          <w:i/>
          <w:color w:val="000000"/>
          <w:sz w:val="20"/>
        </w:rPr>
        <w:t>Remaining Life</w:t>
      </w:r>
      <w:r>
        <w:rPr>
          <w:rFonts w:ascii="Times New Roman" w:hAnsi="Times New Roman"/>
          <w:color w:val="000000"/>
          <w:sz w:val="20"/>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 - 5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Issuer’s actions and determinations in determining the redemption price shall be conclusive and binding for all purposes, absent manifest error.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Notice of any redemption will be mailed or electronically delivered (or otherwise transmitted in accordance with the depositary’s procedures) at least 10 days but not more than 60 days before the redemption date to each holder of Notes to be redeemed. Any notice to the holders of the Notes of such redemption must include the appropriate calculation of the redemption price, but need not include the redemption price itself.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Trustee shall have no responsibility for calculating the redemption price for the Notes.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Unless the Issuer defaults in the payment of the redemption price, on and after its redemption date, interest will cease to accrue on the Notes or portions thereof called for redemption.  At or before 10:00 a.m. (New York time) on the redemption date, the Issuer will deposit with the Trustee or a paying agent money sufficient to pay the redemption price of and accrued interest on the Notes to be redeemed on such date.  If less than all of the Notes are to be redeemed, the Notes to be redeemed shall be selected in accordance with the procedures of DTC.</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(6)          </w:t>
      </w:r>
      <w:r>
        <w:rPr>
          <w:rFonts w:ascii="Times New Roman" w:hAnsi="Times New Roman"/>
          <w:i/>
          <w:color w:val="000000"/>
          <w:sz w:val="20"/>
        </w:rPr>
        <w:t>MANDATORY REDEMPTION.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 is not required to make mandatory redemption or sinking fund payments with respect to the Notes.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(7)          </w:t>
      </w:r>
      <w:r>
        <w:rPr>
          <w:rFonts w:ascii="Times New Roman" w:hAnsi="Times New Roman"/>
          <w:i/>
          <w:color w:val="000000"/>
          <w:sz w:val="20"/>
        </w:rPr>
        <w:t>NOTICE OF REDEMPTION.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Notice of redemption will be sent at least 10 days but not more than 60 days before the redemption date to each Holder whose Notes are to be redeemed, except that redemption notices may be sent or mailed more than 60 days prior to a redemption date if the notice is issued in connection with a defeasance of the Notes or a satisfaction and discharge of the Indenture.  Notes in denominations larger than $200,000 may be redeemed in part but only in whole multiples of $1,000, unless all of the Notes held by a Holder are to be redeemed.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 - 6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(8)          </w:t>
      </w:r>
      <w:r>
        <w:rPr>
          <w:rFonts w:ascii="Times New Roman" w:hAnsi="Times New Roman"/>
          <w:i/>
          <w:color w:val="000000"/>
          <w:sz w:val="20"/>
        </w:rPr>
        <w:t>REPURCHASE AT THE OPTION OF HOLDER.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a Change of Control Triggering Event occurs, unless the Issuer has previously or concurrently delivered a redemption notice with respect to all the outstanding Notes pursuant to Section 3.01 of the First Supplemental Indenture, within 30 days following such Change of Control Triggering Event, the Issuer will make a Change of Control Offer on the terms set forth in the Indenture and in compliance with Section 3.05 of the First Supplemental Indenture.  In the Change of Control Offer, the Issuer will offer to purchase all of the Notes at a purchase price in cash equal to 101% of the aggregate principal amount of Notes repurchased, plus accrued and unpaid interest on the Notes repurchased to, but not including, the date of purchase (subject to the rights of Holders of Notes on the relevant record date to receive interest due on the relevant interest payment date if the Notes have not been redeemed or repurchased prior to such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(9)          </w:t>
      </w:r>
      <w:r>
        <w:rPr>
          <w:rFonts w:ascii="Times New Roman" w:hAnsi="Times New Roman"/>
          <w:i/>
          <w:color w:val="000000"/>
          <w:sz w:val="20"/>
        </w:rPr>
        <w:t>DENOMINATIONS, TRANSFER, EXCHANGE.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Notes are in registered form without coupons in minimum denominations of $200,000 and integral multiples of $1,000.  The transfer of Notes may be registered and Notes may be exchanged as provided in the Indenture.  The Registrar and the Trustee may require a Holder, among other things, to furnish appropriate endorsements and transfer documents and the Issuer may require a Holder to pay any taxes and fees required by law or permitted by the Indenture.  The Issuer need not exchange or register the transfer or exchange of any Note or portion of a Note selected for redemption, except for the unredeemed portion of any Note being redeemed in part.  Also, the Issuer need not exchange or register the transfer of any Notes (i) for a period beginning at the opening of business 15 days immediately preceding the sending of notice of redemption of Notes selected for redemption and ending at the close of business on the day such notice is sent or (ii) during the period between a record date and the corresponding Interest Payment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(10)        </w:t>
      </w:r>
      <w:r>
        <w:rPr>
          <w:rFonts w:ascii="Times New Roman" w:hAnsi="Times New Roman"/>
          <w:i/>
          <w:color w:val="000000"/>
          <w:sz w:val="20"/>
        </w:rPr>
        <w:t>PERSONS DEEMED OWNERS</w:t>
      </w:r>
      <w:r>
        <w:rPr>
          <w:rFonts w:ascii="Times New Roman" w:hAnsi="Times New Roman"/>
          <w:color w:val="000000"/>
          <w:sz w:val="20"/>
        </w:rPr>
        <w:t>.  The registered Holder of a Note may be treated as its owner for all purposes.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(11)       AMENDMENT, SUPPLEMENT AND WAIVER.  The Indenture, the Notes and the Parent Guarantee may be amended, supplemented or waived as provided in the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(12)       </w:t>
      </w:r>
      <w:r>
        <w:rPr>
          <w:rFonts w:ascii="Times New Roman" w:hAnsi="Times New Roman"/>
          <w:i/>
          <w:color w:val="000000"/>
          <w:sz w:val="20"/>
        </w:rPr>
        <w:t>DEFAULTS AND REMEDIES</w:t>
      </w:r>
      <w:r>
        <w:rPr>
          <w:rFonts w:ascii="Times New Roman" w:hAnsi="Times New Roman"/>
          <w:color w:val="000000"/>
          <w:sz w:val="20"/>
        </w:rPr>
        <w:t>.  If there is a continuing Event of Default (other than an Event of Default specified in Sections 6.01(6) and 6.01(7) of the Indenture with respect to the Parent or the Issuer) with respect to the Notes, either the Trustee or the Holders of at least 25% of the outstanding principal amount of such Notes affected thereby may declare the principal amount of all of such Notes to be due and payable immediately.  However, at any time after the Trustee or the Holders, as the case may be, declare an acceleration with respect to any such Notes, but before the applicable person has obtained a judgment or decree based on such acceleration, the Holders of a majority in principal amount of the outstanding Notes may, under certain conditions, cancel such acceleration if the Parent has cured all Events of Default (other than the nonpayment of accelerated principal) with respect to the Notes or all such Events of Default have been waived as provided in the Indenture.  If an Event of Default specified in Sections 6.01(6) and 6.01(7) of the First Supplemental Indenture with respect to the Parent or the Issuer occurs, all outstanding Notes shall become due and payable without any further action or notice.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(13)       </w:t>
      </w:r>
      <w:r>
        <w:rPr>
          <w:rFonts w:ascii="Times New Roman" w:hAnsi="Times New Roman"/>
          <w:i/>
          <w:color w:val="000000"/>
          <w:sz w:val="20"/>
        </w:rPr>
        <w:t>TRUSTEE DEALINGS WITH ISSUER</w:t>
      </w:r>
      <w:r>
        <w:rPr>
          <w:rFonts w:ascii="Times New Roman" w:hAnsi="Times New Roman"/>
          <w:color w:val="000000"/>
          <w:sz w:val="20"/>
        </w:rPr>
        <w:t>.  The Trustee, in its individual or any other capacity, may make loans to, accept deposits from, and perform services for the Issuer or its respective Affiliates, and may otherwise deal with the Issuer or its respective Affiliates, as if it were not the Trustee.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(14)        </w:t>
      </w:r>
      <w:r>
        <w:rPr>
          <w:rFonts w:ascii="Times New Roman" w:hAnsi="Times New Roman"/>
          <w:i/>
          <w:color w:val="000000"/>
          <w:sz w:val="20"/>
        </w:rPr>
        <w:t>NO RECOURSE AGAINST OTHERS</w:t>
      </w:r>
      <w:r>
        <w:rPr>
          <w:rFonts w:ascii="Times New Roman" w:hAnsi="Times New Roman"/>
          <w:color w:val="000000"/>
          <w:sz w:val="20"/>
        </w:rPr>
        <w:t>.  No past, present or future director, officer, member, manager, partner, employee, incorporator or stockholder of the Issuer or the Parent, as such, will have any liability for any obligations of the Issuer or the Parent under the Notes, the Indenture, the Parent Guarantee or for any claim based on, in respect of, or by reason of, such obligations or their creation.  Each Holder by accepting a Note waives and releases all such liability.  The waiver and release are part of the consideration for the issuance of the Notes.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(15)       </w:t>
      </w:r>
      <w:r>
        <w:rPr>
          <w:rFonts w:ascii="Times New Roman" w:hAnsi="Times New Roman"/>
          <w:i/>
          <w:color w:val="000000"/>
          <w:sz w:val="20"/>
        </w:rPr>
        <w:t>AUTHENTICATION</w:t>
      </w:r>
      <w:r>
        <w:rPr>
          <w:rFonts w:ascii="Times New Roman" w:hAnsi="Times New Roman"/>
          <w:color w:val="000000"/>
          <w:sz w:val="20"/>
        </w:rPr>
        <w:t>.  This Note will not be valid until authenticated by the manual, facsimile or electronic (including PDF) signature of the Trustee or an authenticating agent.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 - 7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(16)        ABBREVIATIONS.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(17)       </w:t>
      </w:r>
      <w:r>
        <w:rPr>
          <w:rFonts w:ascii="Times New Roman" w:hAnsi="Times New Roman"/>
          <w:i/>
          <w:color w:val="000000"/>
          <w:sz w:val="20"/>
        </w:rPr>
        <w:t>CUSIP NUMBERS</w:t>
      </w:r>
      <w:r>
        <w:rPr>
          <w:rFonts w:ascii="Times New Roman" w:hAnsi="Times New Roman"/>
          <w:color w:val="000000"/>
          <w:sz w:val="20"/>
        </w:rPr>
        <w:t>.  Pursuant to a recommendation promulgated by the Committee on Uniform Security Identification Procedures, the 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  No redemption will be affected by any defect in or omission of such numbers.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(18)      </w:t>
      </w:r>
      <w:r>
        <w:rPr>
          <w:rFonts w:ascii="Times New Roman" w:hAnsi="Times New Roman"/>
          <w:i/>
          <w:color w:val="000000"/>
          <w:sz w:val="20"/>
        </w:rPr>
        <w:t>GOVERNING LAW</w:t>
      </w:r>
      <w:r>
        <w:rPr>
          <w:rFonts w:ascii="Times New Roman" w:hAnsi="Times New Roman"/>
          <w:color w:val="000000"/>
          <w:sz w:val="20"/>
        </w:rPr>
        <w:t>.  THE INDENTURE, THIS NOTE AND THE PARENT GUARANTEE SHALL BE GOVERNED BY, AND CONSTRUED IN ACCORDANCE WITH THE LAWS OF THE STATE OF NEW YORK WITHOUT REGARD TO THE CONFLICT OF LAWS PROVISIONS THEREOF.  EACH OF THE ISSUER, THE TRUSTEE AND THE PARENT HEREBY IRREVOCABLY WAIVES, TO THE FULLEST EXTENT PERMITTED BY APPLICABLE LAW, ANY AND ALL RIGHT TO TRIAL BY JURY IN ANY LEGAL PROCEEDING ARISING OUT OF OR RELATING TO THE INDENTURE, THIS NOTE OR THE TRANSACTIONS CONTEMPLATED THEREBY OR HEREBY.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 will furnish to any Holder upon written request and without charge a copy of the Indenture.  Requests may be made 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Icon Investments Six Designated Activity Company</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South County Business Park, Leopardstown</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Dublin 18, D18 X5R3, Ireland</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Attention:  FAO Group Treasurer</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Phone:  +353 1 291 2000</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 - 8</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ASSIGNMENT FORM</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 assign this Note, fill in the form below:</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9" w:name="zbbcde827de184c66a1016969f1c536f4"/>
      <w:bookmarkStart w:id="80" w:name="zbbcde827de184c66a1016969f1c536f4"/>
      <w:bookmarkEnd w:id="80"/>
    </w:p>
    <w:tbl>
      <w:tblPr>
        <w:tblW w:w="4094" w:type="dxa"/>
        <w:jc w:val="left"/>
        <w:tblInd w:w="0" w:type="dxa"/>
        <w:tblLayout w:type="fixed"/>
        <w:tblCellMar>
          <w:top w:w="0" w:type="dxa"/>
          <w:left w:w="0" w:type="dxa"/>
          <w:bottom w:w="0" w:type="dxa"/>
          <w:right w:w="0" w:type="dxa"/>
        </w:tblCellMar>
      </w:tblPr>
      <w:tblGrid>
        <w:gridCol w:w="23"/>
        <w:gridCol w:w="4025"/>
        <w:gridCol w:w="23"/>
        <w:gridCol w:w="23"/>
      </w:tblGrid>
      <w:tr>
        <w:trPr/>
        <w:tc>
          <w:tcPr>
            <w:tcW w:w="23" w:type="dxa"/>
            <w:tcBorders/>
            <w:vAlign w:val="center"/>
          </w:tcPr>
          <w:p>
            <w:pPr>
              <w:pStyle w:val="TableContents"/>
              <w:bidi w:val="0"/>
              <w:spacing w:before="0" w:after="283"/>
              <w:jc w:val="left"/>
              <w:rPr/>
            </w:pPr>
            <w:r>
              <w:rPr/>
            </w:r>
          </w:p>
        </w:tc>
        <w:tc>
          <w:tcPr>
            <w:tcW w:w="4025" w:type="dxa"/>
            <w:tcBorders/>
            <w:vAlign w:val="center"/>
          </w:tcPr>
          <w:p>
            <w:pPr>
              <w:pStyle w:val="TableContents"/>
              <w:bidi w:val="0"/>
              <w:spacing w:before="0" w:after="0"/>
              <w:jc w:val="both"/>
              <w:rPr/>
            </w:pPr>
            <w:r>
              <w:rPr/>
              <w:t>(I) or (we) assign and transfer this Note to:</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bl>
    <w:p>
      <w:pPr>
        <w:pStyle w:val="Normal"/>
        <w:bidi w:val="0"/>
        <w:spacing w:before="0" w:after="0"/>
        <w:jc w:val="left"/>
        <w:rPr>
          <w:sz w:val="4"/>
          <w:szCs w:val="4"/>
        </w:rPr>
      </w:pPr>
      <w:r>
        <w:rPr>
          <w:sz w:val="4"/>
          <w:szCs w:val="4"/>
        </w:rPr>
      </w:r>
      <w:bookmarkStart w:id="81" w:name="z7327019594d84bad878c82a947d48026"/>
      <w:bookmarkStart w:id="82" w:name="z7327019594d84bad878c82a947d48026"/>
      <w:bookmarkEnd w:id="82"/>
    </w:p>
    <w:tbl>
      <w:tblPr>
        <w:tblW w:w="8428" w:type="dxa"/>
        <w:jc w:val="left"/>
        <w:tblInd w:w="0" w:type="dxa"/>
        <w:tblLayout w:type="fixed"/>
        <w:tblCellMar>
          <w:top w:w="0" w:type="dxa"/>
          <w:left w:w="0" w:type="dxa"/>
          <w:bottom w:w="0" w:type="dxa"/>
          <w:right w:w="0" w:type="dxa"/>
        </w:tblCellMar>
      </w:tblPr>
      <w:tblGrid>
        <w:gridCol w:w="60"/>
        <w:gridCol w:w="8345"/>
        <w:gridCol w:w="23"/>
      </w:tblGrid>
      <w:tr>
        <w:trPr/>
        <w:tc>
          <w:tcPr>
            <w:tcW w:w="60" w:type="dxa"/>
            <w:tcBorders/>
            <w:vAlign w:val="center"/>
          </w:tcPr>
          <w:p>
            <w:pPr>
              <w:pStyle w:val="TableContents"/>
              <w:bidi w:val="0"/>
              <w:spacing w:before="0" w:after="283"/>
              <w:jc w:val="left"/>
              <w:rPr/>
            </w:pPr>
            <w:r>
              <w:rPr/>
            </w:r>
          </w:p>
        </w:tc>
        <w:tc>
          <w:tcPr>
            <w:tcW w:w="8345" w:type="dxa"/>
            <w:tcBorders/>
            <w:vAlign w:val="center"/>
          </w:tcPr>
          <w:p>
            <w:pPr>
              <w:pStyle w:val="TableContents"/>
              <w:bidi w:val="0"/>
              <w:spacing w:before="0" w:after="0"/>
              <w:jc w:val="center"/>
              <w:rPr/>
            </w:pPr>
            <w:r>
              <w:rPr/>
              <w:t>(Insert assignee’s legal name)</w:t>
            </w:r>
          </w:p>
        </w:tc>
        <w:tc>
          <w:tcPr>
            <w:tcW w:w="23"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r>
          </w:p>
        </w:tc>
        <w:tc>
          <w:tcPr>
            <w:tcW w:w="8345"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r>
          </w:p>
        </w:tc>
        <w:tc>
          <w:tcPr>
            <w:tcW w:w="8345" w:type="dxa"/>
            <w:tcBorders/>
            <w:vAlign w:val="center"/>
          </w:tcPr>
          <w:p>
            <w:pPr>
              <w:pStyle w:val="TableContents"/>
              <w:bidi w:val="0"/>
              <w:spacing w:before="0" w:after="0"/>
              <w:jc w:val="center"/>
              <w:rPr/>
            </w:pPr>
            <w:r>
              <w:rPr/>
              <w:t>(Insert assignee’s soc. sec. or tax I.D. no.)</w:t>
            </w:r>
          </w:p>
        </w:tc>
        <w:tc>
          <w:tcPr>
            <w:tcW w:w="23"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r>
          </w:p>
        </w:tc>
        <w:tc>
          <w:tcPr>
            <w:tcW w:w="8345"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r>
          </w:p>
        </w:tc>
        <w:tc>
          <w:tcPr>
            <w:tcW w:w="8345"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r>
          </w:p>
        </w:tc>
        <w:tc>
          <w:tcPr>
            <w:tcW w:w="8345"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r>
          </w:p>
        </w:tc>
        <w:tc>
          <w:tcPr>
            <w:tcW w:w="8345"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r>
          </w:p>
        </w:tc>
        <w:tc>
          <w:tcPr>
            <w:tcW w:w="8345" w:type="dxa"/>
            <w:tcBorders/>
            <w:vAlign w:val="center"/>
          </w:tcPr>
          <w:p>
            <w:pPr>
              <w:pStyle w:val="TableContents"/>
              <w:bidi w:val="0"/>
              <w:spacing w:before="0" w:after="0"/>
              <w:jc w:val="center"/>
              <w:rPr>
                <w:color w:val="000000"/>
              </w:rPr>
            </w:pPr>
            <w:r>
              <w:rPr>
                <w:color w:val="000000"/>
              </w:rPr>
              <w:t>(Print or type assignee’s name, address and zip code)</w:t>
            </w:r>
          </w:p>
        </w:tc>
        <w:tc>
          <w:tcPr>
            <w:tcW w:w="23"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r>
          </w:p>
        </w:tc>
        <w:tc>
          <w:tcPr>
            <w:tcW w:w="8345" w:type="dxa"/>
            <w:tcBorders/>
            <w:vAlign w:val="center"/>
          </w:tcPr>
          <w:p>
            <w:pPr>
              <w:pStyle w:val="TableContents"/>
              <w:bidi w:val="0"/>
              <w:spacing w:before="0" w:after="0"/>
              <w:jc w:val="both"/>
              <w:rPr/>
            </w:pPr>
            <w:r>
              <w:rPr/>
              <w:t>and irrevocably appoint _____________ to transfer this Note on the books of the Issuer.</w:t>
            </w:r>
          </w:p>
        </w:tc>
        <w:tc>
          <w:tcPr>
            <w:tcW w:w="23" w:type="dxa"/>
            <w:tcBorders/>
            <w:vAlign w:val="center"/>
          </w:tcPr>
          <w:p>
            <w:pPr>
              <w:pStyle w:val="TableContents"/>
              <w:bidi w:val="0"/>
              <w:spacing w:before="0" w:after="283"/>
              <w:jc w:val="left"/>
              <w:rPr/>
            </w:pPr>
            <w:r>
              <w:rPr/>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t>The agent may substitute another to act for him.</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3" w:name="z96fe182c3e37421b8143fa98460eb8cf"/>
      <w:bookmarkStart w:id="84" w:name="z96fe182c3e37421b8143fa98460eb8cf"/>
      <w:bookmarkEnd w:id="84"/>
    </w:p>
    <w:tbl>
      <w:tblPr>
        <w:tblW w:w="599" w:type="dxa"/>
        <w:jc w:val="left"/>
        <w:tblInd w:w="0" w:type="dxa"/>
        <w:tblLayout w:type="fixed"/>
        <w:tblCellMar>
          <w:top w:w="0" w:type="dxa"/>
          <w:left w:w="0" w:type="dxa"/>
          <w:bottom w:w="0" w:type="dxa"/>
          <w:right w:w="0" w:type="dxa"/>
        </w:tblCellMar>
      </w:tblPr>
      <w:tblGrid>
        <w:gridCol w:w="23"/>
        <w:gridCol w:w="530"/>
        <w:gridCol w:w="23"/>
        <w:gridCol w:w="23"/>
      </w:tblGrid>
      <w:tr>
        <w:trPr/>
        <w:tc>
          <w:tcPr>
            <w:tcW w:w="23" w:type="dxa"/>
            <w:tcBorders/>
            <w:vAlign w:val="center"/>
          </w:tcPr>
          <w:p>
            <w:pPr>
              <w:pStyle w:val="TableContents"/>
              <w:bidi w:val="0"/>
              <w:spacing w:before="0" w:after="283"/>
              <w:jc w:val="left"/>
              <w:rPr/>
            </w:pPr>
            <w:r>
              <w:rPr/>
            </w:r>
          </w:p>
        </w:tc>
        <w:tc>
          <w:tcPr>
            <w:tcW w:w="530" w:type="dxa"/>
            <w:tcBorders/>
            <w:vAlign w:val="center"/>
          </w:tcPr>
          <w:p>
            <w:pPr>
              <w:pStyle w:val="TableContents"/>
              <w:bidi w:val="0"/>
              <w:spacing w:before="0" w:after="0"/>
              <w:jc w:val="both"/>
              <w:rPr/>
            </w:pPr>
            <w:r>
              <w:rPr/>
              <w:t>Date:</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5" w:name="z7d4abd2b17e947f0a32de1d0a0736d3b"/>
      <w:bookmarkStart w:id="86" w:name="z7d4abd2b17e947f0a32de1d0a0736d3b"/>
      <w:bookmarkEnd w:id="86"/>
    </w:p>
    <w:tbl>
      <w:tblPr>
        <w:tblW w:w="5726" w:type="dxa"/>
        <w:jc w:val="left"/>
        <w:tblInd w:w="0" w:type="dxa"/>
        <w:tblLayout w:type="fixed"/>
        <w:tblCellMar>
          <w:top w:w="0" w:type="dxa"/>
          <w:left w:w="0" w:type="dxa"/>
          <w:bottom w:w="0" w:type="dxa"/>
          <w:right w:w="0" w:type="dxa"/>
        </w:tblCellMar>
      </w:tblPr>
      <w:tblGrid>
        <w:gridCol w:w="23"/>
        <w:gridCol w:w="5539"/>
        <w:gridCol w:w="82"/>
        <w:gridCol w:w="82"/>
      </w:tblGrid>
      <w:tr>
        <w:trPr/>
        <w:tc>
          <w:tcPr>
            <w:tcW w:w="23" w:type="dxa"/>
            <w:tcBorders/>
            <w:vAlign w:val="center"/>
          </w:tcPr>
          <w:p>
            <w:pPr>
              <w:pStyle w:val="TableContents"/>
              <w:bidi w:val="0"/>
              <w:spacing w:before="0" w:after="283"/>
              <w:jc w:val="left"/>
              <w:rPr/>
            </w:pPr>
            <w:r>
              <w:rPr/>
            </w:r>
          </w:p>
        </w:tc>
        <w:tc>
          <w:tcPr>
            <w:tcW w:w="5539" w:type="dxa"/>
            <w:tcBorders/>
            <w:vAlign w:val="center"/>
          </w:tcPr>
          <w:p>
            <w:pPr>
              <w:pStyle w:val="TableContents"/>
              <w:bidi w:val="0"/>
              <w:spacing w:before="0" w:after="0"/>
              <w:jc w:val="both"/>
              <w:rPr/>
            </w:pPr>
            <w:r>
              <w:rPr/>
              <w:t>Your Signature:</w:t>
            </w:r>
          </w:p>
        </w:tc>
        <w:tc>
          <w:tcPr>
            <w:tcW w:w="82" w:type="dxa"/>
            <w:tcBorders>
              <w:bottom w:val="single" w:sz="12" w:space="0" w:color="000000"/>
            </w:tcBorders>
            <w:tcMar>
              <w:bottom w:w="28" w:type="dxa"/>
            </w:tcMar>
            <w:vAlign w:val="center"/>
          </w:tcPr>
          <w:p>
            <w:pPr>
              <w:pStyle w:val="TableContents"/>
              <w:bidi w:val="0"/>
              <w:spacing w:before="0" w:after="283"/>
              <w:jc w:val="left"/>
              <w:rPr/>
            </w:pPr>
            <w:r>
              <w:rPr/>
            </w:r>
          </w:p>
        </w:tc>
        <w:tc>
          <w:tcPr>
            <w:tcW w:w="82"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5703" w:type="dxa"/>
            <w:gridSpan w:val="3"/>
            <w:tcBorders/>
            <w:vAlign w:val="center"/>
          </w:tcPr>
          <w:p>
            <w:pPr>
              <w:pStyle w:val="TableContents"/>
              <w:bidi w:val="0"/>
              <w:spacing w:before="0" w:after="0"/>
              <w:ind w:left="720" w:right="0" w:hanging="0"/>
              <w:jc w:val="both"/>
              <w:rPr/>
            </w:pPr>
            <w:r>
              <w:rPr/>
              <w:t>(Sign exactly as your name appears on the face of this Note)</w:t>
            </w:r>
          </w:p>
        </w:tc>
      </w:tr>
    </w:tbl>
    <w:p>
      <w:pPr>
        <w:pStyle w:val="TextBody"/>
        <w:bidi w:val="0"/>
        <w:spacing w:before="0" w:after="0"/>
        <w:ind w:left="0" w:right="0" w:firstLine="720"/>
        <w:jc w:val="both"/>
        <w:rPr/>
      </w:pPr>
      <w:r>
        <w:rPr/>
      </w:r>
    </w:p>
    <w:p>
      <w:pPr>
        <w:pStyle w:val="Normal"/>
        <w:bidi w:val="0"/>
        <w:spacing w:before="0" w:after="0"/>
        <w:jc w:val="left"/>
        <w:rPr>
          <w:sz w:val="4"/>
          <w:szCs w:val="4"/>
        </w:rPr>
      </w:pPr>
      <w:r>
        <w:rPr>
          <w:sz w:val="4"/>
          <w:szCs w:val="4"/>
        </w:rPr>
      </w:r>
      <w:bookmarkStart w:id="87" w:name="f10f04b3c9124c5fad5260d3f96f3df0"/>
      <w:bookmarkStart w:id="88" w:name="f10f04b3c9124c5fad5260d3f96f3df0"/>
      <w:bookmarkEnd w:id="88"/>
    </w:p>
    <w:tbl>
      <w:tblPr>
        <w:tblW w:w="2204" w:type="dxa"/>
        <w:jc w:val="left"/>
        <w:tblInd w:w="0" w:type="dxa"/>
        <w:tblLayout w:type="fixed"/>
        <w:tblCellMar>
          <w:top w:w="0" w:type="dxa"/>
          <w:left w:w="0" w:type="dxa"/>
          <w:bottom w:w="0" w:type="dxa"/>
          <w:right w:w="0" w:type="dxa"/>
        </w:tblCellMar>
      </w:tblPr>
      <w:tblGrid>
        <w:gridCol w:w="23"/>
        <w:gridCol w:w="2135"/>
        <w:gridCol w:w="23"/>
        <w:gridCol w:w="23"/>
      </w:tblGrid>
      <w:tr>
        <w:trPr/>
        <w:tc>
          <w:tcPr>
            <w:tcW w:w="23" w:type="dxa"/>
            <w:tcBorders/>
            <w:vAlign w:val="center"/>
          </w:tcPr>
          <w:p>
            <w:pPr>
              <w:pStyle w:val="TableContents"/>
              <w:bidi w:val="0"/>
              <w:spacing w:before="0" w:after="283"/>
              <w:jc w:val="left"/>
              <w:rPr/>
            </w:pPr>
            <w:r>
              <w:rPr/>
            </w:r>
          </w:p>
        </w:tc>
        <w:tc>
          <w:tcPr>
            <w:tcW w:w="2135" w:type="dxa"/>
            <w:tcBorders/>
            <w:vAlign w:val="center"/>
          </w:tcPr>
          <w:p>
            <w:pPr>
              <w:pStyle w:val="TableContents"/>
              <w:bidi w:val="0"/>
              <w:spacing w:before="0" w:after="283"/>
              <w:jc w:val="left"/>
              <w:rPr/>
            </w:pPr>
            <w:r>
              <w:rPr/>
              <w:t>Signature Guarantee*:</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Participant in a recognized Signature Guarantee Medallion Program (or other signature guarantor acceptable to the Trustee).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 - 9</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Option of Holder to Elect Purchase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you want to elect to have this Note purchased by the Issuer pursuant to Section 4.02 of the First Supplemental Indenture, sign and return this form as directed.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you want to elect to have only part of the Note purchased by the Issuer pursuant to Section 4.02 of the First Supplemental Indenture, state the amount you elect to have purchased:</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9" w:name="za181b959ba4042b9819f6c5b367efc03"/>
      <w:bookmarkStart w:id="90" w:name="za181b959ba4042b9819f6c5b367efc03"/>
      <w:bookmarkEnd w:id="90"/>
    </w:p>
    <w:tbl>
      <w:tblPr>
        <w:tblW w:w="6234" w:type="dxa"/>
        <w:jc w:val="left"/>
        <w:tblInd w:w="0" w:type="dxa"/>
        <w:tblLayout w:type="fixed"/>
        <w:tblCellMar>
          <w:top w:w="0" w:type="dxa"/>
          <w:left w:w="0" w:type="dxa"/>
          <w:bottom w:w="0" w:type="dxa"/>
          <w:right w:w="0" w:type="dxa"/>
        </w:tblCellMar>
      </w:tblPr>
      <w:tblGrid>
        <w:gridCol w:w="530"/>
        <w:gridCol w:w="2852"/>
        <w:gridCol w:w="2852"/>
      </w:tblGrid>
      <w:tr>
        <w:trPr/>
        <w:tc>
          <w:tcPr>
            <w:tcW w:w="530" w:type="dxa"/>
            <w:tcBorders/>
            <w:vAlign w:val="center"/>
          </w:tcPr>
          <w:p>
            <w:pPr>
              <w:pStyle w:val="TableContents"/>
              <w:bidi w:val="0"/>
              <w:spacing w:before="0" w:after="283"/>
              <w:jc w:val="left"/>
              <w:rPr/>
            </w:pPr>
            <w:r>
              <w:rPr/>
            </w:r>
          </w:p>
        </w:tc>
        <w:tc>
          <w:tcPr>
            <w:tcW w:w="5704" w:type="dxa"/>
            <w:gridSpan w:val="2"/>
            <w:tcBorders/>
            <w:vAlign w:val="center"/>
          </w:tcPr>
          <w:p>
            <w:pPr>
              <w:pStyle w:val="TableContents"/>
              <w:bidi w:val="0"/>
              <w:spacing w:before="0" w:after="0"/>
              <w:jc w:val="both"/>
              <w:rPr>
                <w:color w:val="000000"/>
              </w:rPr>
            </w:pPr>
            <w:r>
              <w:rPr>
                <w:color w:val="000000"/>
              </w:rPr>
              <w:t>$</w:t>
            </w:r>
          </w:p>
        </w:tc>
      </w:tr>
      <w:tr>
        <w:trPr/>
        <w:tc>
          <w:tcPr>
            <w:tcW w:w="530" w:type="dxa"/>
            <w:tcBorders/>
            <w:vAlign w:val="center"/>
          </w:tcPr>
          <w:p>
            <w:pPr>
              <w:pStyle w:val="TableContents"/>
              <w:bidi w:val="0"/>
              <w:spacing w:before="0" w:after="0"/>
              <w:jc w:val="both"/>
              <w:rPr>
                <w:color w:val="000000"/>
              </w:rPr>
            </w:pPr>
            <w:r>
              <w:rPr>
                <w:color w:val="000000"/>
              </w:rPr>
              <w:t>Date:</w:t>
            </w:r>
          </w:p>
        </w:tc>
        <w:tc>
          <w:tcPr>
            <w:tcW w:w="2852" w:type="dxa"/>
            <w:tcBorders>
              <w:bottom w:val="single" w:sz="12" w:space="0" w:color="000000"/>
            </w:tcBorders>
            <w:tcMar>
              <w:bottom w:w="28" w:type="dxa"/>
            </w:tcMar>
            <w:vAlign w:val="center"/>
          </w:tcPr>
          <w:p>
            <w:pPr>
              <w:pStyle w:val="TableContents"/>
              <w:bidi w:val="0"/>
              <w:spacing w:before="0" w:after="0"/>
              <w:jc w:val="both"/>
              <w:rPr>
                <w:color w:val="000000"/>
              </w:rPr>
            </w:pPr>
            <w:r>
              <w:rPr>
                <w:color w:val="000000"/>
              </w:rPr>
            </w:r>
          </w:p>
        </w:tc>
        <w:tc>
          <w:tcPr>
            <w:tcW w:w="2852" w:type="dxa"/>
            <w:tcBorders/>
            <w:vAlign w:val="center"/>
          </w:tcPr>
          <w:p>
            <w:pPr>
              <w:pStyle w:val="TableContents"/>
              <w:bidi w:val="0"/>
              <w:spacing w:before="0" w:after="283"/>
              <w:jc w:val="left"/>
              <w:rPr/>
            </w:pPr>
            <w:r>
              <w:rPr/>
            </w:r>
          </w:p>
        </w:tc>
      </w:tr>
      <w:tr>
        <w:trPr/>
        <w:tc>
          <w:tcPr>
            <w:tcW w:w="530" w:type="dxa"/>
            <w:tcBorders/>
            <w:vAlign w:val="center"/>
          </w:tcPr>
          <w:p>
            <w:pPr>
              <w:pStyle w:val="TableContents"/>
              <w:bidi w:val="0"/>
              <w:spacing w:before="0" w:after="283"/>
              <w:jc w:val="left"/>
              <w:rPr/>
            </w:pPr>
            <w:r>
              <w:rPr/>
            </w:r>
          </w:p>
        </w:tc>
        <w:tc>
          <w:tcPr>
            <w:tcW w:w="5704" w:type="dxa"/>
            <w:gridSpan w:val="2"/>
            <w:tcBorders/>
            <w:vAlign w:val="center"/>
          </w:tcPr>
          <w:p>
            <w:pPr>
              <w:pStyle w:val="TableContents"/>
              <w:bidi w:val="0"/>
              <w:spacing w:before="0" w:after="0"/>
              <w:jc w:val="both"/>
              <w:rPr>
                <w:color w:val="000000"/>
              </w:rPr>
            </w:pPr>
            <w:r>
              <w:rPr>
                <w:color w:val="000000"/>
              </w:rPr>
              <w:t>Your Signature:</w:t>
            </w:r>
          </w:p>
          <w:p>
            <w:pPr>
              <w:pStyle w:val="TableContents"/>
              <w:bidi w:val="0"/>
              <w:spacing w:before="0" w:after="0"/>
              <w:jc w:val="both"/>
              <w:rPr>
                <w:color w:val="000000"/>
              </w:rPr>
            </w:pPr>
            <w:r>
              <w:rPr>
                <w:color w:val="000000"/>
              </w:rPr>
              <w:t>(Sign exactly as your name appears on the face of this Note)</w:t>
            </w:r>
          </w:p>
        </w:tc>
      </w:tr>
      <w:tr>
        <w:trPr/>
        <w:tc>
          <w:tcPr>
            <w:tcW w:w="530" w:type="dxa"/>
            <w:tcBorders/>
            <w:vAlign w:val="center"/>
          </w:tcPr>
          <w:p>
            <w:pPr>
              <w:pStyle w:val="TableContents"/>
              <w:bidi w:val="0"/>
              <w:spacing w:before="0" w:after="283"/>
              <w:jc w:val="left"/>
              <w:rPr/>
            </w:pPr>
            <w:r>
              <w:rPr/>
              <w:t> </w:t>
            </w:r>
          </w:p>
        </w:tc>
        <w:tc>
          <w:tcPr>
            <w:tcW w:w="5704" w:type="dxa"/>
            <w:gridSpan w:val="2"/>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r>
              <w:rPr/>
            </w:r>
          </w:p>
        </w:tc>
        <w:tc>
          <w:tcPr>
            <w:tcW w:w="5704" w:type="dxa"/>
            <w:gridSpan w:val="2"/>
            <w:tcBorders/>
            <w:vAlign w:val="center"/>
          </w:tcPr>
          <w:p>
            <w:pPr>
              <w:pStyle w:val="TableContents"/>
              <w:bidi w:val="0"/>
              <w:spacing w:before="0" w:after="0"/>
              <w:jc w:val="both"/>
              <w:rPr>
                <w:color w:val="000000"/>
              </w:rPr>
            </w:pPr>
            <w:r>
              <w:rPr>
                <w:color w:val="000000"/>
              </w:rPr>
              <w:t>Tax Identification No.:</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Signature Guarantee*: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Participant in a recognized Signature Guarantee Medallion Program (or other signature guarantor acceptable to the Trustee).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 - 10</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SCHEDULE OF EXCHANGES OF INTERESTS IN THE GLOBAL NOTE*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initial outstanding principal amount of this Global Note is $[____________].</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following exchanges of a part of this Global Note for an interest in another Global Note or for a Definitive Note, or exchanges of a part of another Global Note or Definitive Note for an interest in this Global Note, have been made: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1" w:name="z09ebe77a280346c884fec96c4c473d22"/>
      <w:bookmarkStart w:id="92" w:name="z09ebe77a280346c884fec96c4c473d22"/>
      <w:bookmarkEnd w:id="92"/>
    </w:p>
    <w:tbl>
      <w:tblPr>
        <w:tblW w:w="8277" w:type="dxa"/>
        <w:jc w:val="left"/>
        <w:tblInd w:w="0" w:type="dxa"/>
        <w:tblLayout w:type="fixed"/>
        <w:tblCellMar>
          <w:top w:w="0" w:type="dxa"/>
          <w:left w:w="0" w:type="dxa"/>
          <w:bottom w:w="28" w:type="dxa"/>
          <w:right w:w="0" w:type="dxa"/>
        </w:tblCellMar>
      </w:tblPr>
      <w:tblGrid>
        <w:gridCol w:w="1820"/>
        <w:gridCol w:w="23"/>
        <w:gridCol w:w="1535"/>
        <w:gridCol w:w="23"/>
        <w:gridCol w:w="1535"/>
        <w:gridCol w:w="23"/>
        <w:gridCol w:w="1535"/>
        <w:gridCol w:w="23"/>
        <w:gridCol w:w="1760"/>
      </w:tblGrid>
      <w:tr>
        <w:trPr/>
        <w:tc>
          <w:tcPr>
            <w:tcW w:w="1820" w:type="dxa"/>
            <w:tcBorders>
              <w:bottom w:val="single" w:sz="12" w:space="0" w:color="000000"/>
            </w:tcBorders>
            <w:vAlign w:val="center"/>
          </w:tcPr>
          <w:p>
            <w:pPr>
              <w:pStyle w:val="TableContents"/>
              <w:bidi w:val="0"/>
              <w:spacing w:before="0" w:after="0"/>
              <w:jc w:val="center"/>
              <w:rPr>
                <w:b/>
                <w:color w:val="000000"/>
              </w:rPr>
            </w:pPr>
            <w:r>
              <w:rPr>
                <w:b/>
                <w:color w:val="000000"/>
              </w:rPr>
              <w:t>Date of Exchange</w:t>
            </w:r>
          </w:p>
        </w:tc>
        <w:tc>
          <w:tcPr>
            <w:tcW w:w="23" w:type="dxa"/>
            <w:tcBorders/>
            <w:tcMar>
              <w:bottom w:w="0" w:type="dxa"/>
            </w:tcMar>
            <w:vAlign w:val="center"/>
          </w:tcPr>
          <w:p>
            <w:pPr>
              <w:pStyle w:val="TableContents"/>
              <w:bidi w:val="0"/>
              <w:spacing w:before="0" w:after="283"/>
              <w:jc w:val="left"/>
              <w:rPr/>
            </w:pPr>
            <w:r>
              <w:rPr/>
            </w:r>
          </w:p>
        </w:tc>
        <w:tc>
          <w:tcPr>
            <w:tcW w:w="1535" w:type="dxa"/>
            <w:tcBorders>
              <w:bottom w:val="single" w:sz="12" w:space="0" w:color="000000"/>
            </w:tcBorders>
            <w:vAlign w:val="center"/>
          </w:tcPr>
          <w:p>
            <w:pPr>
              <w:pStyle w:val="TableContents"/>
              <w:bidi w:val="0"/>
              <w:spacing w:before="0" w:after="0"/>
              <w:jc w:val="center"/>
              <w:rPr>
                <w:b/>
                <w:color w:val="000000"/>
              </w:rPr>
            </w:pPr>
            <w:r>
              <w:rPr>
                <w:b/>
                <w:color w:val="000000"/>
              </w:rPr>
              <w:t>Amount of</w:t>
            </w:r>
          </w:p>
          <w:p>
            <w:pPr>
              <w:pStyle w:val="TableContents"/>
              <w:bidi w:val="0"/>
              <w:spacing w:before="0" w:after="0"/>
              <w:jc w:val="center"/>
              <w:rPr>
                <w:b/>
                <w:color w:val="000000"/>
              </w:rPr>
            </w:pPr>
            <w:r>
              <w:rPr>
                <w:b/>
                <w:color w:val="000000"/>
              </w:rPr>
              <w:t>decrease in</w:t>
            </w:r>
          </w:p>
          <w:p>
            <w:pPr>
              <w:pStyle w:val="TableContents"/>
              <w:bidi w:val="0"/>
              <w:spacing w:before="0" w:after="0"/>
              <w:jc w:val="center"/>
              <w:rPr>
                <w:b/>
                <w:color w:val="000000"/>
              </w:rPr>
            </w:pPr>
            <w:r>
              <w:rPr>
                <w:b/>
                <w:color w:val="000000"/>
              </w:rPr>
              <w:t>Principal</w:t>
            </w:r>
          </w:p>
          <w:p>
            <w:pPr>
              <w:pStyle w:val="TableContents"/>
              <w:bidi w:val="0"/>
              <w:spacing w:before="0" w:after="0"/>
              <w:jc w:val="center"/>
              <w:rPr>
                <w:b/>
                <w:color w:val="000000"/>
              </w:rPr>
            </w:pPr>
            <w:r>
              <w:rPr>
                <w:b/>
                <w:color w:val="000000"/>
              </w:rPr>
              <w:t>Amount of this</w:t>
            </w:r>
          </w:p>
          <w:p>
            <w:pPr>
              <w:pStyle w:val="TableContents"/>
              <w:bidi w:val="0"/>
              <w:spacing w:before="0" w:after="0"/>
              <w:jc w:val="center"/>
              <w:rPr>
                <w:b/>
                <w:color w:val="000000"/>
              </w:rPr>
            </w:pPr>
            <w:r>
              <w:rPr>
                <w:b/>
                <w:color w:val="000000"/>
              </w:rPr>
              <w:t>Global Note</w:t>
            </w:r>
          </w:p>
        </w:tc>
        <w:tc>
          <w:tcPr>
            <w:tcW w:w="23" w:type="dxa"/>
            <w:tcBorders/>
            <w:tcMar>
              <w:bottom w:w="0" w:type="dxa"/>
            </w:tcMar>
            <w:vAlign w:val="center"/>
          </w:tcPr>
          <w:p>
            <w:pPr>
              <w:pStyle w:val="TableContents"/>
              <w:bidi w:val="0"/>
              <w:spacing w:before="0" w:after="283"/>
              <w:jc w:val="left"/>
              <w:rPr/>
            </w:pPr>
            <w:r>
              <w:rPr/>
            </w:r>
          </w:p>
        </w:tc>
        <w:tc>
          <w:tcPr>
            <w:tcW w:w="1535" w:type="dxa"/>
            <w:tcBorders>
              <w:bottom w:val="single" w:sz="12" w:space="0" w:color="000000"/>
            </w:tcBorders>
            <w:vAlign w:val="center"/>
          </w:tcPr>
          <w:p>
            <w:pPr>
              <w:pStyle w:val="TableContents"/>
              <w:bidi w:val="0"/>
              <w:spacing w:before="0" w:after="0"/>
              <w:jc w:val="center"/>
              <w:rPr>
                <w:b/>
                <w:color w:val="000000"/>
              </w:rPr>
            </w:pPr>
            <w:r>
              <w:rPr>
                <w:b/>
                <w:color w:val="000000"/>
              </w:rPr>
              <w:t>Amount of</w:t>
            </w:r>
          </w:p>
          <w:p>
            <w:pPr>
              <w:pStyle w:val="TableContents"/>
              <w:bidi w:val="0"/>
              <w:spacing w:before="0" w:after="0"/>
              <w:jc w:val="center"/>
              <w:rPr>
                <w:b/>
                <w:color w:val="000000"/>
              </w:rPr>
            </w:pPr>
            <w:r>
              <w:rPr>
                <w:b/>
                <w:color w:val="000000"/>
              </w:rPr>
              <w:t>increase in</w:t>
            </w:r>
          </w:p>
          <w:p>
            <w:pPr>
              <w:pStyle w:val="TableContents"/>
              <w:bidi w:val="0"/>
              <w:spacing w:before="0" w:after="0"/>
              <w:jc w:val="center"/>
              <w:rPr>
                <w:b/>
                <w:color w:val="000000"/>
              </w:rPr>
            </w:pPr>
            <w:r>
              <w:rPr>
                <w:b/>
                <w:color w:val="000000"/>
              </w:rPr>
              <w:t>Principal</w:t>
            </w:r>
          </w:p>
          <w:p>
            <w:pPr>
              <w:pStyle w:val="TableContents"/>
              <w:bidi w:val="0"/>
              <w:spacing w:before="0" w:after="0"/>
              <w:jc w:val="center"/>
              <w:rPr>
                <w:b/>
                <w:color w:val="000000"/>
              </w:rPr>
            </w:pPr>
            <w:r>
              <w:rPr>
                <w:b/>
                <w:color w:val="000000"/>
              </w:rPr>
              <w:t>Amount of this</w:t>
            </w:r>
          </w:p>
          <w:p>
            <w:pPr>
              <w:pStyle w:val="TableContents"/>
              <w:bidi w:val="0"/>
              <w:spacing w:before="0" w:after="0"/>
              <w:jc w:val="center"/>
              <w:rPr>
                <w:b/>
                <w:color w:val="000000"/>
              </w:rPr>
            </w:pPr>
            <w:r>
              <w:rPr>
                <w:b/>
                <w:color w:val="000000"/>
              </w:rPr>
              <w:t>Global Note</w:t>
            </w:r>
          </w:p>
        </w:tc>
        <w:tc>
          <w:tcPr>
            <w:tcW w:w="23" w:type="dxa"/>
            <w:tcBorders/>
            <w:tcMar>
              <w:bottom w:w="0" w:type="dxa"/>
            </w:tcMar>
            <w:vAlign w:val="center"/>
          </w:tcPr>
          <w:p>
            <w:pPr>
              <w:pStyle w:val="TableContents"/>
              <w:bidi w:val="0"/>
              <w:spacing w:before="0" w:after="283"/>
              <w:jc w:val="left"/>
              <w:rPr/>
            </w:pPr>
            <w:r>
              <w:rPr/>
            </w:r>
          </w:p>
        </w:tc>
        <w:tc>
          <w:tcPr>
            <w:tcW w:w="1535" w:type="dxa"/>
            <w:tcBorders>
              <w:bottom w:val="single" w:sz="12" w:space="0" w:color="000000"/>
            </w:tcBorders>
            <w:vAlign w:val="center"/>
          </w:tcPr>
          <w:p>
            <w:pPr>
              <w:pStyle w:val="TableContents"/>
              <w:bidi w:val="0"/>
              <w:spacing w:before="0" w:after="0"/>
              <w:jc w:val="center"/>
              <w:rPr>
                <w:b/>
                <w:color w:val="000000"/>
              </w:rPr>
            </w:pPr>
            <w:r>
              <w:rPr>
                <w:b/>
                <w:color w:val="000000"/>
              </w:rPr>
              <w:t>Principal</w:t>
            </w:r>
          </w:p>
          <w:p>
            <w:pPr>
              <w:pStyle w:val="TableContents"/>
              <w:bidi w:val="0"/>
              <w:spacing w:before="0" w:after="0"/>
              <w:jc w:val="center"/>
              <w:rPr>
                <w:b/>
                <w:color w:val="000000"/>
              </w:rPr>
            </w:pPr>
            <w:r>
              <w:rPr>
                <w:b/>
                <w:color w:val="000000"/>
              </w:rPr>
              <w:t>Amount of this</w:t>
            </w:r>
          </w:p>
          <w:p>
            <w:pPr>
              <w:pStyle w:val="TableContents"/>
              <w:bidi w:val="0"/>
              <w:spacing w:before="0" w:after="0"/>
              <w:jc w:val="center"/>
              <w:rPr>
                <w:b/>
                <w:color w:val="000000"/>
              </w:rPr>
            </w:pPr>
            <w:r>
              <w:rPr>
                <w:b/>
                <w:color w:val="000000"/>
              </w:rPr>
              <w:t>Global Note</w:t>
            </w:r>
          </w:p>
          <w:p>
            <w:pPr>
              <w:pStyle w:val="TableContents"/>
              <w:bidi w:val="0"/>
              <w:spacing w:before="0" w:after="0"/>
              <w:jc w:val="center"/>
              <w:rPr>
                <w:b/>
                <w:color w:val="000000"/>
              </w:rPr>
            </w:pPr>
            <w:r>
              <w:rPr>
                <w:b/>
                <w:color w:val="000000"/>
              </w:rPr>
              <w:t>following such</w:t>
            </w:r>
          </w:p>
          <w:p>
            <w:pPr>
              <w:pStyle w:val="TableContents"/>
              <w:bidi w:val="0"/>
              <w:spacing w:before="0" w:after="0"/>
              <w:jc w:val="center"/>
              <w:rPr>
                <w:b/>
                <w:color w:val="000000"/>
              </w:rPr>
            </w:pPr>
            <w:r>
              <w:rPr>
                <w:b/>
                <w:color w:val="000000"/>
              </w:rPr>
              <w:t>decrease (or</w:t>
            </w:r>
          </w:p>
          <w:p>
            <w:pPr>
              <w:pStyle w:val="TableContents"/>
              <w:bidi w:val="0"/>
              <w:spacing w:before="0" w:after="0"/>
              <w:jc w:val="center"/>
              <w:rPr>
                <w:b/>
                <w:color w:val="000000"/>
              </w:rPr>
            </w:pPr>
            <w:r>
              <w:rPr>
                <w:b/>
                <w:color w:val="000000"/>
              </w:rPr>
              <w:t>increase)</w:t>
            </w:r>
          </w:p>
        </w:tc>
        <w:tc>
          <w:tcPr>
            <w:tcW w:w="23" w:type="dxa"/>
            <w:tcBorders/>
            <w:tcMar>
              <w:bottom w:w="0" w:type="dxa"/>
            </w:tcMar>
            <w:vAlign w:val="center"/>
          </w:tcPr>
          <w:p>
            <w:pPr>
              <w:pStyle w:val="TableContents"/>
              <w:bidi w:val="0"/>
              <w:spacing w:before="0" w:after="283"/>
              <w:jc w:val="left"/>
              <w:rPr/>
            </w:pPr>
            <w:r>
              <w:rPr/>
            </w:r>
          </w:p>
        </w:tc>
        <w:tc>
          <w:tcPr>
            <w:tcW w:w="1760" w:type="dxa"/>
            <w:tcBorders>
              <w:bottom w:val="single" w:sz="12" w:space="0" w:color="000000"/>
            </w:tcBorders>
            <w:vAlign w:val="center"/>
          </w:tcPr>
          <w:p>
            <w:pPr>
              <w:pStyle w:val="TableContents"/>
              <w:bidi w:val="0"/>
              <w:spacing w:before="0" w:after="0"/>
              <w:jc w:val="center"/>
              <w:rPr>
                <w:b/>
                <w:color w:val="000000"/>
              </w:rPr>
            </w:pPr>
            <w:r>
              <w:rPr>
                <w:b/>
                <w:color w:val="000000"/>
              </w:rPr>
              <w:t>Signature of</w:t>
            </w:r>
          </w:p>
          <w:p>
            <w:pPr>
              <w:pStyle w:val="TableContents"/>
              <w:bidi w:val="0"/>
              <w:spacing w:before="0" w:after="0"/>
              <w:jc w:val="center"/>
              <w:rPr>
                <w:b/>
                <w:color w:val="000000"/>
              </w:rPr>
            </w:pPr>
            <w:r>
              <w:rPr>
                <w:b/>
                <w:color w:val="000000"/>
              </w:rPr>
              <w:t>authorized</w:t>
            </w:r>
          </w:p>
          <w:p>
            <w:pPr>
              <w:pStyle w:val="TableContents"/>
              <w:bidi w:val="0"/>
              <w:spacing w:before="0" w:after="0"/>
              <w:jc w:val="center"/>
              <w:rPr>
                <w:b/>
                <w:color w:val="000000"/>
              </w:rPr>
            </w:pPr>
            <w:r>
              <w:rPr>
                <w:b/>
                <w:color w:val="000000"/>
              </w:rPr>
              <w:t>officer of Trustee</w:t>
            </w:r>
          </w:p>
          <w:p>
            <w:pPr>
              <w:pStyle w:val="TableContents"/>
              <w:bidi w:val="0"/>
              <w:spacing w:before="0" w:after="0"/>
              <w:jc w:val="center"/>
              <w:rPr>
                <w:b/>
                <w:color w:val="000000"/>
              </w:rPr>
            </w:pPr>
            <w:r>
              <w:rPr>
                <w:b/>
                <w:color w:val="000000"/>
              </w:rPr>
              <w:t>or Custodian</w:t>
            </w:r>
          </w:p>
        </w:tc>
      </w:tr>
      <w:tr>
        <w:trPr/>
        <w:tc>
          <w:tcPr>
            <w:tcW w:w="1820" w:type="dxa"/>
            <w:tcBorders>
              <w:bottom w:val="single" w:sz="12" w:space="0" w:color="000000"/>
            </w:tcBorders>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1535" w:type="dxa"/>
            <w:tcBorders>
              <w:bottom w:val="single" w:sz="12" w:space="0" w:color="000000"/>
            </w:tcBorders>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1535" w:type="dxa"/>
            <w:tcBorders>
              <w:bottom w:val="single" w:sz="12" w:space="0" w:color="000000"/>
            </w:tcBorders>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1535" w:type="dxa"/>
            <w:tcBorders>
              <w:bottom w:val="single" w:sz="12" w:space="0" w:color="000000"/>
            </w:tcBorders>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1760" w:type="dxa"/>
            <w:tcBorders>
              <w:bottom w:val="single" w:sz="12" w:space="0" w:color="000000"/>
            </w:tcBorders>
            <w:vAlign w:val="center"/>
          </w:tcPr>
          <w:p>
            <w:pPr>
              <w:pStyle w:val="TableContents"/>
              <w:bidi w:val="0"/>
              <w:spacing w:before="0" w:after="283"/>
              <w:jc w:val="left"/>
              <w:rPr/>
            </w:pPr>
            <w:r>
              <w:rPr/>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3" w:name="za075773d3b594286a6fd257c8dd14aa7"/>
      <w:bookmarkStart w:id="94" w:name="za075773d3b594286a6fd257c8dd14aa7"/>
      <w:bookmarkEnd w:id="94"/>
    </w:p>
    <w:tbl>
      <w:tblPr>
        <w:tblW w:w="7150" w:type="dxa"/>
        <w:jc w:val="left"/>
        <w:tblInd w:w="0" w:type="dxa"/>
        <w:tblLayout w:type="fixed"/>
        <w:tblCellMar>
          <w:top w:w="0" w:type="dxa"/>
          <w:left w:w="0" w:type="dxa"/>
          <w:bottom w:w="0" w:type="dxa"/>
          <w:right w:w="0" w:type="dxa"/>
        </w:tblCellMar>
      </w:tblPr>
      <w:tblGrid>
        <w:gridCol w:w="155"/>
        <w:gridCol w:w="6995"/>
      </w:tblGrid>
      <w:tr>
        <w:trPr/>
        <w:tc>
          <w:tcPr>
            <w:tcW w:w="155" w:type="dxa"/>
            <w:tcBorders/>
            <w:vAlign w:val="center"/>
          </w:tcPr>
          <w:p>
            <w:pPr>
              <w:pStyle w:val="TableContents"/>
              <w:bidi w:val="0"/>
              <w:spacing w:before="0" w:after="0"/>
              <w:jc w:val="both"/>
              <w:rPr>
                <w:color w:val="000000"/>
              </w:rPr>
            </w:pPr>
            <w:r>
              <w:rPr>
                <w:color w:val="000000"/>
              </w:rPr>
              <w:t>*</w:t>
            </w:r>
          </w:p>
        </w:tc>
        <w:tc>
          <w:tcPr>
            <w:tcW w:w="6995" w:type="dxa"/>
            <w:tcBorders/>
            <w:vAlign w:val="center"/>
          </w:tcPr>
          <w:p>
            <w:pPr>
              <w:pStyle w:val="TableContents"/>
              <w:bidi w:val="0"/>
              <w:spacing w:before="0" w:after="0"/>
              <w:jc w:val="both"/>
              <w:rPr>
                <w:i/>
                <w:color w:val="000000"/>
              </w:rPr>
            </w:pPr>
            <w:r>
              <w:rPr>
                <w:i/>
                <w:color w:val="000000"/>
              </w:rPr>
              <w:t>This schedule should be included only if the Note is issued in global form.</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 - 11</w:t>
      </w:r>
    </w:p>
    <w:p>
      <w:pPr>
        <w:pStyle w:val="HorizontalLine"/>
        <w:pBdr>
          <w:bottom w:val="single" w:sz="12" w:space="0" w:color="808080"/>
        </w:pBdr>
        <w:bidi w:val="0"/>
        <w:spacing w:before="200" w:after="200"/>
        <w:jc w:val="left"/>
        <w:rPr/>
      </w:pPr>
      <w:r>
        <w:rPr/>
      </w:r>
    </w:p>
    <w:p>
      <w:pPr>
        <w:pStyle w:val="TextBody"/>
        <w:bidi w:val="0"/>
        <w:spacing w:before="0" w:after="0"/>
        <w:jc w:val="right"/>
        <w:rPr>
          <w:rFonts w:ascii="Times New Roman" w:hAnsi="Times New Roman"/>
          <w:b/>
          <w:color w:val="000000"/>
          <w:sz w:val="20"/>
        </w:rPr>
      </w:pPr>
      <w:bookmarkStart w:id="95" w:name="z_Ref_ContractCompanion_9kb9Ur048"/>
      <w:bookmarkEnd w:id="95"/>
      <w:r>
        <w:rPr>
          <w:rFonts w:ascii="Times New Roman" w:hAnsi="Times New Roman"/>
          <w:b/>
          <w:color w:val="000000"/>
          <w:sz w:val="20"/>
        </w:rPr>
        <w:t>Exhibit B</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[Face of Note]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Insert the Global Note Legend, if applicable pursuant to the provisions of the Indenture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Insert the Private Placement Legend, if applicable pursuant to the provisions of the Indenture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Insert the Regulation S Global Note Legend, if applicable pursuant to the provisions of the Indenture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lineRule="auto" w:line="240" w:before="0" w:after="0"/>
        <w:jc w:val="right"/>
        <w:rPr>
          <w:rFonts w:ascii="Times New Roman" w:hAnsi="Times New Roman"/>
          <w:color w:val="000000"/>
          <w:sz w:val="20"/>
        </w:rPr>
      </w:pPr>
      <w:r>
        <w:rPr>
          <w:rFonts w:ascii="Times New Roman" w:hAnsi="Times New Roman"/>
          <w:color w:val="000000"/>
          <w:sz w:val="20"/>
        </w:rPr>
        <w:t>CUSIP3: [●]</w:t>
      </w:r>
    </w:p>
    <w:p>
      <w:pPr>
        <w:pStyle w:val="TextBody"/>
        <w:bidi w:val="0"/>
        <w:spacing w:lineRule="auto" w:line="240" w:before="0" w:after="0"/>
        <w:jc w:val="right"/>
        <w:rPr>
          <w:rFonts w:ascii="Times New Roman" w:hAnsi="Times New Roman"/>
          <w:color w:val="000000"/>
          <w:sz w:val="20"/>
        </w:rPr>
      </w:pPr>
      <w:r>
        <w:rPr>
          <w:rFonts w:ascii="Times New Roman" w:hAnsi="Times New Roman"/>
          <w:color w:val="000000"/>
          <w:sz w:val="20"/>
        </w:rPr>
        <w:t>ISIN4: [●]</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5.421% NOTES DUE 2031</w:t>
      </w:r>
    </w:p>
    <w:p>
      <w:pPr>
        <w:pStyle w:val="TextBody"/>
        <w:bidi w:val="0"/>
        <w:spacing w:before="0" w:after="0"/>
        <w:jc w:val="left"/>
        <w:rPr>
          <w:color w:val="000000"/>
        </w:rPr>
      </w:pPr>
      <w:r>
        <w:rPr>
          <w:color w:val="000000"/>
        </w:rPr>
        <w:t xml:space="preserve">  </w:t>
      </w:r>
    </w:p>
    <w:p>
      <w:pPr>
        <w:pStyle w:val="Normal"/>
        <w:bidi w:val="0"/>
        <w:spacing w:before="0" w:after="0"/>
        <w:ind w:left="720" w:right="0" w:hanging="0"/>
        <w:jc w:val="left"/>
        <w:rPr>
          <w:sz w:val="4"/>
          <w:szCs w:val="4"/>
        </w:rPr>
      </w:pPr>
      <w:r>
        <w:rPr>
          <w:sz w:val="4"/>
          <w:szCs w:val="4"/>
        </w:rPr>
      </w:r>
      <w:bookmarkStart w:id="96" w:name="z50c6598ad68346cc8623112b5dd52e87"/>
      <w:bookmarkStart w:id="97" w:name="z50c6598ad68346cc8623112b5dd52e87"/>
      <w:bookmarkEnd w:id="97"/>
    </w:p>
    <w:tbl>
      <w:tblPr>
        <w:tblW w:w="589" w:type="dxa"/>
        <w:jc w:val="left"/>
        <w:tblInd w:w="720" w:type="dxa"/>
        <w:tblLayout w:type="fixed"/>
        <w:tblCellMar>
          <w:top w:w="0" w:type="dxa"/>
          <w:left w:w="0" w:type="dxa"/>
          <w:bottom w:w="0" w:type="dxa"/>
          <w:right w:w="0" w:type="dxa"/>
        </w:tblCellMar>
      </w:tblPr>
      <w:tblGrid>
        <w:gridCol w:w="380"/>
        <w:gridCol w:w="23"/>
        <w:gridCol w:w="23"/>
        <w:gridCol w:w="140"/>
        <w:gridCol w:w="23"/>
      </w:tblGrid>
      <w:tr>
        <w:trPr/>
        <w:tc>
          <w:tcPr>
            <w:tcW w:w="380" w:type="dxa"/>
            <w:tcBorders/>
            <w:vAlign w:val="center"/>
          </w:tcPr>
          <w:p>
            <w:pPr>
              <w:pStyle w:val="TableContents"/>
              <w:bidi w:val="0"/>
              <w:spacing w:before="0" w:after="283"/>
              <w:jc w:val="left"/>
              <w:rPr/>
            </w:pPr>
            <w:r>
              <w:rPr/>
              <w:t>No.</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0"/>
              <w:jc w:val="left"/>
              <w:rPr/>
            </w:pPr>
            <w:r>
              <w:rPr/>
            </w:r>
          </w:p>
        </w:tc>
        <w:tc>
          <w:tcPr>
            <w:tcW w:w="140" w:type="dxa"/>
            <w:tcBorders/>
            <w:vAlign w:val="center"/>
          </w:tcPr>
          <w:p>
            <w:pPr>
              <w:pStyle w:val="TableContents"/>
              <w:bidi w:val="0"/>
              <w:spacing w:before="0" w:after="283"/>
              <w:jc w:val="left"/>
              <w:rPr/>
            </w:pPr>
            <w:r>
              <w:rPr/>
              <w:t>$</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r>
    </w:tbl>
    <w:p>
      <w:pPr>
        <w:pStyle w:val="TextBody"/>
        <w:bidi w:val="0"/>
        <w:spacing w:before="0" w:after="0"/>
        <w:ind w:left="720" w:right="0" w:hanging="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ICON INVESTMENTS SIX DESIGNATED ACTIVITY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promises to pay to ____________ or registered assigns, the principal sum [set forth on the Schedule of Exchanges of Interests in the Global Note attached hereto] [__________________ DOLLARS] on August 13, 2031.</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Original Issue Date:  August 13, 2026.</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Interest Payment Dates:  February 13 and August 13.</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Record Dates:  February 1 and August 1.</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Interest Rate:  5.421%.</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Additional provisions of this Note are set forth on the other side of this Note.</w:t>
      </w:r>
    </w:p>
    <w:p>
      <w:pPr>
        <w:pStyle w:val="TextBody"/>
        <w:bidi w:val="0"/>
        <w:spacing w:before="0" w:after="0"/>
        <w:jc w:val="left"/>
        <w:rPr>
          <w:color w:val="000000"/>
        </w:rPr>
      </w:pPr>
      <w:r>
        <w:rPr>
          <w:color w:val="000000"/>
        </w:rPr>
        <w:t> </w:t>
      </w:r>
    </w:p>
    <w:p>
      <w:pPr>
        <w:pStyle w:val="HorizontalLine"/>
        <w:pBdr>
          <w:bottom w:val="single" w:sz="12" w:space="0" w:color="808080"/>
        </w:pBdr>
        <w:bidi w:val="0"/>
        <w:jc w:val="both"/>
        <w:rPr/>
      </w:pPr>
      <w:r>
        <w:rPr/>
      </w:r>
    </w:p>
    <w:p>
      <w:pPr>
        <w:pStyle w:val="TextBody"/>
        <w:bidi w:val="0"/>
        <w:spacing w:lineRule="auto" w:line="240" w:before="0" w:after="0"/>
        <w:ind w:left="357" w:right="0" w:hanging="357"/>
        <w:jc w:val="both"/>
        <w:rPr>
          <w:rFonts w:ascii="Times New Roman" w:hAnsi="Times New Roman"/>
          <w:color w:val="000000"/>
          <w:sz w:val="20"/>
        </w:rPr>
      </w:pPr>
      <w:r>
        <w:rPr>
          <w:rFonts w:ascii="Times New Roman" w:hAnsi="Times New Roman"/>
          <w:color w:val="000000"/>
          <w:sz w:val="20"/>
        </w:rPr>
        <w:t>3 CUSIPs: 45115A AF1 (Rule 144A) and G4712P AB4 (Regulation S).</w:t>
      </w:r>
    </w:p>
    <w:p>
      <w:pPr>
        <w:pStyle w:val="TextBody"/>
        <w:bidi w:val="0"/>
        <w:spacing w:lineRule="auto" w:line="240" w:before="0" w:after="0"/>
        <w:ind w:left="357" w:right="0" w:hanging="357"/>
        <w:jc w:val="both"/>
        <w:rPr>
          <w:rFonts w:ascii="Times New Roman" w:hAnsi="Times New Roman"/>
          <w:color w:val="000000"/>
          <w:sz w:val="20"/>
        </w:rPr>
      </w:pPr>
      <w:r>
        <w:rPr>
          <w:rFonts w:ascii="Times New Roman" w:hAnsi="Times New Roman"/>
          <w:color w:val="000000"/>
          <w:sz w:val="20"/>
        </w:rPr>
        <w:t>4 ISINs: US45115AAF12 (Rule 144A) and USG4712PAB43 (Regulation 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B - 1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98" w:name="z997de2bd18d447e2ac0a4d4067058b82"/>
      <w:bookmarkStart w:id="99" w:name="z997de2bd18d447e2ac0a4d4067058b82"/>
      <w:bookmarkEnd w:id="99"/>
    </w:p>
    <w:tbl>
      <w:tblPr>
        <w:tblW w:w="6972" w:type="dxa"/>
        <w:jc w:val="left"/>
        <w:tblInd w:w="0" w:type="dxa"/>
        <w:tblLayout w:type="fixed"/>
        <w:tblCellMar>
          <w:top w:w="0" w:type="dxa"/>
          <w:left w:w="0" w:type="dxa"/>
          <w:bottom w:w="0" w:type="dxa"/>
          <w:right w:w="0" w:type="dxa"/>
        </w:tblCellMar>
      </w:tblPr>
      <w:tblGrid>
        <w:gridCol w:w="6443"/>
        <w:gridCol w:w="251"/>
        <w:gridCol w:w="255"/>
        <w:gridCol w:w="23"/>
      </w:tblGrid>
      <w:tr>
        <w:trPr/>
        <w:tc>
          <w:tcPr>
            <w:tcW w:w="6443" w:type="dxa"/>
            <w:tcBorders/>
            <w:vAlign w:val="center"/>
          </w:tcPr>
          <w:p>
            <w:pPr>
              <w:pStyle w:val="TableContents"/>
              <w:bidi w:val="0"/>
              <w:spacing w:before="0" w:after="283"/>
              <w:jc w:val="left"/>
              <w:rPr/>
            </w:pPr>
            <w:r>
              <w:rPr/>
              <w:t>Dated:</w:t>
            </w:r>
          </w:p>
        </w:tc>
        <w:tc>
          <w:tcPr>
            <w:tcW w:w="251" w:type="dxa"/>
            <w:tcBorders>
              <w:bottom w:val="single" w:sz="12" w:space="0" w:color="000000"/>
            </w:tcBorders>
            <w:tcMar>
              <w:bottom w:w="28" w:type="dxa"/>
            </w:tcMar>
            <w:vAlign w:val="center"/>
          </w:tcPr>
          <w:p>
            <w:pPr>
              <w:pStyle w:val="TableContents"/>
              <w:bidi w:val="0"/>
              <w:spacing w:before="0" w:after="283"/>
              <w:jc w:val="left"/>
              <w:rPr/>
            </w:pPr>
            <w:r>
              <w:rPr/>
            </w:r>
          </w:p>
        </w:tc>
        <w:tc>
          <w:tcPr>
            <w:tcW w:w="25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6443" w:type="dxa"/>
            <w:tcBorders/>
            <w:vAlign w:val="center"/>
          </w:tcPr>
          <w:p>
            <w:pPr>
              <w:pStyle w:val="TableContents"/>
              <w:bidi w:val="0"/>
              <w:spacing w:before="0" w:after="283"/>
              <w:jc w:val="left"/>
              <w:rPr/>
            </w:pPr>
            <w:r>
              <w:rPr/>
            </w:r>
          </w:p>
        </w:tc>
        <w:tc>
          <w:tcPr>
            <w:tcW w:w="251" w:type="dxa"/>
            <w:tcBorders/>
            <w:vAlign w:val="center"/>
          </w:tcPr>
          <w:p>
            <w:pPr>
              <w:pStyle w:val="TableContents"/>
              <w:bidi w:val="0"/>
              <w:spacing w:before="0" w:after="283"/>
              <w:jc w:val="left"/>
              <w:rPr/>
            </w:pPr>
            <w:r>
              <w:rPr/>
            </w:r>
          </w:p>
        </w:tc>
        <w:tc>
          <w:tcPr>
            <w:tcW w:w="25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6949" w:type="dxa"/>
            <w:gridSpan w:val="3"/>
            <w:tcBorders/>
            <w:vAlign w:val="center"/>
          </w:tcPr>
          <w:p>
            <w:pPr>
              <w:pStyle w:val="TableContents"/>
              <w:bidi w:val="0"/>
              <w:spacing w:before="0" w:after="0"/>
              <w:jc w:val="both"/>
              <w:rPr>
                <w:color w:val="000000"/>
              </w:rPr>
            </w:pPr>
            <w:r>
              <w:rPr>
                <w:color w:val="000000"/>
              </w:rPr>
              <w:t>ICON INVESTMENTS SIX DESIGNATED ACTIVITY COMPANY</w:t>
            </w:r>
          </w:p>
        </w:tc>
        <w:tc>
          <w:tcPr>
            <w:tcW w:w="23" w:type="dxa"/>
            <w:tcBorders/>
            <w:vAlign w:val="center"/>
          </w:tcPr>
          <w:p>
            <w:pPr>
              <w:pStyle w:val="TableContents"/>
              <w:bidi w:val="0"/>
              <w:spacing w:before="0" w:after="283"/>
              <w:jc w:val="left"/>
              <w:rPr/>
            </w:pPr>
            <w:r>
              <w:rPr/>
            </w:r>
          </w:p>
        </w:tc>
      </w:tr>
      <w:tr>
        <w:trPr/>
        <w:tc>
          <w:tcPr>
            <w:tcW w:w="6443" w:type="dxa"/>
            <w:tcBorders/>
            <w:vAlign w:val="center"/>
          </w:tcPr>
          <w:p>
            <w:pPr>
              <w:pStyle w:val="TableContents"/>
              <w:bidi w:val="0"/>
              <w:spacing w:before="0" w:after="283"/>
              <w:jc w:val="left"/>
              <w:rPr/>
            </w:pPr>
            <w:r>
              <w:rPr/>
            </w:r>
          </w:p>
        </w:tc>
        <w:tc>
          <w:tcPr>
            <w:tcW w:w="251" w:type="dxa"/>
            <w:tcBorders/>
            <w:vAlign w:val="center"/>
          </w:tcPr>
          <w:p>
            <w:pPr>
              <w:pStyle w:val="TableContents"/>
              <w:bidi w:val="0"/>
              <w:spacing w:before="0" w:after="283"/>
              <w:jc w:val="left"/>
              <w:rPr/>
            </w:pPr>
            <w:r>
              <w:rPr/>
            </w:r>
          </w:p>
        </w:tc>
        <w:tc>
          <w:tcPr>
            <w:tcW w:w="25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bl>
    <w:p>
      <w:pPr>
        <w:pStyle w:val="Normal"/>
        <w:bidi w:val="0"/>
        <w:spacing w:before="0" w:after="0"/>
        <w:jc w:val="left"/>
        <w:rPr>
          <w:sz w:val="4"/>
          <w:szCs w:val="4"/>
        </w:rPr>
      </w:pPr>
      <w:r>
        <w:rPr>
          <w:sz w:val="4"/>
          <w:szCs w:val="4"/>
        </w:rPr>
      </w:r>
      <w:bookmarkStart w:id="100" w:name="zcb5c934f2c31425e94dddd27be25014d"/>
      <w:bookmarkStart w:id="101" w:name="zcb5c934f2c31425e94dddd27be25014d"/>
      <w:bookmarkEnd w:id="101"/>
    </w:p>
    <w:tbl>
      <w:tblPr>
        <w:tblW w:w="1061" w:type="dxa"/>
        <w:jc w:val="left"/>
        <w:tblInd w:w="0" w:type="dxa"/>
        <w:tblLayout w:type="fixed"/>
        <w:tblCellMar>
          <w:top w:w="0" w:type="dxa"/>
          <w:left w:w="0" w:type="dxa"/>
          <w:bottom w:w="0" w:type="dxa"/>
          <w:right w:w="0" w:type="dxa"/>
        </w:tblCellMar>
      </w:tblPr>
      <w:tblGrid>
        <w:gridCol w:w="365"/>
        <w:gridCol w:w="650"/>
        <w:gridCol w:w="23"/>
        <w:gridCol w:w="23"/>
      </w:tblGrid>
      <w:tr>
        <w:trPr/>
        <w:tc>
          <w:tcPr>
            <w:tcW w:w="365" w:type="dxa"/>
            <w:tcBorders/>
            <w:vAlign w:val="center"/>
          </w:tcPr>
          <w:p>
            <w:pPr>
              <w:pStyle w:val="TableContents"/>
              <w:bidi w:val="0"/>
              <w:spacing w:before="0" w:after="283"/>
              <w:jc w:val="left"/>
              <w:rPr>
                <w:color w:val="000000"/>
              </w:rPr>
            </w:pPr>
            <w:r>
              <w:rPr>
                <w:color w:val="000000"/>
              </w:rPr>
              <w:t>By:</w:t>
            </w:r>
          </w:p>
        </w:tc>
        <w:tc>
          <w:tcPr>
            <w:tcW w:w="650"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365" w:type="dxa"/>
            <w:tcBorders/>
            <w:vAlign w:val="center"/>
          </w:tcPr>
          <w:p>
            <w:pPr>
              <w:pStyle w:val="TableContents"/>
              <w:bidi w:val="0"/>
              <w:spacing w:before="0" w:after="283"/>
              <w:jc w:val="left"/>
              <w:rPr/>
            </w:pPr>
            <w:r>
              <w:rPr/>
            </w:r>
          </w:p>
        </w:tc>
        <w:tc>
          <w:tcPr>
            <w:tcW w:w="650" w:type="dxa"/>
            <w:tcBorders/>
            <w:vAlign w:val="center"/>
          </w:tcPr>
          <w:p>
            <w:pPr>
              <w:pStyle w:val="TableContents"/>
              <w:bidi w:val="0"/>
              <w:spacing w:before="0" w:after="283"/>
              <w:jc w:val="left"/>
              <w:rPr/>
            </w:pPr>
            <w:r>
              <w:rPr/>
              <w:t>Name:</w:t>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365" w:type="dxa"/>
            <w:tcBorders/>
            <w:vAlign w:val="center"/>
          </w:tcPr>
          <w:p>
            <w:pPr>
              <w:pStyle w:val="TableContents"/>
              <w:bidi w:val="0"/>
              <w:spacing w:before="0" w:after="283"/>
              <w:jc w:val="left"/>
              <w:rPr/>
            </w:pPr>
            <w:r>
              <w:rPr/>
            </w:r>
          </w:p>
        </w:tc>
        <w:tc>
          <w:tcPr>
            <w:tcW w:w="650" w:type="dxa"/>
            <w:tcBorders/>
            <w:vAlign w:val="center"/>
          </w:tcPr>
          <w:p>
            <w:pPr>
              <w:pStyle w:val="TableContents"/>
              <w:bidi w:val="0"/>
              <w:spacing w:before="0" w:after="283"/>
              <w:jc w:val="left"/>
              <w:rPr/>
            </w:pPr>
            <w:r>
              <w:rPr/>
              <w:t>Title:</w:t>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bl>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[Signature Page to 5.421% Note due 2031]</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B - 2</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TRUSTEE’S CERTIFICATE OF AUTHENTICATION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is one of the Notes referred to</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the within-mentioned Indenture: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2" w:name="z15f4d5361e6b40aebb4877088e62118c"/>
      <w:bookmarkStart w:id="103" w:name="z15f4d5361e6b40aebb4877088e62118c"/>
      <w:bookmarkEnd w:id="103"/>
    </w:p>
    <w:tbl>
      <w:tblPr>
        <w:tblW w:w="2105" w:type="dxa"/>
        <w:jc w:val="left"/>
        <w:tblInd w:w="0" w:type="dxa"/>
        <w:tblLayout w:type="fixed"/>
        <w:tblCellMar>
          <w:top w:w="0" w:type="dxa"/>
          <w:left w:w="0" w:type="dxa"/>
          <w:bottom w:w="0" w:type="dxa"/>
          <w:right w:w="0" w:type="dxa"/>
        </w:tblCellMar>
      </w:tblPr>
      <w:tblGrid>
        <w:gridCol w:w="1915"/>
        <w:gridCol w:w="144"/>
        <w:gridCol w:w="23"/>
        <w:gridCol w:w="23"/>
      </w:tblGrid>
      <w:tr>
        <w:trPr/>
        <w:tc>
          <w:tcPr>
            <w:tcW w:w="2059" w:type="dxa"/>
            <w:gridSpan w:val="2"/>
            <w:tcBorders/>
            <w:vAlign w:val="center"/>
          </w:tcPr>
          <w:p>
            <w:pPr>
              <w:pStyle w:val="TableContents"/>
              <w:bidi w:val="0"/>
              <w:spacing w:before="0" w:after="0"/>
              <w:jc w:val="left"/>
              <w:rPr>
                <w:color w:val="000000"/>
              </w:rPr>
            </w:pPr>
            <w:r>
              <w:rPr>
                <w:color w:val="000000"/>
              </w:rPr>
              <w:t>CITIBANK, N.A.,</w:t>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2059" w:type="dxa"/>
            <w:gridSpan w:val="2"/>
            <w:tcBorders/>
            <w:vAlign w:val="center"/>
          </w:tcPr>
          <w:p>
            <w:pPr>
              <w:pStyle w:val="TableContents"/>
              <w:bidi w:val="0"/>
              <w:spacing w:before="0" w:after="0"/>
              <w:jc w:val="left"/>
              <w:rPr>
                <w:color w:val="000000"/>
              </w:rPr>
            </w:pPr>
            <w:r>
              <w:rPr>
                <w:color w:val="000000"/>
              </w:rPr>
              <w:t>as Trustee</w:t>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2059" w:type="dxa"/>
            <w:gridSpan w:val="2"/>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1915" w:type="dxa"/>
            <w:tcBorders/>
            <w:vAlign w:val="center"/>
          </w:tcPr>
          <w:p>
            <w:pPr>
              <w:pStyle w:val="TableContents"/>
              <w:bidi w:val="0"/>
              <w:spacing w:before="0" w:after="283"/>
              <w:jc w:val="left"/>
              <w:rPr>
                <w:color w:val="000000"/>
              </w:rPr>
            </w:pPr>
            <w:r>
              <w:rPr>
                <w:color w:val="000000"/>
              </w:rPr>
              <w:t>By:</w:t>
            </w:r>
          </w:p>
        </w:tc>
        <w:tc>
          <w:tcPr>
            <w:tcW w:w="144"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2059" w:type="dxa"/>
            <w:gridSpan w:val="2"/>
            <w:tcBorders/>
            <w:vAlign w:val="center"/>
          </w:tcPr>
          <w:p>
            <w:pPr>
              <w:pStyle w:val="TableContents"/>
              <w:bidi w:val="0"/>
              <w:spacing w:before="0" w:after="0"/>
              <w:jc w:val="center"/>
              <w:rPr>
                <w:color w:val="000000"/>
              </w:rPr>
            </w:pPr>
            <w:r>
              <w:rPr>
                <w:color w:val="000000"/>
              </w:rPr>
              <w:t>Authorized Signatory</w:t>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[Signature Page to 5.421% Note due 2031]</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B - 3</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 of Reverse Side of Initial Note]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5.421% Notes due 2031 (the “</w:t>
      </w:r>
      <w:r>
        <w:rPr>
          <w:rFonts w:ascii="Times New Roman" w:hAnsi="Times New Roman"/>
          <w:i/>
          <w:color w:val="000000"/>
          <w:sz w:val="20"/>
        </w:rPr>
        <w:t>Notes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Capitalized terms used herein have the meanings assigned to them in the Indenture referred to below unless otherwise indicated.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          </w:t>
      </w:r>
      <w:r>
        <w:rPr>
          <w:rFonts w:ascii="Times New Roman" w:hAnsi="Times New Roman"/>
          <w:i/>
          <w:color w:val="000000"/>
          <w:sz w:val="20"/>
        </w:rPr>
        <w:t>INTEREST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 promises to pay interest semi-annually in arrears February 13 and August 13 of each year, or if any such day is not a Business Day, on the next succeeding Business Day (each, an “</w:t>
      </w:r>
      <w:r>
        <w:rPr>
          <w:rFonts w:ascii="Times New Roman" w:hAnsi="Times New Roman"/>
          <w:i/>
          <w:color w:val="000000"/>
          <w:sz w:val="20"/>
        </w:rPr>
        <w:t>Interest Payment Date</w:t>
      </w:r>
      <w:r>
        <w:rPr>
          <w:rFonts w:ascii="Times New Roman" w:hAnsi="Times New Roman"/>
          <w:color w:val="000000"/>
          <w:sz w:val="20"/>
        </w:rPr>
        <w:t xml:space="preserve">”).  Interest on the Notes (computed on the basis of a 360-day year consisting of twelve 30-day months) will accrue from the most recent date to which interest has been paid or, if no interest has been paid, from the Original Issue Date (shown on the face of this Note) until maturity at a rate per annum equal to 5.421%; </w:t>
      </w:r>
      <w:r>
        <w:rPr>
          <w:rFonts w:ascii="Times New Roman" w:hAnsi="Times New Roman"/>
          <w:i/>
          <w:color w:val="000000"/>
          <w:sz w:val="20"/>
        </w:rPr>
        <w:t>provided</w:t>
      </w:r>
      <w:r>
        <w:rPr>
          <w:rFonts w:ascii="Times New Roman" w:hAnsi="Times New Roman"/>
          <w:color w:val="000000"/>
          <w:sz w:val="20"/>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Times New Roman" w:hAnsi="Times New Roman"/>
          <w:i/>
          <w:color w:val="000000"/>
          <w:sz w:val="20"/>
        </w:rPr>
        <w:t>provided further</w:t>
      </w:r>
      <w:r>
        <w:rPr>
          <w:rFonts w:ascii="Times New Roman" w:hAnsi="Times New Roman"/>
          <w:color w:val="000000"/>
          <w:sz w:val="20"/>
        </w:rPr>
        <w:t xml:space="preserve"> that the first Interest Payment Date shall be February 13, 2027.  If an interest payment date or the maturity date falls on a day that is not a Business Day, the related payment of principal or interest will be made on the next succeeding Business Day as if made on the date the payment was due, and no interest shall accrue for the intervening period.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(2)          </w:t>
      </w:r>
      <w:r>
        <w:rPr>
          <w:rFonts w:ascii="Times New Roman" w:hAnsi="Times New Roman"/>
          <w:i/>
          <w:color w:val="000000"/>
          <w:sz w:val="20"/>
        </w:rPr>
        <w:t>METHOD OF PAYMENT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The Issuer will pay interest on the Notes (except defaulted interest) to the Persons who are registered Holders of Notes at the close of business on the February 1 or August 1 next preceding the Interest Payment Date, even if such Notes are cancelled after such record date and on or before such Interest Payment Date, except as provided in Section 2.14 of the Base Indenture with respect to defaulted interest.  The Notes will be payable as to principal, premium, if any, and interest at the office or agency of the Paying Agent maintained for such purpose within the City and State of New York, or, at the option of the Issuer, payment of interest may be made by check mailed to the Holders at their addresses set forth in the books and records of the Registrar; </w:t>
      </w:r>
      <w:r>
        <w:rPr>
          <w:rFonts w:ascii="Times New Roman" w:hAnsi="Times New Roman"/>
          <w:i/>
          <w:color w:val="000000"/>
          <w:sz w:val="20"/>
        </w:rPr>
        <w:t>provided</w:t>
      </w:r>
      <w:r>
        <w:rPr>
          <w:rFonts w:ascii="Times New Roman" w:hAnsi="Times New Roman"/>
          <w:color w:val="000000"/>
          <w:sz w:val="20"/>
        </w:rPr>
        <w:t xml:space="preserve"> that payment by wire transfer of immediately available funds will be required with respect to principal of and interest and premium, if any, on, all Global Notes and all other Notes the Holders of which will have provided wire transfer instructions to the Issuer or the Paying Agent.  Such payment will be in such money of the United States of America as at the time of payment is legal tender for payment of public and private debts.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(3)          </w:t>
      </w:r>
      <w:r>
        <w:rPr>
          <w:rFonts w:ascii="Times New Roman" w:hAnsi="Times New Roman"/>
          <w:i/>
          <w:color w:val="000000"/>
          <w:sz w:val="20"/>
        </w:rPr>
        <w:t>PAYING AGENT AND REGISTRAR</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Initially, Citibank, N.A., the Trustee under the Indenture, will act as Paying Agent and Registrar.  The Issuer may change any Paying Agent or Registrar without notice to any Holder.  The Issuer or any of its Subsidiaries may act in any such capacity.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(4)          </w:t>
      </w:r>
      <w:r>
        <w:rPr>
          <w:rFonts w:ascii="Times New Roman" w:hAnsi="Times New Roman"/>
          <w:i/>
          <w:color w:val="000000"/>
          <w:sz w:val="20"/>
        </w:rPr>
        <w:t>INDENTURE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 issued the Notes pursuant to an Indenture, dated as of August 13, 2026 (the “</w:t>
      </w:r>
      <w:r>
        <w:rPr>
          <w:rFonts w:ascii="Times New Roman" w:hAnsi="Times New Roman"/>
          <w:i/>
          <w:color w:val="000000"/>
          <w:sz w:val="20"/>
        </w:rPr>
        <w:t>Base Indenture</w:t>
      </w:r>
      <w:r>
        <w:rPr>
          <w:rFonts w:ascii="Times New Roman" w:hAnsi="Times New Roman"/>
          <w:color w:val="000000"/>
          <w:sz w:val="20"/>
        </w:rPr>
        <w:t>”), among the Issuer, Parent and the Trustee, as amended and supplemented with respect to the Notes by the First Supplemental Indenture, dated as of August 13, 2026 (the “</w:t>
      </w:r>
      <w:r>
        <w:rPr>
          <w:rFonts w:ascii="Times New Roman" w:hAnsi="Times New Roman"/>
          <w:i/>
          <w:color w:val="000000"/>
          <w:sz w:val="20"/>
        </w:rPr>
        <w:t>First Supplemental Indenture</w:t>
      </w:r>
      <w:r>
        <w:rPr>
          <w:rFonts w:ascii="Times New Roman" w:hAnsi="Times New Roman"/>
          <w:color w:val="000000"/>
          <w:sz w:val="20"/>
        </w:rPr>
        <w:t>”; the Base Indenture, as amended and supplemented with respect to the Notes by the First Supplemental Indenture, the “</w:t>
      </w:r>
      <w:r>
        <w:rPr>
          <w:rFonts w:ascii="Times New Roman" w:hAnsi="Times New Roman"/>
          <w:i/>
          <w:color w:val="000000"/>
          <w:sz w:val="20"/>
        </w:rPr>
        <w:t>Indenture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terms of the Notes include those stated in the Indenture and those made part of the Indenture by reference to the Trust Indenture Act.  The Notes are subject to all such terms, and Holders are referred to the Indenture and to the Trust Indenture Act for a statement of such terms.  To the extent any provision of this Note conflicts with the express provisions of the Indenture, the provisions of the Indenture shall govern and be controlling.  The Notes are senior unsecured obligations of the Issuer.  The Indenture does not limit the aggregate principal amount of Notes that may be issued thereunder.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B - 4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Issuer’s obligations under the Notes are unconditionally guaranteed on a senior unsecured basis, to the extent set forth in the Indenture, by the Parent.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(5)          </w:t>
      </w:r>
      <w:r>
        <w:rPr>
          <w:rFonts w:ascii="Times New Roman" w:hAnsi="Times New Roman"/>
          <w:i/>
          <w:color w:val="000000"/>
          <w:sz w:val="20"/>
        </w:rPr>
        <w:t>OPTIONAL REDEMPTION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Prior to July 13, 2031 (the “</w:t>
      </w:r>
      <w:r>
        <w:rPr>
          <w:rFonts w:ascii="Times New Roman" w:hAnsi="Times New Roman"/>
          <w:i/>
          <w:color w:val="000000"/>
          <w:sz w:val="20"/>
        </w:rPr>
        <w:t>Par Call Date</w:t>
      </w:r>
      <w:r>
        <w:rPr>
          <w:rFonts w:ascii="Times New Roman" w:hAnsi="Times New Roman"/>
          <w:color w:val="000000"/>
          <w:sz w:val="20"/>
        </w:rPr>
        <w:t>”), the Issuer may redeem the Notes at its option, in whole or in part, at any time and from time to time, at a redemption price (expressed as a percentage of principal amount and rounded to three decimal places) equal to the greater of:</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          the sum of the present values of the remaining scheduled payments of principal and interest thereon discounted to the redemption date (assuming that such Notes matured on the Par Call Date) on a semi-annual basis (assuming a 360-day year consisting of twelve 30-day months) at the applicable Treasury Rate (as defined below) plus 20 basis points, less unpaid interest accrued to the date of redemption (any excess of the amount described in this bullet point over the amount described in the immediately succeeding bullet point, the “</w:t>
      </w:r>
      <w:r>
        <w:rPr>
          <w:rFonts w:ascii="Times New Roman" w:hAnsi="Times New Roman"/>
          <w:i/>
          <w:color w:val="000000"/>
          <w:sz w:val="20"/>
        </w:rPr>
        <w:t>Applicable Premium</w:t>
      </w:r>
      <w:r>
        <w:rPr>
          <w:rFonts w:ascii="Times New Roman" w:hAnsi="Times New Roman"/>
          <w:color w:val="000000"/>
          <w:sz w:val="20"/>
        </w:rPr>
        <w:t>”); and</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(b)          100% of the principal amount of the Notes to be redeemed,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plus, in either case, accrued and unpaid interest thereon to the redemption date, as calculated by the Issuer, which the Trustee shall not be required to review, investigate or verify.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On or after the Par Call Date, the Issuer may redeem the Notes, in whole or in part, at any time or from time to time, at a redemption price equal to 100% of the principal amount of the Notes being redeemed plus accrued and unpaid interest thereon to, but not including, the redemption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Treasury Rate</w:t>
      </w:r>
      <w:r>
        <w:rPr>
          <w:rFonts w:ascii="Times New Roman" w:hAnsi="Times New Roman"/>
          <w:color w:val="000000"/>
          <w:sz w:val="20"/>
        </w:rPr>
        <w:t>” means, with respect to any redemption date, the yield determined by the Issuer in accordance with the following two paragraphs.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Issuer shall select, as applicable:  (1) the yield for the Treasury constant maturity on H.15 exactly equal to the period from the redemption date to the Par Call Date (the “</w:t>
      </w:r>
      <w:r>
        <w:rPr>
          <w:rFonts w:ascii="Times New Roman" w:hAnsi="Times New Roman"/>
          <w:i/>
          <w:color w:val="000000"/>
          <w:sz w:val="20"/>
        </w:rPr>
        <w:t>Remaining Life</w:t>
      </w:r>
      <w:r>
        <w:rPr>
          <w:rFonts w:ascii="Times New Roman" w:hAnsi="Times New Roman"/>
          <w:color w:val="000000"/>
          <w:sz w:val="20"/>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B - 5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Issuer’s actions and determinations in determining the redemption price shall be conclusive and binding for all purposes, absent manifest error.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Notice of any redemption will be mailed or electronically delivered (or otherwise transmitted in accordance with the depositary’s procedures) at least 10 days but not more than 60 days before the redemption date to each holder of Notes to be redeemed. Any notice to the holders of the Notes of such redemption must include the appropriate calculation of the redemption price, but need not include the redemption price itself.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Trustee shall have no responsibility for calculating the redemption price for the Notes.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Unless the Issuer defaults in the payment of the redemption price, on and after its redemption date, interest will cease to accrue on the Notes or portions thereof called for redemption.  At or before 10:00 a.m. (New York time) on the redemption date, the Issuer will deposit with the Trustee or a paying agent money sufficient to pay the redemption price of and accrued interest on the Notes to be redeemed on such date.  If less than all of the Notes are to be redeemed, the Notes to be redeemed shall be selected in accordance with the procedures of DTC.</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(6)          </w:t>
      </w:r>
      <w:r>
        <w:rPr>
          <w:rFonts w:ascii="Times New Roman" w:hAnsi="Times New Roman"/>
          <w:i/>
          <w:color w:val="000000"/>
          <w:sz w:val="20"/>
        </w:rPr>
        <w:t>MANDATORY REDEMPTION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 is not required to make mandatory redemption or sinking fund payments with respect to the Notes.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(7)          </w:t>
      </w:r>
      <w:r>
        <w:rPr>
          <w:rFonts w:ascii="Times New Roman" w:hAnsi="Times New Roman"/>
          <w:i/>
          <w:color w:val="000000"/>
          <w:sz w:val="20"/>
        </w:rPr>
        <w:t>NOTICE OF REDEMPTION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Notice of redemption will be sent at least 10 days but not more than 60 days before the redemption date to each Holder whose Notes are to be redeemed, except that redemption notices may be sent or mailed more than 60 days prior to a redemption date if the notice is issued in connection with a defeasance of the Notes or a satisfaction and discharge of the Indenture.  Notes in denominations larger than $200,000 may be redeemed in part but only in whole multiples of $1,000, unless all of the Notes held by a Holder are to be redeemed.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B - 6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(8)          </w:t>
      </w:r>
      <w:r>
        <w:rPr>
          <w:rFonts w:ascii="Times New Roman" w:hAnsi="Times New Roman"/>
          <w:i/>
          <w:color w:val="000000"/>
          <w:sz w:val="20"/>
        </w:rPr>
        <w:t>REPURCHASE AT THE OPTION OF HOLDER</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a Change of Control Triggering Event occurs, unless the Issuer has previously or concurrently delivered a redemption notice with respect to all the outstanding Notes pursuant to Section 3.01 of the First Supplemental Indenture, within 30 days following such Change of Control Triggering Event, the Issuer will make a Change of Control Offer on the terms set forth in the Indenture and in compliance with Section 3.05 of the First Supplemental Indenture.  In the Change of Control Offer, the Issuer will offer to purchase all of the Notes at a purchase price in cash equal to 101% of the aggregate principal amount of Notes repurchased, plus accrued and unpaid interest on the Notes repurchased to, but not including, the date of purchase (subject to the rights of Holders of Notes on the relevant record date to receive interest due on the relevant interest payment date if the Notes have not been redeemed or repurchased prior to such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(9)          </w:t>
      </w:r>
      <w:r>
        <w:rPr>
          <w:rFonts w:ascii="Times New Roman" w:hAnsi="Times New Roman"/>
          <w:i/>
          <w:color w:val="000000"/>
          <w:sz w:val="20"/>
        </w:rPr>
        <w:t>DENOMINATIONS, TRANSFER, EXCHANGE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Notes are in registered form without coupons in minimum denominations of $200,000 and integral multiples of $1,000.  The transfer of Notes may be registered and Notes may be exchanged as provided in the Indenture.  The Registrar and the Trustee may require a Holder, among other things, to furnish appropriate endorsements and transfer documents and the Issuer may require a Holder to pay any taxes and fees required by law or permitted by the Indenture.  The Issuer need not exchange or register the transfer or exchange of any Note or portion of a Note selected for redemption, except for the unredeemed portion of any Note being redeemed in part.  Also, the Issuer need not exchange or register the transfer of any Notes (i) for a period beginning at the opening of business 15 days immediately preceding the sending of notice of redemption of Notes selected for redemption and ending at the close of business on the day such notice is sent or (ii) during the period between a record date and the corresponding Interest Payment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(10)        </w:t>
      </w:r>
      <w:r>
        <w:rPr>
          <w:rFonts w:ascii="Times New Roman" w:hAnsi="Times New Roman"/>
          <w:i/>
          <w:color w:val="000000"/>
          <w:sz w:val="20"/>
        </w:rPr>
        <w:t>PERSONS DEEMED OWNERS</w:t>
      </w:r>
      <w:r>
        <w:rPr>
          <w:rFonts w:ascii="Times New Roman" w:hAnsi="Times New Roman"/>
          <w:color w:val="000000"/>
          <w:sz w:val="20"/>
        </w:rPr>
        <w:t>.  The registered Holder of a Note may be treated as its owner for all purposes.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(11)        </w:t>
      </w:r>
      <w:r>
        <w:rPr>
          <w:rFonts w:ascii="Times New Roman" w:hAnsi="Times New Roman"/>
          <w:i/>
          <w:color w:val="000000"/>
          <w:sz w:val="20"/>
        </w:rPr>
        <w:t>AMENDMENT, SUPPLEMENT AND WAIVER</w:t>
      </w:r>
      <w:r>
        <w:rPr>
          <w:rFonts w:ascii="Times New Roman" w:hAnsi="Times New Roman"/>
          <w:color w:val="000000"/>
          <w:sz w:val="20"/>
        </w:rPr>
        <w:t>.  The Indenture, the Notes and the Parent Guarantee may be amended, supplemented or waived as provided in the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(12)       </w:t>
      </w:r>
      <w:r>
        <w:rPr>
          <w:rFonts w:ascii="Times New Roman" w:hAnsi="Times New Roman"/>
          <w:i/>
          <w:color w:val="000000"/>
          <w:sz w:val="20"/>
        </w:rPr>
        <w:t>DEFAULTS AND REMEDIES</w:t>
      </w:r>
      <w:r>
        <w:rPr>
          <w:rFonts w:ascii="Times New Roman" w:hAnsi="Times New Roman"/>
          <w:color w:val="000000"/>
          <w:sz w:val="20"/>
        </w:rPr>
        <w:t>.  If there is a continuing Event of Default (other than an Event of Default specified in Sections 6.01(6) and 6.01(7) of the Indenture with respect to the Parent or the Issuer) with respect to the Notes, either the Trustee or the Holders of at least 25% of the outstanding principal amount of such Notes affected thereby may declare the principal amount of all of such Notes to be due and payable immediately.  However, at any time after the Trustee or the Holders, as the case may be, declare an acceleration with respect to any such Notes, but before the applicable person has obtained a judgment or decree based on such acceleration, the Holders of a majority in principal amount of the outstanding Notes may, under certain conditions, cancel such acceleration if the Parent has cured all Events of Default (other than the nonpayment of accelerated principal) with respect to the Notes or all such Events of Default have been waived as provided in the Indenture.  If an Event of Default specified in Sections 6.01(6) and 6.01(7) of the First Supplemental Indenture with respect to the Parent or the Issuer occurs, all outstanding Notes shall become due and payable without any further action or notice.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(13)       </w:t>
      </w:r>
      <w:r>
        <w:rPr>
          <w:rFonts w:ascii="Times New Roman" w:hAnsi="Times New Roman"/>
          <w:i/>
          <w:color w:val="000000"/>
          <w:sz w:val="20"/>
        </w:rPr>
        <w:t>TRUSTEE DEALINGS WITH ISSUER</w:t>
      </w:r>
      <w:r>
        <w:rPr>
          <w:rFonts w:ascii="Times New Roman" w:hAnsi="Times New Roman"/>
          <w:color w:val="000000"/>
          <w:sz w:val="20"/>
        </w:rPr>
        <w:t>.  The Trustee, in its individual or any other capacity, may make loans to, accept deposits from, and perform services for the Issuer or its respective Affiliates, and may otherwise deal with the Issuer or its respective Affiliates, as if it were not the Trustee.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(14)        </w:t>
      </w:r>
      <w:r>
        <w:rPr>
          <w:rFonts w:ascii="Times New Roman" w:hAnsi="Times New Roman"/>
          <w:i/>
          <w:color w:val="000000"/>
          <w:sz w:val="20"/>
        </w:rPr>
        <w:t>NO RECOURSE AGAINST OTHERS</w:t>
      </w:r>
      <w:r>
        <w:rPr>
          <w:rFonts w:ascii="Times New Roman" w:hAnsi="Times New Roman"/>
          <w:color w:val="000000"/>
          <w:sz w:val="20"/>
        </w:rPr>
        <w:t>.  No past, present or future director, officer, member, manager, partner, employee, incorporator or stockholder of the Issuer or the Parent, as such, will have any liability for any obligations of the Issuer or the Parent under the Notes, the Indenture, the Parent Guarantee or for any claim based on, in respect of, or by reason of, such obligations or their creation.  Each Holder by accepting a Note waives and releases all such liability.  The waiver and release are part of the consideration for the issuance of the Notes.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(15)        </w:t>
      </w:r>
      <w:r>
        <w:rPr>
          <w:rFonts w:ascii="Times New Roman" w:hAnsi="Times New Roman"/>
          <w:i/>
          <w:color w:val="000000"/>
          <w:sz w:val="20"/>
        </w:rPr>
        <w:t>AUTHENTICATION</w:t>
      </w:r>
      <w:r>
        <w:rPr>
          <w:rFonts w:ascii="Times New Roman" w:hAnsi="Times New Roman"/>
          <w:color w:val="000000"/>
          <w:sz w:val="20"/>
        </w:rPr>
        <w:t>.  This Note will not be valid until authenticated by the manual, facsimile or electronic (including PDF) signature of the Trustee or an authenticating agent.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B - 7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(16)        ABBREVIATIONS.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(17)       </w:t>
      </w:r>
      <w:r>
        <w:rPr>
          <w:rFonts w:ascii="Times New Roman" w:hAnsi="Times New Roman"/>
          <w:i/>
          <w:color w:val="000000"/>
          <w:sz w:val="20"/>
        </w:rPr>
        <w:t>CUSIP NUMBERS</w:t>
      </w:r>
      <w:r>
        <w:rPr>
          <w:rFonts w:ascii="Times New Roman" w:hAnsi="Times New Roman"/>
          <w:color w:val="000000"/>
          <w:sz w:val="20"/>
        </w:rPr>
        <w:t>.  Pursuant to a recommendation promulgated by the Committee on Uniform Security Identification Procedures, the 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  No redemption will be affected by any defect in or omission of such numbers.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(18)      </w:t>
      </w:r>
      <w:r>
        <w:rPr>
          <w:rFonts w:ascii="Times New Roman" w:hAnsi="Times New Roman"/>
          <w:i/>
          <w:color w:val="000000"/>
          <w:sz w:val="20"/>
        </w:rPr>
        <w:t>GOVERNING LAW</w:t>
      </w:r>
      <w:r>
        <w:rPr>
          <w:rFonts w:ascii="Times New Roman" w:hAnsi="Times New Roman"/>
          <w:color w:val="000000"/>
          <w:sz w:val="20"/>
        </w:rPr>
        <w:t>.  THE INDENTURE, THIS NOTE AND THE PARENT GUARANTEE SHALL BE GOVERNED BY, AND CONSTRUED IN ACCORDANCE WITH THE LAWS OF THE STATE OF NEW YORK WITHOUT REGARD TO THE CONFLICT OF LAWS PROVISIONS THEREOF.  EACH OF THE ISSUER, THE TRUSTEE AND THE PARENT HEREBY IRREVOCABLY WAIVES, TO THE FULLEST EXTENT PERMITTED BY APPLICABLE LAW, ANY AND ALL RIGHT TO TRIAL BY JURY IN ANY LEGAL PROCEEDING ARISING OUT OF OR RELATING TO THE INDENTURE, THIS NOTE OR THE TRANSACTIONS CONTEMPLATED THEREBY OR HEREBY.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 will furnish to any Holder upon written request and without charge a copy of the Indenture.  Requests may be made 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Icon Investments Six Designated Activity Company</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South County Business Park, Leopardstown</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Dublin 18, D18 X5R3, Ireland</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Attention:  FAO Group Treasurer</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Phone:  +353 1 291 2000</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B - 8</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ASSIGNMENT FORM</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 assign this Note, fill in the form below:</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104" w:name="za10aa738463041a1b3df07768064d053"/>
      <w:bookmarkStart w:id="105" w:name="za10aa738463041a1b3df07768064d053"/>
      <w:bookmarkEnd w:id="105"/>
    </w:p>
    <w:tbl>
      <w:tblPr>
        <w:tblW w:w="6940" w:type="dxa"/>
        <w:jc w:val="left"/>
        <w:tblInd w:w="0" w:type="dxa"/>
        <w:tblLayout w:type="fixed"/>
        <w:tblCellMar>
          <w:top w:w="0" w:type="dxa"/>
          <w:left w:w="0" w:type="dxa"/>
          <w:bottom w:w="0" w:type="dxa"/>
          <w:right w:w="0" w:type="dxa"/>
        </w:tblCellMar>
      </w:tblPr>
      <w:tblGrid>
        <w:gridCol w:w="60"/>
        <w:gridCol w:w="4025"/>
        <w:gridCol w:w="2795"/>
        <w:gridCol w:w="60"/>
      </w:tblGrid>
      <w:tr>
        <w:trPr/>
        <w:tc>
          <w:tcPr>
            <w:tcW w:w="60" w:type="dxa"/>
            <w:tcBorders/>
            <w:vAlign w:val="center"/>
          </w:tcPr>
          <w:p>
            <w:pPr>
              <w:pStyle w:val="TableContents"/>
              <w:bidi w:val="0"/>
              <w:spacing w:before="0" w:after="283"/>
              <w:jc w:val="left"/>
              <w:rPr/>
            </w:pPr>
            <w:r>
              <w:rPr/>
            </w:r>
          </w:p>
        </w:tc>
        <w:tc>
          <w:tcPr>
            <w:tcW w:w="4025" w:type="dxa"/>
            <w:tcBorders/>
            <w:vAlign w:val="center"/>
          </w:tcPr>
          <w:p>
            <w:pPr>
              <w:pStyle w:val="TableContents"/>
              <w:bidi w:val="0"/>
              <w:spacing w:before="0" w:after="0"/>
              <w:jc w:val="both"/>
              <w:rPr/>
            </w:pPr>
            <w:r>
              <w:rPr/>
              <w:t>(I) or (we) assign and transfer this Note to:</w:t>
            </w:r>
          </w:p>
        </w:tc>
        <w:tc>
          <w:tcPr>
            <w:tcW w:w="2795" w:type="dxa"/>
            <w:tcBorders>
              <w:bottom w:val="single" w:sz="12" w:space="0" w:color="000000"/>
            </w:tcBorders>
            <w:tcMar>
              <w:bottom w:w="28" w:type="dxa"/>
            </w:tcMar>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0"/>
              <w:jc w:val="center"/>
              <w:rPr/>
            </w:pPr>
            <w:r>
              <w:rPr/>
              <w:t>(Insert assignee’s legal name)</w:t>
            </w:r>
          </w:p>
        </w:tc>
        <w:tc>
          <w:tcPr>
            <w:tcW w:w="60" w:type="dxa"/>
            <w:tcBorders/>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06" w:name="zfc355aaa12fd412cad494a859f7e2a7c"/>
      <w:bookmarkStart w:id="107" w:name="zfc355aaa12fd412cad494a859f7e2a7c"/>
      <w:bookmarkEnd w:id="107"/>
    </w:p>
    <w:tbl>
      <w:tblPr>
        <w:tblW w:w="8428" w:type="dxa"/>
        <w:jc w:val="left"/>
        <w:tblInd w:w="0" w:type="dxa"/>
        <w:tblLayout w:type="fixed"/>
        <w:tblCellMar>
          <w:top w:w="0" w:type="dxa"/>
          <w:left w:w="0" w:type="dxa"/>
          <w:bottom w:w="0" w:type="dxa"/>
          <w:right w:w="0" w:type="dxa"/>
        </w:tblCellMar>
      </w:tblPr>
      <w:tblGrid>
        <w:gridCol w:w="60"/>
        <w:gridCol w:w="8345"/>
        <w:gridCol w:w="23"/>
      </w:tblGrid>
      <w:tr>
        <w:trPr/>
        <w:tc>
          <w:tcPr>
            <w:tcW w:w="60" w:type="dxa"/>
            <w:tcBorders/>
            <w:vAlign w:val="center"/>
          </w:tcPr>
          <w:p>
            <w:pPr>
              <w:pStyle w:val="TableContents"/>
              <w:bidi w:val="0"/>
              <w:spacing w:before="0" w:after="283"/>
              <w:jc w:val="left"/>
              <w:rPr/>
            </w:pPr>
            <w:r>
              <w:rPr/>
            </w:r>
          </w:p>
        </w:tc>
        <w:tc>
          <w:tcPr>
            <w:tcW w:w="8345"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r>
          </w:p>
        </w:tc>
        <w:tc>
          <w:tcPr>
            <w:tcW w:w="8345" w:type="dxa"/>
            <w:tcBorders/>
            <w:vAlign w:val="center"/>
          </w:tcPr>
          <w:p>
            <w:pPr>
              <w:pStyle w:val="TableContents"/>
              <w:bidi w:val="0"/>
              <w:spacing w:before="0" w:after="0"/>
              <w:jc w:val="center"/>
              <w:rPr/>
            </w:pPr>
            <w:r>
              <w:rPr/>
              <w:t>(Insert assignee’s soc. sec. or tax I.D. no.)</w:t>
            </w:r>
          </w:p>
        </w:tc>
        <w:tc>
          <w:tcPr>
            <w:tcW w:w="23"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r>
          </w:p>
        </w:tc>
        <w:tc>
          <w:tcPr>
            <w:tcW w:w="8345"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r>
          </w:p>
        </w:tc>
        <w:tc>
          <w:tcPr>
            <w:tcW w:w="8345"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r>
          </w:p>
        </w:tc>
        <w:tc>
          <w:tcPr>
            <w:tcW w:w="8345"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r>
          </w:p>
        </w:tc>
        <w:tc>
          <w:tcPr>
            <w:tcW w:w="8345"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r>
          </w:p>
        </w:tc>
        <w:tc>
          <w:tcPr>
            <w:tcW w:w="8345" w:type="dxa"/>
            <w:tcBorders/>
            <w:vAlign w:val="center"/>
          </w:tcPr>
          <w:p>
            <w:pPr>
              <w:pStyle w:val="TableContents"/>
              <w:bidi w:val="0"/>
              <w:spacing w:before="0" w:after="0"/>
              <w:jc w:val="center"/>
              <w:rPr>
                <w:color w:val="000000"/>
              </w:rPr>
            </w:pPr>
            <w:r>
              <w:rPr>
                <w:color w:val="000000"/>
              </w:rPr>
              <w:t>(Print or type assignee’s name, address and zip code)</w:t>
            </w:r>
          </w:p>
        </w:tc>
        <w:tc>
          <w:tcPr>
            <w:tcW w:w="23"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r>
          </w:p>
        </w:tc>
        <w:tc>
          <w:tcPr>
            <w:tcW w:w="8345" w:type="dxa"/>
            <w:tcBorders/>
            <w:vAlign w:val="center"/>
          </w:tcPr>
          <w:p>
            <w:pPr>
              <w:pStyle w:val="TableContents"/>
              <w:bidi w:val="0"/>
              <w:spacing w:before="0" w:after="0"/>
              <w:jc w:val="both"/>
              <w:rPr/>
            </w:pPr>
            <w:r>
              <w:rPr/>
              <w:t>and irrevocably appoint _____________ to transfer this Note on the books of the Issuer.</w:t>
            </w:r>
          </w:p>
        </w:tc>
        <w:tc>
          <w:tcPr>
            <w:tcW w:w="23" w:type="dxa"/>
            <w:tcBorders/>
            <w:vAlign w:val="center"/>
          </w:tcPr>
          <w:p>
            <w:pPr>
              <w:pStyle w:val="TableContents"/>
              <w:bidi w:val="0"/>
              <w:spacing w:before="0" w:after="283"/>
              <w:jc w:val="left"/>
              <w:rPr/>
            </w:pPr>
            <w:r>
              <w:rPr/>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t>The agent may substitute another to act for him.</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8" w:name="z27b9658e10db4988976bad4da176f311"/>
      <w:bookmarkStart w:id="109" w:name="z27b9658e10db4988976bad4da176f311"/>
      <w:bookmarkEnd w:id="109"/>
    </w:p>
    <w:tbl>
      <w:tblPr>
        <w:tblW w:w="599" w:type="dxa"/>
        <w:jc w:val="left"/>
        <w:tblInd w:w="0" w:type="dxa"/>
        <w:tblLayout w:type="fixed"/>
        <w:tblCellMar>
          <w:top w:w="0" w:type="dxa"/>
          <w:left w:w="0" w:type="dxa"/>
          <w:bottom w:w="0" w:type="dxa"/>
          <w:right w:w="0" w:type="dxa"/>
        </w:tblCellMar>
      </w:tblPr>
      <w:tblGrid>
        <w:gridCol w:w="23"/>
        <w:gridCol w:w="530"/>
        <w:gridCol w:w="23"/>
        <w:gridCol w:w="23"/>
      </w:tblGrid>
      <w:tr>
        <w:trPr/>
        <w:tc>
          <w:tcPr>
            <w:tcW w:w="23" w:type="dxa"/>
            <w:tcBorders/>
            <w:vAlign w:val="center"/>
          </w:tcPr>
          <w:p>
            <w:pPr>
              <w:pStyle w:val="TableContents"/>
              <w:bidi w:val="0"/>
              <w:spacing w:before="0" w:after="283"/>
              <w:jc w:val="left"/>
              <w:rPr/>
            </w:pPr>
            <w:r>
              <w:rPr/>
            </w:r>
          </w:p>
        </w:tc>
        <w:tc>
          <w:tcPr>
            <w:tcW w:w="530" w:type="dxa"/>
            <w:tcBorders/>
            <w:vAlign w:val="center"/>
          </w:tcPr>
          <w:p>
            <w:pPr>
              <w:pStyle w:val="TableContents"/>
              <w:bidi w:val="0"/>
              <w:spacing w:before="0" w:after="0"/>
              <w:jc w:val="both"/>
              <w:rPr/>
            </w:pPr>
            <w:r>
              <w:rPr/>
              <w:t>Date:</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0" w:name="z51db0ae547354722a6853e704a3fb3a4"/>
      <w:bookmarkStart w:id="111" w:name="z51db0ae547354722a6853e704a3fb3a4"/>
      <w:bookmarkEnd w:id="111"/>
    </w:p>
    <w:tbl>
      <w:tblPr>
        <w:tblW w:w="5726" w:type="dxa"/>
        <w:jc w:val="left"/>
        <w:tblInd w:w="0" w:type="dxa"/>
        <w:tblLayout w:type="fixed"/>
        <w:tblCellMar>
          <w:top w:w="0" w:type="dxa"/>
          <w:left w:w="0" w:type="dxa"/>
          <w:bottom w:w="0" w:type="dxa"/>
          <w:right w:w="0" w:type="dxa"/>
        </w:tblCellMar>
      </w:tblPr>
      <w:tblGrid>
        <w:gridCol w:w="23"/>
        <w:gridCol w:w="5539"/>
        <w:gridCol w:w="82"/>
        <w:gridCol w:w="82"/>
      </w:tblGrid>
      <w:tr>
        <w:trPr/>
        <w:tc>
          <w:tcPr>
            <w:tcW w:w="23" w:type="dxa"/>
            <w:tcBorders/>
            <w:vAlign w:val="center"/>
          </w:tcPr>
          <w:p>
            <w:pPr>
              <w:pStyle w:val="TableContents"/>
              <w:bidi w:val="0"/>
              <w:spacing w:before="0" w:after="283"/>
              <w:jc w:val="left"/>
              <w:rPr/>
            </w:pPr>
            <w:r>
              <w:rPr/>
            </w:r>
          </w:p>
        </w:tc>
        <w:tc>
          <w:tcPr>
            <w:tcW w:w="5539" w:type="dxa"/>
            <w:tcBorders/>
            <w:vAlign w:val="center"/>
          </w:tcPr>
          <w:p>
            <w:pPr>
              <w:pStyle w:val="TableContents"/>
              <w:bidi w:val="0"/>
              <w:spacing w:before="0" w:after="0"/>
              <w:jc w:val="both"/>
              <w:rPr/>
            </w:pPr>
            <w:r>
              <w:rPr/>
              <w:t>Your Signature:</w:t>
            </w:r>
          </w:p>
        </w:tc>
        <w:tc>
          <w:tcPr>
            <w:tcW w:w="82" w:type="dxa"/>
            <w:tcBorders>
              <w:bottom w:val="single" w:sz="12" w:space="0" w:color="000000"/>
            </w:tcBorders>
            <w:tcMar>
              <w:bottom w:w="28" w:type="dxa"/>
            </w:tcMar>
            <w:vAlign w:val="center"/>
          </w:tcPr>
          <w:p>
            <w:pPr>
              <w:pStyle w:val="TableContents"/>
              <w:bidi w:val="0"/>
              <w:spacing w:before="0" w:after="283"/>
              <w:jc w:val="left"/>
              <w:rPr/>
            </w:pPr>
            <w:r>
              <w:rPr/>
            </w:r>
          </w:p>
        </w:tc>
        <w:tc>
          <w:tcPr>
            <w:tcW w:w="82"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5703" w:type="dxa"/>
            <w:gridSpan w:val="3"/>
            <w:tcBorders/>
            <w:vAlign w:val="center"/>
          </w:tcPr>
          <w:p>
            <w:pPr>
              <w:pStyle w:val="TableContents"/>
              <w:bidi w:val="0"/>
              <w:spacing w:before="0" w:after="0"/>
              <w:ind w:left="720" w:right="0" w:hanging="0"/>
              <w:jc w:val="both"/>
              <w:rPr/>
            </w:pPr>
            <w:r>
              <w:rPr/>
              <w:t>(Sign exactly as your name appears on the face of this Note)</w:t>
            </w:r>
          </w:p>
        </w:tc>
      </w:tr>
    </w:tbl>
    <w:p>
      <w:pPr>
        <w:pStyle w:val="TextBody"/>
        <w:bidi w:val="0"/>
        <w:spacing w:before="0" w:after="0"/>
        <w:ind w:left="0" w:right="0" w:firstLine="720"/>
        <w:jc w:val="both"/>
        <w:rPr/>
      </w:pPr>
      <w:r>
        <w:rPr/>
      </w:r>
    </w:p>
    <w:p>
      <w:pPr>
        <w:pStyle w:val="Normal"/>
        <w:bidi w:val="0"/>
        <w:spacing w:before="0" w:after="0"/>
        <w:jc w:val="left"/>
        <w:rPr>
          <w:sz w:val="4"/>
          <w:szCs w:val="4"/>
        </w:rPr>
      </w:pPr>
      <w:r>
        <w:rPr>
          <w:sz w:val="4"/>
          <w:szCs w:val="4"/>
        </w:rPr>
      </w:r>
      <w:bookmarkStart w:id="112" w:name="zf055fd929938447abb526fa3412bee32"/>
      <w:bookmarkStart w:id="113" w:name="zf055fd929938447abb526fa3412bee32"/>
      <w:bookmarkEnd w:id="113"/>
    </w:p>
    <w:tbl>
      <w:tblPr>
        <w:tblW w:w="2204" w:type="dxa"/>
        <w:jc w:val="left"/>
        <w:tblInd w:w="0" w:type="dxa"/>
        <w:tblLayout w:type="fixed"/>
        <w:tblCellMar>
          <w:top w:w="0" w:type="dxa"/>
          <w:left w:w="0" w:type="dxa"/>
          <w:bottom w:w="0" w:type="dxa"/>
          <w:right w:w="0" w:type="dxa"/>
        </w:tblCellMar>
      </w:tblPr>
      <w:tblGrid>
        <w:gridCol w:w="23"/>
        <w:gridCol w:w="2135"/>
        <w:gridCol w:w="23"/>
        <w:gridCol w:w="23"/>
      </w:tblGrid>
      <w:tr>
        <w:trPr/>
        <w:tc>
          <w:tcPr>
            <w:tcW w:w="23" w:type="dxa"/>
            <w:tcBorders/>
            <w:vAlign w:val="center"/>
          </w:tcPr>
          <w:p>
            <w:pPr>
              <w:pStyle w:val="TableContents"/>
              <w:bidi w:val="0"/>
              <w:spacing w:before="0" w:after="283"/>
              <w:jc w:val="left"/>
              <w:rPr/>
            </w:pPr>
            <w:r>
              <w:rPr/>
            </w:r>
          </w:p>
        </w:tc>
        <w:tc>
          <w:tcPr>
            <w:tcW w:w="2135" w:type="dxa"/>
            <w:tcBorders/>
            <w:vAlign w:val="center"/>
          </w:tcPr>
          <w:p>
            <w:pPr>
              <w:pStyle w:val="TableContents"/>
              <w:bidi w:val="0"/>
              <w:spacing w:before="0" w:after="283"/>
              <w:jc w:val="left"/>
              <w:rPr/>
            </w:pPr>
            <w:r>
              <w:rPr/>
              <w:t>Signature Guarantee*:</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Participant in a recognized Signature Guarantee Medallion Program (or other signature guarantor acceptable to the Trustee).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B - 9</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Option of Holder to Elect Purchase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you want to elect to have this Note purchased by the Issuer pursuant to Section 4.02 of the First Supplemental Indenture, sign and return this form as directed.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you want to elect to have only part of the Note purchased by the Issuer pursuant to Section 4.02 of the First Supplemental Indenture, state the amount you elect to have purchased:</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4" w:name="z5501acb045454bd3ae1b5a83e8c383aa"/>
      <w:bookmarkStart w:id="115" w:name="z5501acb045454bd3ae1b5a83e8c383aa"/>
      <w:bookmarkEnd w:id="115"/>
    </w:p>
    <w:tbl>
      <w:tblPr>
        <w:tblW w:w="6234" w:type="dxa"/>
        <w:jc w:val="left"/>
        <w:tblInd w:w="0" w:type="dxa"/>
        <w:tblLayout w:type="fixed"/>
        <w:tblCellMar>
          <w:top w:w="0" w:type="dxa"/>
          <w:left w:w="0" w:type="dxa"/>
          <w:bottom w:w="0" w:type="dxa"/>
          <w:right w:w="0" w:type="dxa"/>
        </w:tblCellMar>
      </w:tblPr>
      <w:tblGrid>
        <w:gridCol w:w="530"/>
        <w:gridCol w:w="2852"/>
        <w:gridCol w:w="2852"/>
      </w:tblGrid>
      <w:tr>
        <w:trPr/>
        <w:tc>
          <w:tcPr>
            <w:tcW w:w="530" w:type="dxa"/>
            <w:tcBorders/>
            <w:vAlign w:val="center"/>
          </w:tcPr>
          <w:p>
            <w:pPr>
              <w:pStyle w:val="TableContents"/>
              <w:bidi w:val="0"/>
              <w:spacing w:before="0" w:after="283"/>
              <w:jc w:val="left"/>
              <w:rPr/>
            </w:pPr>
            <w:r>
              <w:rPr/>
              <w:t> </w:t>
            </w:r>
          </w:p>
        </w:tc>
        <w:tc>
          <w:tcPr>
            <w:tcW w:w="5704" w:type="dxa"/>
            <w:gridSpan w:val="2"/>
            <w:tcBorders/>
            <w:vAlign w:val="center"/>
          </w:tcPr>
          <w:p>
            <w:pPr>
              <w:pStyle w:val="TableContents"/>
              <w:bidi w:val="0"/>
              <w:spacing w:before="0" w:after="0"/>
              <w:jc w:val="both"/>
              <w:rPr>
                <w:color w:val="000000"/>
              </w:rPr>
            </w:pPr>
            <w:r>
              <w:rPr>
                <w:color w:val="000000"/>
              </w:rPr>
              <w:t>$</w:t>
            </w:r>
          </w:p>
        </w:tc>
      </w:tr>
      <w:tr>
        <w:trPr/>
        <w:tc>
          <w:tcPr>
            <w:tcW w:w="530" w:type="dxa"/>
            <w:tcBorders/>
            <w:vAlign w:val="center"/>
          </w:tcPr>
          <w:p>
            <w:pPr>
              <w:pStyle w:val="TableContents"/>
              <w:bidi w:val="0"/>
              <w:spacing w:before="0" w:after="0"/>
              <w:jc w:val="both"/>
              <w:rPr>
                <w:color w:val="000000"/>
              </w:rPr>
            </w:pPr>
            <w:r>
              <w:rPr>
                <w:color w:val="000000"/>
              </w:rPr>
              <w:t>Date:</w:t>
            </w:r>
          </w:p>
        </w:tc>
        <w:tc>
          <w:tcPr>
            <w:tcW w:w="2852" w:type="dxa"/>
            <w:tcBorders>
              <w:bottom w:val="single" w:sz="12" w:space="0" w:color="000000"/>
            </w:tcBorders>
            <w:tcMar>
              <w:bottom w:w="28" w:type="dxa"/>
            </w:tcMar>
            <w:vAlign w:val="center"/>
          </w:tcPr>
          <w:p>
            <w:pPr>
              <w:pStyle w:val="TableContents"/>
              <w:bidi w:val="0"/>
              <w:spacing w:before="0" w:after="0"/>
              <w:jc w:val="both"/>
              <w:rPr>
                <w:color w:val="000000"/>
              </w:rPr>
            </w:pPr>
            <w:r>
              <w:rPr>
                <w:color w:val="000000"/>
              </w:rPr>
            </w:r>
          </w:p>
        </w:tc>
        <w:tc>
          <w:tcPr>
            <w:tcW w:w="2852" w:type="dxa"/>
            <w:tcBorders/>
            <w:vAlign w:val="center"/>
          </w:tcPr>
          <w:p>
            <w:pPr>
              <w:pStyle w:val="TableContents"/>
              <w:bidi w:val="0"/>
              <w:spacing w:before="0" w:after="283"/>
              <w:jc w:val="left"/>
              <w:rPr/>
            </w:pPr>
            <w:r>
              <w:rPr/>
            </w:r>
          </w:p>
        </w:tc>
      </w:tr>
      <w:tr>
        <w:trPr/>
        <w:tc>
          <w:tcPr>
            <w:tcW w:w="530" w:type="dxa"/>
            <w:tcBorders/>
            <w:vAlign w:val="center"/>
          </w:tcPr>
          <w:p>
            <w:pPr>
              <w:pStyle w:val="TableContents"/>
              <w:bidi w:val="0"/>
              <w:spacing w:before="0" w:after="283"/>
              <w:jc w:val="left"/>
              <w:rPr/>
            </w:pPr>
            <w:r>
              <w:rPr/>
              <w:t> </w:t>
            </w:r>
          </w:p>
        </w:tc>
        <w:tc>
          <w:tcPr>
            <w:tcW w:w="5704" w:type="dxa"/>
            <w:gridSpan w:val="2"/>
            <w:tcBorders/>
            <w:vAlign w:val="center"/>
          </w:tcPr>
          <w:p>
            <w:pPr>
              <w:pStyle w:val="TableContents"/>
              <w:bidi w:val="0"/>
              <w:spacing w:before="0" w:after="0"/>
              <w:jc w:val="both"/>
              <w:rPr>
                <w:color w:val="000000"/>
              </w:rPr>
            </w:pPr>
            <w:r>
              <w:rPr>
                <w:color w:val="000000"/>
              </w:rPr>
              <w:t>Your Signature:</w:t>
            </w:r>
          </w:p>
          <w:p>
            <w:pPr>
              <w:pStyle w:val="TableContents"/>
              <w:bidi w:val="0"/>
              <w:spacing w:before="0" w:after="0"/>
              <w:jc w:val="both"/>
              <w:rPr>
                <w:color w:val="000000"/>
              </w:rPr>
            </w:pPr>
            <w:r>
              <w:rPr>
                <w:color w:val="000000"/>
              </w:rPr>
              <w:t>(Sign exactly as your name appears on the face of this Note)</w:t>
            </w:r>
          </w:p>
        </w:tc>
      </w:tr>
      <w:tr>
        <w:trPr/>
        <w:tc>
          <w:tcPr>
            <w:tcW w:w="530" w:type="dxa"/>
            <w:tcBorders/>
            <w:vAlign w:val="center"/>
          </w:tcPr>
          <w:p>
            <w:pPr>
              <w:pStyle w:val="TableContents"/>
              <w:bidi w:val="0"/>
              <w:spacing w:before="0" w:after="283"/>
              <w:jc w:val="left"/>
              <w:rPr/>
            </w:pPr>
            <w:r>
              <w:rPr/>
              <w:t> </w:t>
            </w:r>
          </w:p>
        </w:tc>
        <w:tc>
          <w:tcPr>
            <w:tcW w:w="5704" w:type="dxa"/>
            <w:gridSpan w:val="2"/>
            <w:tcBorders/>
            <w:vAlign w:val="center"/>
          </w:tcPr>
          <w:p>
            <w:pPr>
              <w:pStyle w:val="TableContents"/>
              <w:bidi w:val="0"/>
              <w:spacing w:before="0" w:after="283"/>
              <w:jc w:val="left"/>
              <w:rPr/>
            </w:pPr>
            <w:r>
              <w:rPr/>
            </w:r>
          </w:p>
        </w:tc>
      </w:tr>
      <w:tr>
        <w:trPr/>
        <w:tc>
          <w:tcPr>
            <w:tcW w:w="530" w:type="dxa"/>
            <w:tcBorders/>
            <w:vAlign w:val="center"/>
          </w:tcPr>
          <w:p>
            <w:pPr>
              <w:pStyle w:val="TableContents"/>
              <w:bidi w:val="0"/>
              <w:spacing w:before="0" w:after="283"/>
              <w:jc w:val="left"/>
              <w:rPr/>
            </w:pPr>
            <w:r>
              <w:rPr/>
              <w:t> </w:t>
            </w:r>
          </w:p>
        </w:tc>
        <w:tc>
          <w:tcPr>
            <w:tcW w:w="5704" w:type="dxa"/>
            <w:gridSpan w:val="2"/>
            <w:tcBorders/>
            <w:vAlign w:val="center"/>
          </w:tcPr>
          <w:p>
            <w:pPr>
              <w:pStyle w:val="TableContents"/>
              <w:bidi w:val="0"/>
              <w:spacing w:before="0" w:after="0"/>
              <w:jc w:val="both"/>
              <w:rPr>
                <w:color w:val="000000"/>
              </w:rPr>
            </w:pPr>
            <w:r>
              <w:rPr>
                <w:color w:val="000000"/>
              </w:rPr>
              <w:t>Tax Identification No.:</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Signature Guarantee*: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Participant in a recognized Signature Guarantee Medallion Program (or other signature guarantor acceptable to the Trustee).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B - 10</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SCHEDULE OF EXCHANGES OF INTERESTS IN THE GLOBAL NOTE*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initial outstanding principal amount of this Global Note is $[__________].</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following exchanges of a part of this Global Note for an interest in another Global Note or for a Definitive Note, or exchanges of a part of another Global Note or Definitive Note for an interest in this Global Note, have been made: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6" w:name="b0bc2104839a412ab00b15cc602a8cea"/>
      <w:bookmarkStart w:id="117" w:name="b0bc2104839a412ab00b15cc602a8cea"/>
      <w:bookmarkEnd w:id="117"/>
    </w:p>
    <w:tbl>
      <w:tblPr>
        <w:tblW w:w="8277" w:type="dxa"/>
        <w:jc w:val="left"/>
        <w:tblInd w:w="0" w:type="dxa"/>
        <w:tblLayout w:type="fixed"/>
        <w:tblCellMar>
          <w:top w:w="0" w:type="dxa"/>
          <w:left w:w="0" w:type="dxa"/>
          <w:bottom w:w="28" w:type="dxa"/>
          <w:right w:w="0" w:type="dxa"/>
        </w:tblCellMar>
      </w:tblPr>
      <w:tblGrid>
        <w:gridCol w:w="1820"/>
        <w:gridCol w:w="23"/>
        <w:gridCol w:w="1535"/>
        <w:gridCol w:w="23"/>
        <w:gridCol w:w="1535"/>
        <w:gridCol w:w="23"/>
        <w:gridCol w:w="1535"/>
        <w:gridCol w:w="23"/>
        <w:gridCol w:w="1760"/>
      </w:tblGrid>
      <w:tr>
        <w:trPr/>
        <w:tc>
          <w:tcPr>
            <w:tcW w:w="1820" w:type="dxa"/>
            <w:tcBorders>
              <w:bottom w:val="single" w:sz="12" w:space="0" w:color="000000"/>
            </w:tcBorders>
            <w:vAlign w:val="center"/>
          </w:tcPr>
          <w:p>
            <w:pPr>
              <w:pStyle w:val="TableContents"/>
              <w:bidi w:val="0"/>
              <w:spacing w:before="0" w:after="0"/>
              <w:jc w:val="center"/>
              <w:rPr>
                <w:b/>
                <w:color w:val="000000"/>
              </w:rPr>
            </w:pPr>
            <w:r>
              <w:rPr>
                <w:b/>
                <w:color w:val="000000"/>
              </w:rPr>
              <w:t>Date of Exchange</w:t>
            </w:r>
          </w:p>
        </w:tc>
        <w:tc>
          <w:tcPr>
            <w:tcW w:w="23" w:type="dxa"/>
            <w:tcBorders/>
            <w:tcMar>
              <w:bottom w:w="0" w:type="dxa"/>
            </w:tcMar>
            <w:vAlign w:val="center"/>
          </w:tcPr>
          <w:p>
            <w:pPr>
              <w:pStyle w:val="TableContents"/>
              <w:bidi w:val="0"/>
              <w:spacing w:before="0" w:after="283"/>
              <w:jc w:val="left"/>
              <w:rPr/>
            </w:pPr>
            <w:r>
              <w:rPr/>
            </w:r>
          </w:p>
        </w:tc>
        <w:tc>
          <w:tcPr>
            <w:tcW w:w="1535" w:type="dxa"/>
            <w:tcBorders>
              <w:bottom w:val="single" w:sz="12" w:space="0" w:color="000000"/>
            </w:tcBorders>
            <w:vAlign w:val="center"/>
          </w:tcPr>
          <w:p>
            <w:pPr>
              <w:pStyle w:val="TableContents"/>
              <w:bidi w:val="0"/>
              <w:spacing w:before="0" w:after="0"/>
              <w:jc w:val="center"/>
              <w:rPr>
                <w:b/>
              </w:rPr>
            </w:pPr>
            <w:r>
              <w:rPr>
                <w:b/>
              </w:rPr>
              <w:t>Amount of</w:t>
            </w:r>
          </w:p>
          <w:p>
            <w:pPr>
              <w:pStyle w:val="TableContents"/>
              <w:bidi w:val="0"/>
              <w:spacing w:before="0" w:after="0"/>
              <w:jc w:val="center"/>
              <w:rPr>
                <w:b/>
              </w:rPr>
            </w:pPr>
            <w:r>
              <w:rPr>
                <w:b/>
              </w:rPr>
              <w:t>decrease in</w:t>
            </w:r>
          </w:p>
          <w:p>
            <w:pPr>
              <w:pStyle w:val="TableContents"/>
              <w:bidi w:val="0"/>
              <w:spacing w:before="0" w:after="0"/>
              <w:jc w:val="center"/>
              <w:rPr>
                <w:b/>
              </w:rPr>
            </w:pPr>
            <w:r>
              <w:rPr>
                <w:b/>
              </w:rPr>
              <w:t>Principal</w:t>
            </w:r>
          </w:p>
          <w:p>
            <w:pPr>
              <w:pStyle w:val="TableContents"/>
              <w:bidi w:val="0"/>
              <w:spacing w:before="0" w:after="0"/>
              <w:jc w:val="center"/>
              <w:rPr>
                <w:b/>
              </w:rPr>
            </w:pPr>
            <w:r>
              <w:rPr>
                <w:b/>
              </w:rPr>
              <w:t>Amount of this</w:t>
            </w:r>
          </w:p>
          <w:p>
            <w:pPr>
              <w:pStyle w:val="TableContents"/>
              <w:bidi w:val="0"/>
              <w:spacing w:before="0" w:after="0"/>
              <w:jc w:val="center"/>
              <w:rPr>
                <w:b/>
              </w:rPr>
            </w:pPr>
            <w:r>
              <w:rPr>
                <w:b/>
              </w:rPr>
              <w:t>Global Note</w:t>
            </w:r>
          </w:p>
        </w:tc>
        <w:tc>
          <w:tcPr>
            <w:tcW w:w="23" w:type="dxa"/>
            <w:tcBorders/>
            <w:tcMar>
              <w:bottom w:w="0" w:type="dxa"/>
            </w:tcMar>
            <w:vAlign w:val="center"/>
          </w:tcPr>
          <w:p>
            <w:pPr>
              <w:pStyle w:val="TableContents"/>
              <w:bidi w:val="0"/>
              <w:spacing w:before="0" w:after="283"/>
              <w:jc w:val="left"/>
              <w:rPr/>
            </w:pPr>
            <w:r>
              <w:rPr/>
            </w:r>
          </w:p>
        </w:tc>
        <w:tc>
          <w:tcPr>
            <w:tcW w:w="1535" w:type="dxa"/>
            <w:tcBorders>
              <w:bottom w:val="single" w:sz="12" w:space="0" w:color="000000"/>
            </w:tcBorders>
            <w:vAlign w:val="center"/>
          </w:tcPr>
          <w:p>
            <w:pPr>
              <w:pStyle w:val="TableContents"/>
              <w:bidi w:val="0"/>
              <w:spacing w:before="0" w:after="0"/>
              <w:jc w:val="center"/>
              <w:rPr>
                <w:b/>
              </w:rPr>
            </w:pPr>
            <w:r>
              <w:rPr>
                <w:b/>
              </w:rPr>
              <w:t>Amount of</w:t>
            </w:r>
          </w:p>
          <w:p>
            <w:pPr>
              <w:pStyle w:val="TableContents"/>
              <w:bidi w:val="0"/>
              <w:spacing w:before="0" w:after="0"/>
              <w:jc w:val="center"/>
              <w:rPr>
                <w:b/>
              </w:rPr>
            </w:pPr>
            <w:r>
              <w:rPr>
                <w:b/>
              </w:rPr>
              <w:t>increase in</w:t>
            </w:r>
          </w:p>
          <w:p>
            <w:pPr>
              <w:pStyle w:val="TableContents"/>
              <w:bidi w:val="0"/>
              <w:spacing w:before="0" w:after="0"/>
              <w:jc w:val="center"/>
              <w:rPr>
                <w:b/>
              </w:rPr>
            </w:pPr>
            <w:r>
              <w:rPr>
                <w:b/>
              </w:rPr>
              <w:t>Principal</w:t>
            </w:r>
          </w:p>
          <w:p>
            <w:pPr>
              <w:pStyle w:val="TableContents"/>
              <w:bidi w:val="0"/>
              <w:spacing w:before="0" w:after="0"/>
              <w:jc w:val="center"/>
              <w:rPr>
                <w:b/>
              </w:rPr>
            </w:pPr>
            <w:r>
              <w:rPr>
                <w:b/>
              </w:rPr>
              <w:t>Amount of this</w:t>
            </w:r>
          </w:p>
          <w:p>
            <w:pPr>
              <w:pStyle w:val="TableContents"/>
              <w:bidi w:val="0"/>
              <w:spacing w:before="0" w:after="0"/>
              <w:jc w:val="center"/>
              <w:rPr>
                <w:b/>
              </w:rPr>
            </w:pPr>
            <w:r>
              <w:rPr>
                <w:b/>
              </w:rPr>
              <w:t>Global Note</w:t>
            </w:r>
          </w:p>
        </w:tc>
        <w:tc>
          <w:tcPr>
            <w:tcW w:w="23" w:type="dxa"/>
            <w:tcBorders/>
            <w:tcMar>
              <w:bottom w:w="0" w:type="dxa"/>
            </w:tcMar>
            <w:vAlign w:val="center"/>
          </w:tcPr>
          <w:p>
            <w:pPr>
              <w:pStyle w:val="TableContents"/>
              <w:bidi w:val="0"/>
              <w:spacing w:before="0" w:after="283"/>
              <w:jc w:val="left"/>
              <w:rPr/>
            </w:pPr>
            <w:r>
              <w:rPr/>
            </w:r>
          </w:p>
        </w:tc>
        <w:tc>
          <w:tcPr>
            <w:tcW w:w="1535" w:type="dxa"/>
            <w:tcBorders>
              <w:bottom w:val="single" w:sz="12" w:space="0" w:color="000000"/>
            </w:tcBorders>
            <w:vAlign w:val="center"/>
          </w:tcPr>
          <w:p>
            <w:pPr>
              <w:pStyle w:val="TableContents"/>
              <w:bidi w:val="0"/>
              <w:spacing w:before="0" w:after="0"/>
              <w:jc w:val="center"/>
              <w:rPr>
                <w:b/>
                <w:color w:val="000000"/>
              </w:rPr>
            </w:pPr>
            <w:r>
              <w:rPr>
                <w:b/>
                <w:color w:val="000000"/>
              </w:rPr>
              <w:t>Principal</w:t>
            </w:r>
          </w:p>
          <w:p>
            <w:pPr>
              <w:pStyle w:val="TableContents"/>
              <w:bidi w:val="0"/>
              <w:spacing w:before="0" w:after="0"/>
              <w:jc w:val="center"/>
              <w:rPr>
                <w:b/>
                <w:color w:val="000000"/>
              </w:rPr>
            </w:pPr>
            <w:r>
              <w:rPr>
                <w:b/>
                <w:color w:val="000000"/>
              </w:rPr>
              <w:t>Amount of this</w:t>
            </w:r>
          </w:p>
          <w:p>
            <w:pPr>
              <w:pStyle w:val="TableContents"/>
              <w:bidi w:val="0"/>
              <w:spacing w:before="0" w:after="0"/>
              <w:jc w:val="center"/>
              <w:rPr>
                <w:b/>
                <w:color w:val="000000"/>
              </w:rPr>
            </w:pPr>
            <w:r>
              <w:rPr>
                <w:b/>
                <w:color w:val="000000"/>
              </w:rPr>
              <w:t>Global Note</w:t>
            </w:r>
          </w:p>
          <w:p>
            <w:pPr>
              <w:pStyle w:val="TableContents"/>
              <w:bidi w:val="0"/>
              <w:spacing w:before="0" w:after="0"/>
              <w:jc w:val="center"/>
              <w:rPr>
                <w:b/>
                <w:color w:val="000000"/>
              </w:rPr>
            </w:pPr>
            <w:r>
              <w:rPr>
                <w:b/>
                <w:color w:val="000000"/>
              </w:rPr>
              <w:t>following such</w:t>
            </w:r>
          </w:p>
          <w:p>
            <w:pPr>
              <w:pStyle w:val="TableContents"/>
              <w:bidi w:val="0"/>
              <w:spacing w:before="0" w:after="0"/>
              <w:jc w:val="center"/>
              <w:rPr>
                <w:b/>
                <w:color w:val="000000"/>
              </w:rPr>
            </w:pPr>
            <w:r>
              <w:rPr>
                <w:b/>
                <w:color w:val="000000"/>
              </w:rPr>
              <w:t>decrease (or</w:t>
            </w:r>
          </w:p>
          <w:p>
            <w:pPr>
              <w:pStyle w:val="TableContents"/>
              <w:bidi w:val="0"/>
              <w:spacing w:before="0" w:after="0"/>
              <w:jc w:val="center"/>
              <w:rPr>
                <w:b/>
                <w:color w:val="000000"/>
              </w:rPr>
            </w:pPr>
            <w:r>
              <w:rPr>
                <w:b/>
                <w:color w:val="000000"/>
              </w:rPr>
              <w:t>increase)</w:t>
            </w:r>
          </w:p>
        </w:tc>
        <w:tc>
          <w:tcPr>
            <w:tcW w:w="23" w:type="dxa"/>
            <w:tcBorders/>
            <w:tcMar>
              <w:bottom w:w="0" w:type="dxa"/>
            </w:tcMar>
            <w:vAlign w:val="center"/>
          </w:tcPr>
          <w:p>
            <w:pPr>
              <w:pStyle w:val="TableContents"/>
              <w:bidi w:val="0"/>
              <w:spacing w:before="0" w:after="283"/>
              <w:jc w:val="left"/>
              <w:rPr/>
            </w:pPr>
            <w:r>
              <w:rPr/>
            </w:r>
          </w:p>
        </w:tc>
        <w:tc>
          <w:tcPr>
            <w:tcW w:w="1760" w:type="dxa"/>
            <w:tcBorders>
              <w:bottom w:val="single" w:sz="12" w:space="0" w:color="000000"/>
            </w:tcBorders>
            <w:vAlign w:val="center"/>
          </w:tcPr>
          <w:p>
            <w:pPr>
              <w:pStyle w:val="TableContents"/>
              <w:bidi w:val="0"/>
              <w:spacing w:before="0" w:after="0"/>
              <w:jc w:val="center"/>
              <w:rPr>
                <w:b/>
                <w:color w:val="000000"/>
              </w:rPr>
            </w:pPr>
            <w:r>
              <w:rPr>
                <w:b/>
                <w:color w:val="000000"/>
              </w:rPr>
              <w:t>Signature of</w:t>
            </w:r>
          </w:p>
          <w:p>
            <w:pPr>
              <w:pStyle w:val="TableContents"/>
              <w:bidi w:val="0"/>
              <w:spacing w:before="0" w:after="0"/>
              <w:jc w:val="center"/>
              <w:rPr>
                <w:b/>
                <w:color w:val="000000"/>
              </w:rPr>
            </w:pPr>
            <w:r>
              <w:rPr>
                <w:b/>
                <w:color w:val="000000"/>
              </w:rPr>
              <w:t>authorized</w:t>
            </w:r>
          </w:p>
          <w:p>
            <w:pPr>
              <w:pStyle w:val="TableContents"/>
              <w:bidi w:val="0"/>
              <w:spacing w:before="0" w:after="0"/>
              <w:jc w:val="center"/>
              <w:rPr>
                <w:b/>
                <w:color w:val="000000"/>
              </w:rPr>
            </w:pPr>
            <w:r>
              <w:rPr>
                <w:b/>
                <w:color w:val="000000"/>
              </w:rPr>
              <w:t>officer of Trustee</w:t>
            </w:r>
          </w:p>
          <w:p>
            <w:pPr>
              <w:pStyle w:val="TableContents"/>
              <w:bidi w:val="0"/>
              <w:spacing w:before="0" w:after="0"/>
              <w:jc w:val="center"/>
              <w:rPr>
                <w:b/>
                <w:color w:val="000000"/>
              </w:rPr>
            </w:pPr>
            <w:r>
              <w:rPr>
                <w:b/>
                <w:color w:val="000000"/>
              </w:rPr>
              <w:t>or Custodian</w:t>
            </w:r>
          </w:p>
        </w:tc>
      </w:tr>
      <w:tr>
        <w:trPr/>
        <w:tc>
          <w:tcPr>
            <w:tcW w:w="1820" w:type="dxa"/>
            <w:tcBorders>
              <w:bottom w:val="single" w:sz="12" w:space="0" w:color="000000"/>
            </w:tcBorders>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1535" w:type="dxa"/>
            <w:tcBorders>
              <w:bottom w:val="single" w:sz="12" w:space="0" w:color="000000"/>
            </w:tcBorders>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1535" w:type="dxa"/>
            <w:tcBorders>
              <w:bottom w:val="single" w:sz="12" w:space="0" w:color="000000"/>
            </w:tcBorders>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1535" w:type="dxa"/>
            <w:tcBorders>
              <w:bottom w:val="single" w:sz="12" w:space="0" w:color="000000"/>
            </w:tcBorders>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1760" w:type="dxa"/>
            <w:tcBorders>
              <w:bottom w:val="single" w:sz="12" w:space="0" w:color="000000"/>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8" w:name="zac83beed37614f3fbb56d9433ce6e424"/>
      <w:bookmarkStart w:id="119" w:name="zac83beed37614f3fbb56d9433ce6e424"/>
      <w:bookmarkEnd w:id="119"/>
    </w:p>
    <w:tbl>
      <w:tblPr>
        <w:tblW w:w="7150" w:type="dxa"/>
        <w:jc w:val="left"/>
        <w:tblInd w:w="0" w:type="dxa"/>
        <w:tblLayout w:type="fixed"/>
        <w:tblCellMar>
          <w:top w:w="0" w:type="dxa"/>
          <w:left w:w="0" w:type="dxa"/>
          <w:bottom w:w="0" w:type="dxa"/>
          <w:right w:w="0" w:type="dxa"/>
        </w:tblCellMar>
      </w:tblPr>
      <w:tblGrid>
        <w:gridCol w:w="155"/>
        <w:gridCol w:w="6995"/>
      </w:tblGrid>
      <w:tr>
        <w:trPr/>
        <w:tc>
          <w:tcPr>
            <w:tcW w:w="155" w:type="dxa"/>
            <w:tcBorders/>
            <w:vAlign w:val="center"/>
          </w:tcPr>
          <w:p>
            <w:pPr>
              <w:pStyle w:val="TableContents"/>
              <w:bidi w:val="0"/>
              <w:spacing w:before="0" w:after="0"/>
              <w:jc w:val="both"/>
              <w:rPr>
                <w:color w:val="000000"/>
              </w:rPr>
            </w:pPr>
            <w:r>
              <w:rPr>
                <w:color w:val="000000"/>
              </w:rPr>
              <w:t>*</w:t>
            </w:r>
          </w:p>
        </w:tc>
        <w:tc>
          <w:tcPr>
            <w:tcW w:w="6995" w:type="dxa"/>
            <w:tcBorders/>
            <w:vAlign w:val="center"/>
          </w:tcPr>
          <w:p>
            <w:pPr>
              <w:pStyle w:val="TableContents"/>
              <w:bidi w:val="0"/>
              <w:spacing w:before="0" w:after="0"/>
              <w:jc w:val="both"/>
              <w:rPr>
                <w:i/>
                <w:color w:val="000000"/>
              </w:rPr>
            </w:pPr>
            <w:r>
              <w:rPr>
                <w:i/>
                <w:color w:val="000000"/>
              </w:rPr>
              <w:t>This schedule should be included only if the Note is issued in global form.</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B - 11</w:t>
      </w:r>
    </w:p>
    <w:p>
      <w:pPr>
        <w:pStyle w:val="HorizontalLine"/>
        <w:pBdr>
          <w:bottom w:val="single" w:sz="12" w:space="0" w:color="808080"/>
        </w:pBdr>
        <w:bidi w:val="0"/>
        <w:spacing w:before="200" w:after="200"/>
        <w:jc w:val="left"/>
        <w:rPr/>
      </w:pPr>
      <w:r>
        <w:rPr/>
      </w:r>
    </w:p>
    <w:p>
      <w:pPr>
        <w:pStyle w:val="TextBody"/>
        <w:bidi w:val="0"/>
        <w:spacing w:before="0" w:after="0"/>
        <w:jc w:val="right"/>
        <w:rPr>
          <w:rFonts w:ascii="Times New Roman" w:hAnsi="Times New Roman"/>
          <w:b/>
          <w:color w:val="000000"/>
          <w:sz w:val="20"/>
        </w:rPr>
      </w:pPr>
      <w:bookmarkStart w:id="120" w:name="z_Ref_ContractCompanion_9kb9Ur04A"/>
      <w:bookmarkEnd w:id="120"/>
      <w:r>
        <w:rPr>
          <w:rFonts w:ascii="Times New Roman" w:hAnsi="Times New Roman"/>
          <w:b/>
          <w:color w:val="000000"/>
          <w:sz w:val="20"/>
        </w:rPr>
        <w:t>Exhibit 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[Face of Note]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Insert the Global Note Legend, if applicable pursuant to the provisions of the Indenture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Insert the Private Placement Legend, if applicable pursuant to the provisions of the Indenture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Insert the Regulation S Global Note Legend, if applicable pursuant to the provisions of the Indenture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lineRule="auto" w:line="240" w:before="0" w:after="0"/>
        <w:jc w:val="right"/>
        <w:rPr>
          <w:rFonts w:ascii="Times New Roman" w:hAnsi="Times New Roman"/>
          <w:color w:val="000000"/>
          <w:sz w:val="20"/>
        </w:rPr>
      </w:pPr>
      <w:r>
        <w:rPr>
          <w:rFonts w:ascii="Times New Roman" w:hAnsi="Times New Roman"/>
          <w:color w:val="000000"/>
          <w:sz w:val="20"/>
        </w:rPr>
        <w:t>CUSIP5: [●]</w:t>
      </w:r>
    </w:p>
    <w:p>
      <w:pPr>
        <w:pStyle w:val="TextBody"/>
        <w:bidi w:val="0"/>
        <w:spacing w:lineRule="auto" w:line="240" w:before="0" w:after="0"/>
        <w:jc w:val="right"/>
        <w:rPr>
          <w:rFonts w:ascii="Times New Roman" w:hAnsi="Times New Roman"/>
          <w:color w:val="000000"/>
          <w:sz w:val="20"/>
        </w:rPr>
      </w:pPr>
      <w:r>
        <w:rPr>
          <w:rFonts w:ascii="Times New Roman" w:hAnsi="Times New Roman"/>
          <w:color w:val="000000"/>
          <w:sz w:val="20"/>
        </w:rPr>
        <w:t>ISIN6: [●]</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5.995% NOTES DUE 2036</w:t>
      </w:r>
    </w:p>
    <w:p>
      <w:pPr>
        <w:pStyle w:val="TextBody"/>
        <w:bidi w:val="0"/>
        <w:spacing w:before="0" w:after="0"/>
        <w:jc w:val="left"/>
        <w:rPr>
          <w:color w:val="000000"/>
        </w:rPr>
      </w:pPr>
      <w:r>
        <w:rPr>
          <w:color w:val="000000"/>
        </w:rPr>
        <w:t xml:space="preserve">  </w:t>
      </w:r>
    </w:p>
    <w:p>
      <w:pPr>
        <w:pStyle w:val="Normal"/>
        <w:bidi w:val="0"/>
        <w:spacing w:before="0" w:after="0"/>
        <w:ind w:left="720" w:right="0" w:hanging="0"/>
        <w:jc w:val="left"/>
        <w:rPr>
          <w:sz w:val="4"/>
          <w:szCs w:val="4"/>
        </w:rPr>
      </w:pPr>
      <w:r>
        <w:rPr>
          <w:sz w:val="4"/>
          <w:szCs w:val="4"/>
        </w:rPr>
      </w:r>
      <w:bookmarkStart w:id="121" w:name="z4497eff7a8e442fb8cfd23b4de693ae9"/>
      <w:bookmarkStart w:id="122" w:name="z4497eff7a8e442fb8cfd23b4de693ae9"/>
      <w:bookmarkEnd w:id="122"/>
    </w:p>
    <w:tbl>
      <w:tblPr>
        <w:tblW w:w="589" w:type="dxa"/>
        <w:jc w:val="left"/>
        <w:tblInd w:w="720" w:type="dxa"/>
        <w:tblLayout w:type="fixed"/>
        <w:tblCellMar>
          <w:top w:w="0" w:type="dxa"/>
          <w:left w:w="0" w:type="dxa"/>
          <w:bottom w:w="0" w:type="dxa"/>
          <w:right w:w="0" w:type="dxa"/>
        </w:tblCellMar>
      </w:tblPr>
      <w:tblGrid>
        <w:gridCol w:w="380"/>
        <w:gridCol w:w="23"/>
        <w:gridCol w:w="23"/>
        <w:gridCol w:w="140"/>
        <w:gridCol w:w="23"/>
      </w:tblGrid>
      <w:tr>
        <w:trPr/>
        <w:tc>
          <w:tcPr>
            <w:tcW w:w="380" w:type="dxa"/>
            <w:tcBorders/>
            <w:vAlign w:val="center"/>
          </w:tcPr>
          <w:p>
            <w:pPr>
              <w:pStyle w:val="TableContents"/>
              <w:bidi w:val="0"/>
              <w:spacing w:before="0" w:after="283"/>
              <w:jc w:val="left"/>
              <w:rPr/>
            </w:pPr>
            <w:r>
              <w:rPr/>
              <w:t>No.</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0"/>
              <w:jc w:val="left"/>
              <w:rPr/>
            </w:pPr>
            <w:r>
              <w:rPr/>
            </w:r>
          </w:p>
        </w:tc>
        <w:tc>
          <w:tcPr>
            <w:tcW w:w="140" w:type="dxa"/>
            <w:tcBorders/>
            <w:vAlign w:val="center"/>
          </w:tcPr>
          <w:p>
            <w:pPr>
              <w:pStyle w:val="TableContents"/>
              <w:bidi w:val="0"/>
              <w:spacing w:before="0" w:after="283"/>
              <w:jc w:val="left"/>
              <w:rPr/>
            </w:pPr>
            <w:r>
              <w:rPr/>
              <w:t>$</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r>
    </w:tbl>
    <w:p>
      <w:pPr>
        <w:pStyle w:val="TextBody"/>
        <w:bidi w:val="0"/>
        <w:spacing w:before="0" w:after="0"/>
        <w:ind w:left="0" w:right="0" w:firstLine="720"/>
        <w:jc w:val="both"/>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ICON INVESTMENTS SIX DESIGNATED ACTIVITY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promises to pay to ____________ or registered assigns, the principal sum [set forth on the Schedule of Exchanges of Interests in the Global Note attached hereto] [__________________ DOLLARS] on August 13, 2036.</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Original Issue Date:  August 13, 2026.</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Interest Payment Dates:  February 13 and August 13.</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Record Dates:  February 1 and August 1.</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Interest Rate:  5.995%.</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Additional provisions of this Note are set forth on the other side of this Note.</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TextBody"/>
        <w:bidi w:val="0"/>
        <w:spacing w:lineRule="auto" w:line="240" w:before="0" w:after="0"/>
        <w:ind w:left="357" w:right="0" w:hanging="357"/>
        <w:jc w:val="both"/>
        <w:rPr>
          <w:rFonts w:ascii="Times New Roman" w:hAnsi="Times New Roman"/>
          <w:color w:val="000000"/>
          <w:sz w:val="20"/>
        </w:rPr>
      </w:pPr>
      <w:r>
        <w:rPr>
          <w:rFonts w:ascii="Times New Roman" w:hAnsi="Times New Roman"/>
          <w:color w:val="000000"/>
          <w:sz w:val="20"/>
        </w:rPr>
        <w:t>5 CUSIPs: 45115A AH7 (Rule 144A) and G4712P AC2 (Regulation S).</w:t>
      </w:r>
    </w:p>
    <w:p>
      <w:pPr>
        <w:pStyle w:val="TextBody"/>
        <w:bidi w:val="0"/>
        <w:spacing w:lineRule="auto" w:line="240" w:before="0" w:after="0"/>
        <w:ind w:left="357" w:right="0" w:hanging="357"/>
        <w:jc w:val="both"/>
        <w:rPr>
          <w:rFonts w:ascii="Times New Roman" w:hAnsi="Times New Roman"/>
          <w:color w:val="000000"/>
          <w:sz w:val="20"/>
        </w:rPr>
      </w:pPr>
      <w:r>
        <w:rPr>
          <w:rFonts w:ascii="Times New Roman" w:hAnsi="Times New Roman"/>
          <w:color w:val="000000"/>
          <w:sz w:val="20"/>
        </w:rPr>
        <w:t>6 ISINs: US45115AAH77 (Rule 144A) and USG4712PAC26 (Regulation 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C - 1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23" w:name="z813efe08a1d54e0daf4beaaabb8a1345"/>
      <w:bookmarkStart w:id="124" w:name="z813efe08a1d54e0daf4beaaabb8a1345"/>
      <w:bookmarkEnd w:id="124"/>
    </w:p>
    <w:tbl>
      <w:tblPr>
        <w:tblW w:w="6972" w:type="dxa"/>
        <w:jc w:val="left"/>
        <w:tblInd w:w="0" w:type="dxa"/>
        <w:tblLayout w:type="fixed"/>
        <w:tblCellMar>
          <w:top w:w="0" w:type="dxa"/>
          <w:left w:w="0" w:type="dxa"/>
          <w:bottom w:w="0" w:type="dxa"/>
          <w:right w:w="0" w:type="dxa"/>
        </w:tblCellMar>
      </w:tblPr>
      <w:tblGrid>
        <w:gridCol w:w="6443"/>
        <w:gridCol w:w="251"/>
        <w:gridCol w:w="255"/>
        <w:gridCol w:w="23"/>
      </w:tblGrid>
      <w:tr>
        <w:trPr/>
        <w:tc>
          <w:tcPr>
            <w:tcW w:w="6443" w:type="dxa"/>
            <w:tcBorders/>
            <w:vAlign w:val="center"/>
          </w:tcPr>
          <w:p>
            <w:pPr>
              <w:pStyle w:val="TableContents"/>
              <w:bidi w:val="0"/>
              <w:spacing w:before="0" w:after="283"/>
              <w:jc w:val="left"/>
              <w:rPr/>
            </w:pPr>
            <w:r>
              <w:rPr/>
              <w:t>Dated:</w:t>
            </w:r>
          </w:p>
        </w:tc>
        <w:tc>
          <w:tcPr>
            <w:tcW w:w="251" w:type="dxa"/>
            <w:tcBorders>
              <w:bottom w:val="single" w:sz="12" w:space="0" w:color="000000"/>
            </w:tcBorders>
            <w:tcMar>
              <w:bottom w:w="28" w:type="dxa"/>
            </w:tcMar>
            <w:vAlign w:val="center"/>
          </w:tcPr>
          <w:p>
            <w:pPr>
              <w:pStyle w:val="TableContents"/>
              <w:bidi w:val="0"/>
              <w:spacing w:before="0" w:after="283"/>
              <w:jc w:val="left"/>
              <w:rPr/>
            </w:pPr>
            <w:r>
              <w:rPr/>
            </w:r>
          </w:p>
        </w:tc>
        <w:tc>
          <w:tcPr>
            <w:tcW w:w="25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6443" w:type="dxa"/>
            <w:tcBorders/>
            <w:vAlign w:val="center"/>
          </w:tcPr>
          <w:p>
            <w:pPr>
              <w:pStyle w:val="TableContents"/>
              <w:bidi w:val="0"/>
              <w:spacing w:before="0" w:after="283"/>
              <w:jc w:val="left"/>
              <w:rPr/>
            </w:pPr>
            <w:r>
              <w:rPr/>
            </w:r>
          </w:p>
        </w:tc>
        <w:tc>
          <w:tcPr>
            <w:tcW w:w="251" w:type="dxa"/>
            <w:tcBorders/>
            <w:vAlign w:val="center"/>
          </w:tcPr>
          <w:p>
            <w:pPr>
              <w:pStyle w:val="TableContents"/>
              <w:bidi w:val="0"/>
              <w:spacing w:before="0" w:after="283"/>
              <w:jc w:val="left"/>
              <w:rPr/>
            </w:pPr>
            <w:r>
              <w:rPr/>
            </w:r>
          </w:p>
        </w:tc>
        <w:tc>
          <w:tcPr>
            <w:tcW w:w="25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6949" w:type="dxa"/>
            <w:gridSpan w:val="3"/>
            <w:tcBorders/>
            <w:vAlign w:val="center"/>
          </w:tcPr>
          <w:p>
            <w:pPr>
              <w:pStyle w:val="TableContents"/>
              <w:bidi w:val="0"/>
              <w:spacing w:before="0" w:after="0"/>
              <w:jc w:val="both"/>
              <w:rPr>
                <w:color w:val="000000"/>
              </w:rPr>
            </w:pPr>
            <w:r>
              <w:rPr>
                <w:color w:val="000000"/>
              </w:rPr>
              <w:t>ICON INVESTMENTS SIX DESIGNATED ACTIVITY COMPANY</w:t>
            </w:r>
          </w:p>
        </w:tc>
        <w:tc>
          <w:tcPr>
            <w:tcW w:w="23" w:type="dxa"/>
            <w:tcBorders/>
            <w:vAlign w:val="center"/>
          </w:tcPr>
          <w:p>
            <w:pPr>
              <w:pStyle w:val="TableContents"/>
              <w:bidi w:val="0"/>
              <w:spacing w:before="0" w:after="283"/>
              <w:jc w:val="left"/>
              <w:rPr/>
            </w:pPr>
            <w:r>
              <w:rPr/>
            </w:r>
          </w:p>
        </w:tc>
      </w:tr>
      <w:tr>
        <w:trPr/>
        <w:tc>
          <w:tcPr>
            <w:tcW w:w="6443" w:type="dxa"/>
            <w:tcBorders/>
            <w:vAlign w:val="center"/>
          </w:tcPr>
          <w:p>
            <w:pPr>
              <w:pStyle w:val="TableContents"/>
              <w:bidi w:val="0"/>
              <w:spacing w:before="0" w:after="283"/>
              <w:jc w:val="left"/>
              <w:rPr/>
            </w:pPr>
            <w:r>
              <w:rPr/>
            </w:r>
          </w:p>
        </w:tc>
        <w:tc>
          <w:tcPr>
            <w:tcW w:w="251" w:type="dxa"/>
            <w:tcBorders/>
            <w:vAlign w:val="center"/>
          </w:tcPr>
          <w:p>
            <w:pPr>
              <w:pStyle w:val="TableContents"/>
              <w:bidi w:val="0"/>
              <w:spacing w:before="0" w:after="283"/>
              <w:jc w:val="left"/>
              <w:rPr/>
            </w:pPr>
            <w:r>
              <w:rPr/>
            </w:r>
          </w:p>
        </w:tc>
        <w:tc>
          <w:tcPr>
            <w:tcW w:w="25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bl>
    <w:p>
      <w:pPr>
        <w:pStyle w:val="Normal"/>
        <w:bidi w:val="0"/>
        <w:spacing w:before="0" w:after="0"/>
        <w:jc w:val="left"/>
        <w:rPr>
          <w:sz w:val="4"/>
          <w:szCs w:val="4"/>
        </w:rPr>
      </w:pPr>
      <w:r>
        <w:rPr>
          <w:sz w:val="4"/>
          <w:szCs w:val="4"/>
        </w:rPr>
      </w:r>
      <w:bookmarkStart w:id="125" w:name="35cdb309d05e47cd80ea5aa99385d4f8"/>
      <w:bookmarkStart w:id="126" w:name="35cdb309d05e47cd80ea5aa99385d4f8"/>
      <w:bookmarkEnd w:id="126"/>
    </w:p>
    <w:tbl>
      <w:tblPr>
        <w:tblW w:w="1135" w:type="dxa"/>
        <w:jc w:val="left"/>
        <w:tblInd w:w="0" w:type="dxa"/>
        <w:tblLayout w:type="fixed"/>
        <w:tblCellMar>
          <w:top w:w="0" w:type="dxa"/>
          <w:left w:w="0" w:type="dxa"/>
          <w:bottom w:w="0" w:type="dxa"/>
          <w:right w:w="0" w:type="dxa"/>
        </w:tblCellMar>
      </w:tblPr>
      <w:tblGrid>
        <w:gridCol w:w="365"/>
        <w:gridCol w:w="650"/>
        <w:gridCol w:w="60"/>
        <w:gridCol w:w="60"/>
      </w:tblGrid>
      <w:tr>
        <w:trPr/>
        <w:tc>
          <w:tcPr>
            <w:tcW w:w="365" w:type="dxa"/>
            <w:tcBorders/>
            <w:vAlign w:val="center"/>
          </w:tcPr>
          <w:p>
            <w:pPr>
              <w:pStyle w:val="TableContents"/>
              <w:bidi w:val="0"/>
              <w:spacing w:before="0" w:after="283"/>
              <w:jc w:val="left"/>
              <w:rPr>
                <w:color w:val="000000"/>
              </w:rPr>
            </w:pPr>
            <w:r>
              <w:rPr>
                <w:color w:val="000000"/>
              </w:rPr>
              <w:t>By:</w:t>
            </w:r>
          </w:p>
        </w:tc>
        <w:tc>
          <w:tcPr>
            <w:tcW w:w="65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r>
          </w:p>
        </w:tc>
        <w:tc>
          <w:tcPr>
            <w:tcW w:w="650" w:type="dxa"/>
            <w:tcBorders/>
            <w:vAlign w:val="center"/>
          </w:tcPr>
          <w:p>
            <w:pPr>
              <w:pStyle w:val="TableContents"/>
              <w:bidi w:val="0"/>
              <w:spacing w:before="0" w:after="0"/>
              <w:jc w:val="both"/>
              <w:rPr>
                <w:color w:val="000000"/>
              </w:rPr>
            </w:pPr>
            <w:r>
              <w:rPr>
                <w:color w:val="000000"/>
              </w:rPr>
              <w:t>Name: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r>
          </w:p>
        </w:tc>
        <w:tc>
          <w:tcPr>
            <w:tcW w:w="650" w:type="dxa"/>
            <w:tcBorders/>
            <w:vAlign w:val="center"/>
          </w:tcPr>
          <w:p>
            <w:pPr>
              <w:pStyle w:val="TableContents"/>
              <w:bidi w:val="0"/>
              <w:spacing w:before="0" w:after="0"/>
              <w:jc w:val="both"/>
              <w:rPr>
                <w:color w:val="000000"/>
              </w:rPr>
            </w:pPr>
            <w:r>
              <w:rPr>
                <w:color w:val="000000"/>
              </w:rPr>
              <w:t>Title: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[Signature Page to 5.995% Note due 2036]</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C - 2</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TRUSTEE’S CERTIFICATE OF AUTHENTICATION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is one of the Notes referred to</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the within-mentioned Indenture: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7" w:name="6bcf297e31ad442f9e697a9b1ec58b1c"/>
      <w:bookmarkStart w:id="128" w:name="6bcf297e31ad442f9e697a9b1ec58b1c"/>
      <w:bookmarkEnd w:id="128"/>
    </w:p>
    <w:tbl>
      <w:tblPr>
        <w:tblW w:w="2105" w:type="dxa"/>
        <w:jc w:val="left"/>
        <w:tblInd w:w="0" w:type="dxa"/>
        <w:tblLayout w:type="fixed"/>
        <w:tblCellMar>
          <w:top w:w="0" w:type="dxa"/>
          <w:left w:w="0" w:type="dxa"/>
          <w:bottom w:w="0" w:type="dxa"/>
          <w:right w:w="0" w:type="dxa"/>
        </w:tblCellMar>
      </w:tblPr>
      <w:tblGrid>
        <w:gridCol w:w="1915"/>
        <w:gridCol w:w="144"/>
        <w:gridCol w:w="23"/>
        <w:gridCol w:w="23"/>
      </w:tblGrid>
      <w:tr>
        <w:trPr/>
        <w:tc>
          <w:tcPr>
            <w:tcW w:w="2059" w:type="dxa"/>
            <w:gridSpan w:val="2"/>
            <w:tcBorders/>
            <w:vAlign w:val="center"/>
          </w:tcPr>
          <w:p>
            <w:pPr>
              <w:pStyle w:val="TableContents"/>
              <w:bidi w:val="0"/>
              <w:spacing w:before="0" w:after="0"/>
              <w:jc w:val="left"/>
              <w:rPr>
                <w:color w:val="000000"/>
              </w:rPr>
            </w:pPr>
            <w:r>
              <w:rPr>
                <w:color w:val="000000"/>
              </w:rPr>
              <w:t>CITIBANK, N.A.,</w:t>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2059" w:type="dxa"/>
            <w:gridSpan w:val="2"/>
            <w:tcBorders/>
            <w:vAlign w:val="center"/>
          </w:tcPr>
          <w:p>
            <w:pPr>
              <w:pStyle w:val="TableContents"/>
              <w:bidi w:val="0"/>
              <w:spacing w:before="0" w:after="0"/>
              <w:jc w:val="left"/>
              <w:rPr>
                <w:color w:val="000000"/>
              </w:rPr>
            </w:pPr>
            <w:r>
              <w:rPr>
                <w:color w:val="000000"/>
              </w:rPr>
              <w:t>as Trustee</w:t>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2059" w:type="dxa"/>
            <w:gridSpan w:val="2"/>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1915" w:type="dxa"/>
            <w:tcBorders/>
            <w:vAlign w:val="center"/>
          </w:tcPr>
          <w:p>
            <w:pPr>
              <w:pStyle w:val="TableContents"/>
              <w:bidi w:val="0"/>
              <w:spacing w:before="0" w:after="283"/>
              <w:jc w:val="left"/>
              <w:rPr>
                <w:color w:val="000000"/>
              </w:rPr>
            </w:pPr>
            <w:r>
              <w:rPr>
                <w:color w:val="000000"/>
              </w:rPr>
              <w:t>By:</w:t>
            </w:r>
          </w:p>
        </w:tc>
        <w:tc>
          <w:tcPr>
            <w:tcW w:w="144"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2059" w:type="dxa"/>
            <w:gridSpan w:val="2"/>
            <w:tcBorders/>
            <w:vAlign w:val="center"/>
          </w:tcPr>
          <w:p>
            <w:pPr>
              <w:pStyle w:val="TableContents"/>
              <w:bidi w:val="0"/>
              <w:spacing w:before="0" w:after="0"/>
              <w:jc w:val="center"/>
              <w:rPr>
                <w:color w:val="000000"/>
              </w:rPr>
            </w:pPr>
            <w:r>
              <w:rPr>
                <w:color w:val="000000"/>
              </w:rPr>
              <w:t>Authorized Signatory</w:t>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[Signature Page to 5.995% Note due 2036]</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C - 3</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 of Reverse Side of Initial Note]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5.995% Notes due 2036 (the “</w:t>
      </w:r>
      <w:r>
        <w:rPr>
          <w:rFonts w:ascii="Times New Roman" w:hAnsi="Times New Roman"/>
          <w:i/>
          <w:color w:val="000000"/>
          <w:sz w:val="20"/>
        </w:rPr>
        <w:t>Notes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Capitalized terms used herein have the meanings assigned to them in the Indenture referred to below unless otherwise indicated.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          </w:t>
      </w:r>
      <w:r>
        <w:rPr>
          <w:rFonts w:ascii="Times New Roman" w:hAnsi="Times New Roman"/>
          <w:i/>
          <w:color w:val="000000"/>
          <w:sz w:val="20"/>
        </w:rPr>
        <w:t>INTEREST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 promises to pay interest semi-annually in arrears February 13 and August 13 of each year, or if any such day is not a Business Day, on the next succeeding Business Day (each, an “</w:t>
      </w:r>
      <w:r>
        <w:rPr>
          <w:rFonts w:ascii="Times New Roman" w:hAnsi="Times New Roman"/>
          <w:i/>
          <w:color w:val="000000"/>
          <w:sz w:val="20"/>
        </w:rPr>
        <w:t>Interest Payment Date</w:t>
      </w:r>
      <w:r>
        <w:rPr>
          <w:rFonts w:ascii="Times New Roman" w:hAnsi="Times New Roman"/>
          <w:color w:val="000000"/>
          <w:sz w:val="20"/>
        </w:rPr>
        <w:t xml:space="preserve">”).  Interest on the Notes (computed on the basis of a 360-day year consisting of twelve 30-day months) will accrue from the most recent date to which interest has been paid or, if no interest has been paid, from the Original Issue Date (shown on the face of this Note) until maturity at a rate per annum equal to 5.995%; </w:t>
      </w:r>
      <w:r>
        <w:rPr>
          <w:rFonts w:ascii="Times New Roman" w:hAnsi="Times New Roman"/>
          <w:i/>
          <w:color w:val="000000"/>
          <w:sz w:val="20"/>
        </w:rPr>
        <w:t>provided</w:t>
      </w:r>
      <w:r>
        <w:rPr>
          <w:rFonts w:ascii="Times New Roman" w:hAnsi="Times New Roman"/>
          <w:color w:val="000000"/>
          <w:sz w:val="20"/>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Times New Roman" w:hAnsi="Times New Roman"/>
          <w:i/>
          <w:color w:val="000000"/>
          <w:sz w:val="20"/>
        </w:rPr>
        <w:t>provided further</w:t>
      </w:r>
      <w:r>
        <w:rPr>
          <w:rFonts w:ascii="Times New Roman" w:hAnsi="Times New Roman"/>
          <w:color w:val="000000"/>
          <w:sz w:val="20"/>
        </w:rPr>
        <w:t xml:space="preserve"> that the first Interest Payment Date shall be February 13, 2027.  If an interest payment date or the maturity date falls on a day that is not a Business Day, the related payment of principal or interest will be made on the next succeeding Business Day as if made on the date the payment was due, and no interest shall accrue for the intervening period.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(2)          </w:t>
      </w:r>
      <w:r>
        <w:rPr>
          <w:rFonts w:ascii="Times New Roman" w:hAnsi="Times New Roman"/>
          <w:i/>
          <w:color w:val="000000"/>
          <w:sz w:val="20"/>
        </w:rPr>
        <w:t>METHOD OF PAYMENT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The Issuer will pay interest on the Notes (except defaulted interest) to the Persons who are registered Holders of Notes at the close of business on the February 1 or August 1 next preceding the Interest Payment Date, even if such Notes are cancelled after such record date and on or before such Interest Payment Date, except as provided in Section 2.14 of the Base Indenture with respect to defaulted interest.  The Notes will be payable as to principal, premium, if any, and interest at the office or agency of the Paying Agent maintained for such purpose within the City and State of New York, or, at the option of the Issuer, payment of interest may be made by check mailed to the Holders at their addresses set forth in the books and records of the Registrar; </w:t>
      </w:r>
      <w:r>
        <w:rPr>
          <w:rFonts w:ascii="Times New Roman" w:hAnsi="Times New Roman"/>
          <w:i/>
          <w:color w:val="000000"/>
          <w:sz w:val="20"/>
        </w:rPr>
        <w:t>provided</w:t>
      </w:r>
      <w:r>
        <w:rPr>
          <w:rFonts w:ascii="Times New Roman" w:hAnsi="Times New Roman"/>
          <w:color w:val="000000"/>
          <w:sz w:val="20"/>
        </w:rPr>
        <w:t xml:space="preserve"> that payment by wire transfer of immediately available funds will be required with respect to principal of and interest and premium, if any, on, all Global Notes and all other Notes the Holders of which will have provided wire transfer instructions to the Issuer or the Paying Agent.  Such payment will be in such money of the United States of America as at the time of payment is legal tender for payment of public and private debts.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(3)          </w:t>
      </w:r>
      <w:r>
        <w:rPr>
          <w:rFonts w:ascii="Times New Roman" w:hAnsi="Times New Roman"/>
          <w:i/>
          <w:color w:val="000000"/>
          <w:sz w:val="20"/>
        </w:rPr>
        <w:t>PAYING AGENT AND REGISTRAR</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Initially, Citibank, N.A., the Trustee under the Indenture, will act as Paying Agent and Registrar.  The Issuer may change any Paying Agent or Registrar without notice to any Holder.  The Issuer or any of its Subsidiaries may act in any such capacity.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(4)          </w:t>
      </w:r>
      <w:r>
        <w:rPr>
          <w:rFonts w:ascii="Times New Roman" w:hAnsi="Times New Roman"/>
          <w:i/>
          <w:color w:val="000000"/>
          <w:sz w:val="20"/>
        </w:rPr>
        <w:t>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 issued the Notes pursuant to an Indenture, dated as of August 13, 2026 (the “</w:t>
      </w:r>
      <w:r>
        <w:rPr>
          <w:rFonts w:ascii="Times New Roman" w:hAnsi="Times New Roman"/>
          <w:i/>
          <w:color w:val="000000"/>
          <w:sz w:val="20"/>
        </w:rPr>
        <w:t>Base Indenture</w:t>
      </w:r>
      <w:r>
        <w:rPr>
          <w:rFonts w:ascii="Times New Roman" w:hAnsi="Times New Roman"/>
          <w:color w:val="000000"/>
          <w:sz w:val="20"/>
        </w:rPr>
        <w:t>”), among the Issuer, Parent and the Trustee, as amended and supplemented with respect to the Notes by the First Supplemental Indenture, dated as of August 13, 2026 (the “</w:t>
      </w:r>
      <w:r>
        <w:rPr>
          <w:rFonts w:ascii="Times New Roman" w:hAnsi="Times New Roman"/>
          <w:i/>
          <w:color w:val="000000"/>
          <w:sz w:val="20"/>
        </w:rPr>
        <w:t>First Supplemental Indenture</w:t>
      </w:r>
      <w:r>
        <w:rPr>
          <w:rFonts w:ascii="Times New Roman" w:hAnsi="Times New Roman"/>
          <w:color w:val="000000"/>
          <w:sz w:val="20"/>
        </w:rPr>
        <w:t>”; the Base Indenture, as amended and supplemented with respect to the Notes by the First Supplemental Indenture, the “</w:t>
      </w:r>
      <w:r>
        <w:rPr>
          <w:rFonts w:ascii="Times New Roman" w:hAnsi="Times New Roman"/>
          <w:i/>
          <w:color w:val="000000"/>
          <w:sz w:val="20"/>
        </w:rPr>
        <w:t>Indenture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terms of the Notes include those stated in the Indenture and those made part of the Indenture by reference to the Trust Indenture Act.  The Notes are subject to all such terms, and Holders are referred to the Indenture and to the Trust Indenture Act for a statement of such terms.  To the extent any provision of this Note conflicts with the express provisions of the Indenture, the provisions of the Indenture shall govern and be controlling.  The Notes are senior unsecured obligations of the Issuer.  The Indenture does not limit the aggregate principal amount of Notes that may be issued thereunder.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C - 4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Issuer’s obligations under the Notes are unconditionally guaranteed on a senior unsecured basis, to the extent set forth in the Indenture, by the Parent.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(5)          </w:t>
      </w:r>
      <w:r>
        <w:rPr>
          <w:rFonts w:ascii="Times New Roman" w:hAnsi="Times New Roman"/>
          <w:i/>
          <w:color w:val="000000"/>
          <w:sz w:val="20"/>
        </w:rPr>
        <w:t>OPTIONAL REDEMPTION.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Prior to May 13, 2036 (the “</w:t>
      </w:r>
      <w:r>
        <w:rPr>
          <w:rFonts w:ascii="Times New Roman" w:hAnsi="Times New Roman"/>
          <w:i/>
          <w:color w:val="000000"/>
          <w:sz w:val="20"/>
        </w:rPr>
        <w:t>Par Call Date</w:t>
      </w:r>
      <w:r>
        <w:rPr>
          <w:rFonts w:ascii="Times New Roman" w:hAnsi="Times New Roman"/>
          <w:color w:val="000000"/>
          <w:sz w:val="20"/>
        </w:rPr>
        <w:t>”), the Issuer may redeem the Notes at its option, in whole or in part, at any time and from time to time, at a redemption price (expressed as a percentage of principal amount and rounded to three decimal places) equal to the greater of:</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          the sum of the present values of the remaining scheduled payments of principal and interest thereon discounted to the redemption date (assuming that such Notes matured on the Par Call Date) on a semi-annual basis (assuming a 360-day year consisting of twelve 30-day months) at the applicable Treasury Rate (as defined below) plus 25 basis points, less unpaid interest accrued to the date of redemption (any excess of the amount described in this bullet point over the amount described in the immediately succeeding bullet point, the “</w:t>
      </w:r>
      <w:r>
        <w:rPr>
          <w:rFonts w:ascii="Times New Roman" w:hAnsi="Times New Roman"/>
          <w:i/>
          <w:color w:val="000000"/>
          <w:sz w:val="20"/>
        </w:rPr>
        <w:t>Applicable Premium</w:t>
      </w:r>
      <w:r>
        <w:rPr>
          <w:rFonts w:ascii="Times New Roman" w:hAnsi="Times New Roman"/>
          <w:color w:val="000000"/>
          <w:sz w:val="20"/>
        </w:rPr>
        <w:t>”); and</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(b)          100% of the principal amount of the Notes to be redeemed,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plus, in either case, accrued and unpaid interest thereon to the redemption date, as calculated by the Issuer, which the Trustee shall not be required to review, investigate or verify.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On or after the Par Call Date, the Issuer may redeem the Notes, in whole or in part, at any time or from time to time, at a redemption price equal to 100% of the principal amount of the Notes being redeemed plus accrued and unpaid interest thereon to, but not including, the redemption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i/>
          <w:color w:val="000000"/>
          <w:sz w:val="20"/>
        </w:rPr>
        <w:t>Treasury Rate</w:t>
      </w:r>
      <w:r>
        <w:rPr>
          <w:rFonts w:ascii="Times New Roman" w:hAnsi="Times New Roman"/>
          <w:color w:val="000000"/>
          <w:sz w:val="20"/>
        </w:rPr>
        <w:t>” means, with respect to any redemption date, the yield determined by the Issuer in accordance with the following two paragraphs.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Issuer shall select, as applicable:  (1) the yield for the Treasury constant maturity on H.15 exactly equal to the period from the redemption date to the Par Call Date (the “</w:t>
      </w:r>
      <w:r>
        <w:rPr>
          <w:rFonts w:ascii="Times New Roman" w:hAnsi="Times New Roman"/>
          <w:i/>
          <w:color w:val="000000"/>
          <w:sz w:val="20"/>
        </w:rPr>
        <w:t>Remaining Life</w:t>
      </w:r>
      <w:r>
        <w:rPr>
          <w:rFonts w:ascii="Times New Roman" w:hAnsi="Times New Roman"/>
          <w:color w:val="000000"/>
          <w:sz w:val="20"/>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C - 5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Issuer’s actions and determinations in determining the redemption price shall be conclusive and binding for all purposes, absent manifest error.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Notice of any redemption will be mailed or electronically delivered (or otherwise transmitted in accordance with the depositary’s procedures) at least 10 days but not more than 60 days before the redemption date to each holder of Notes to be redeemed. Any notice to the holders of the Notes of such redemption must include the appropriate calculation of the redemption price, but need not include the redemption price itself.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Trustee shall have no responsibility for calculating the redemption price for the Notes.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Unless the Issuer defaults in the payment of the redemption price, on an after its redemption date, interest will cease to accrue on the Notes or portions thereof called for redemption.  At or before 10:00 a.m. (New York time) on the redemption date, the Issuer will deposit with the Trustee or a paying agent money sufficient to pay the redemption price of and accrued interest on the Notes to be redeemed on such date.  If less than all of the Notes are to be redeemed, the Notes to be redeemed shall be selected in accordance with the procedures of DTC.</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(6)          </w:t>
      </w:r>
      <w:r>
        <w:rPr>
          <w:rFonts w:ascii="Times New Roman" w:hAnsi="Times New Roman"/>
          <w:i/>
          <w:color w:val="000000"/>
          <w:sz w:val="20"/>
        </w:rPr>
        <w:t>MANDATORY REDEMPTION.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 is not required to make mandatory redemption or sinking fund payments with respect to the Notes.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(7)          </w:t>
      </w:r>
      <w:r>
        <w:rPr>
          <w:rFonts w:ascii="Times New Roman" w:hAnsi="Times New Roman"/>
          <w:i/>
          <w:color w:val="000000"/>
          <w:sz w:val="20"/>
        </w:rPr>
        <w:t>NOTICE OF REDEMPTION.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Notice of redemption will be sent at least 10 days but not more than 60 days before the redemption date to each Holder whose Notes are to be redeemed, except that redemption notices may be sent or mailed more than 60 days prior to a redemption date if the notice is issued in connection with a defeasance of the Notes or a satisfaction and discharge of the Indenture.  Notes in denominations larger than $200,000 may be redeemed in part but only in whole multiples of $1,000, unless all of the Notes held by a Holder are to be redeemed.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C - 6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(8)          </w:t>
      </w:r>
      <w:r>
        <w:rPr>
          <w:rFonts w:ascii="Times New Roman" w:hAnsi="Times New Roman"/>
          <w:i/>
          <w:color w:val="000000"/>
          <w:sz w:val="20"/>
        </w:rPr>
        <w:t>REPURCHASE AT THE OPTION OF HOLDER.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a Change of Control Triggering Event occurs, unless the Issuer has previously or concurrently delivered a redemption notice with respect to all the outstanding Notes pursuant to Section 3.01 of the First Supplemental Indenture, within 30 days following such Change of Control Triggering Event, the Issuer will make a Change of Control Offer on the terms set forth in the Indenture and in compliance with Section 3.05 of the First Supplemental Indenture.  In the Change of Control Offer, the Issuer will offer to purchase all of the Notes at a purchase price in cash equal to 101% of the aggregate principal amount of Notes repurchased, plus accrued and unpaid interest on the Notes repurchased to, but not including, the date of purchase (subject to the rights of Holders of Notes on the relevant record date to receive interest due on the relevant interest payment date if the Notes have not been redeemed or repurchased prior to such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(9)          </w:t>
      </w:r>
      <w:r>
        <w:rPr>
          <w:rFonts w:ascii="Times New Roman" w:hAnsi="Times New Roman"/>
          <w:i/>
          <w:color w:val="000000"/>
          <w:sz w:val="20"/>
        </w:rPr>
        <w:t>DENOMINATIONS, TRANSFER, EXCHANGE.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Notes are in registered form without coupons in minimum denominations of $200,000 and integral multiples of $1,000.  The transfer of Notes may be registered and Notes may be exchanged as provided in the Indenture.  The Registrar and the Trustee may require a Holder, among other things, to furnish appropriate endorsements and transfer documents and the Issuer may require a Holder to pay any taxes and fees required by law or permitted by the Indenture.  The Issuer need not exchange or register the transfer or exchange of any Note or portion of a Note selected for redemption, except for the unredeemed portion of any Note being redeemed in part.  Also, the Issuer need not exchange or register the transfer of any Notes (i) for a period beginning at the opening of business 15 days immediately preceding the sending of notice of redemption of Notes selected for redemption and ending at the close of business on the day such notice is sent or (ii) during the period between a record date and the corresponding Interest Payment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(10)        </w:t>
      </w:r>
      <w:r>
        <w:rPr>
          <w:rFonts w:ascii="Times New Roman" w:hAnsi="Times New Roman"/>
          <w:i/>
          <w:color w:val="000000"/>
          <w:sz w:val="20"/>
        </w:rPr>
        <w:t xml:space="preserve">PERSONS DEEMED OWNERS.  </w:t>
      </w:r>
      <w:r>
        <w:rPr>
          <w:rFonts w:ascii="Times New Roman" w:hAnsi="Times New Roman"/>
          <w:color w:val="000000"/>
          <w:sz w:val="20"/>
        </w:rPr>
        <w:t>The registered Holder of a Note may be treated as its owner for all purposes.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(11)        </w:t>
      </w:r>
      <w:r>
        <w:rPr>
          <w:rFonts w:ascii="Times New Roman" w:hAnsi="Times New Roman"/>
          <w:i/>
          <w:color w:val="000000"/>
          <w:sz w:val="20"/>
        </w:rPr>
        <w:t xml:space="preserve">AMENDMENT, SUPPLEMENT AND WAIVER.  </w:t>
      </w:r>
      <w:r>
        <w:rPr>
          <w:rFonts w:ascii="Times New Roman" w:hAnsi="Times New Roman"/>
          <w:color w:val="000000"/>
          <w:sz w:val="20"/>
        </w:rPr>
        <w:t>The Indenture, the Notes and the Parent Guarantee may be amended, supplemented or waived as provided in the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(12)       </w:t>
      </w:r>
      <w:r>
        <w:rPr>
          <w:rFonts w:ascii="Times New Roman" w:hAnsi="Times New Roman"/>
          <w:i/>
          <w:color w:val="000000"/>
          <w:sz w:val="20"/>
        </w:rPr>
        <w:t>DEFAULTS AND REMEDIES</w:t>
      </w:r>
      <w:r>
        <w:rPr>
          <w:rFonts w:ascii="Times New Roman" w:hAnsi="Times New Roman"/>
          <w:color w:val="000000"/>
          <w:sz w:val="20"/>
        </w:rPr>
        <w:t>.  If there is a continuing Event of Default (other than an Event of Default specified in Sections 6.01(6) and 6.01(7) of the Indenture with respect to the Parent or the Issuer) with respect to the Notes, either the Trustee or the Holders of at least 25% of the outstanding principal amount of such Notes affected thereby may declare the principal amount of all of such Notes to be due and payable immediately.  However, at any time after the Trustee or the Holders, as the case may be, declare an acceleration with respect to any such Notes, but before the applicable person has obtained a judgment or decree based on such acceleration, the Holders of a majority in principal amount of the outstanding Notes may, under certain conditions, cancel such acceleration if the Parent has cured all Events of Default (other than the nonpayment of accelerated principal) with respect to the Notes or all such Events of Default have been waived as provided in the Indenture.  If an Event of Default specified in Sections 6.01(6) and 6.01(7) of the First Supplemental Indenture with respect to the Parent or the Issuer occurs, all outstanding Notes shall become due and payable without any further action or notice.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(13)       </w:t>
      </w:r>
      <w:r>
        <w:rPr>
          <w:rFonts w:ascii="Times New Roman" w:hAnsi="Times New Roman"/>
          <w:i/>
          <w:color w:val="000000"/>
          <w:sz w:val="20"/>
        </w:rPr>
        <w:t>TRUSTEE DEALINGS WITH ISSUER</w:t>
      </w:r>
      <w:r>
        <w:rPr>
          <w:rFonts w:ascii="Times New Roman" w:hAnsi="Times New Roman"/>
          <w:color w:val="000000"/>
          <w:sz w:val="20"/>
        </w:rPr>
        <w:t>.  The Trustee, in its individual or any other capacity, may make loans to, accept deposits from, and perform services for the Issuer or its respective Affiliates, and may otherwise deal with the Issuer or its respective Affiliates, as if it were not the Trustee.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(14)        </w:t>
      </w:r>
      <w:r>
        <w:rPr>
          <w:rFonts w:ascii="Times New Roman" w:hAnsi="Times New Roman"/>
          <w:i/>
          <w:color w:val="000000"/>
          <w:sz w:val="20"/>
        </w:rPr>
        <w:t>NO RECOURSE AGAINST OTHERS</w:t>
      </w:r>
      <w:r>
        <w:rPr>
          <w:rFonts w:ascii="Times New Roman" w:hAnsi="Times New Roman"/>
          <w:color w:val="000000"/>
          <w:sz w:val="20"/>
        </w:rPr>
        <w:t>.  No past, present or future director, officer, member, manager, partner, employee, incorporator or stockholder of the Issuer or the Parent, as such, will have any liability for any obligations of the Issuer or the Parent under the Notes, the Indenture, the Parent Guarantee or for any claim based on, in respect of, or by reason of, such obligations or their creation.  Each Holder by accepting a Note waives and releases all such liability.  The waiver and release are part of the consideration for the issuance of the Notes.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(15)       </w:t>
      </w:r>
      <w:r>
        <w:rPr>
          <w:rFonts w:ascii="Times New Roman" w:hAnsi="Times New Roman"/>
          <w:i/>
          <w:color w:val="000000"/>
          <w:sz w:val="20"/>
        </w:rPr>
        <w:t>AUTHENTICATION</w:t>
      </w:r>
      <w:r>
        <w:rPr>
          <w:rFonts w:ascii="Times New Roman" w:hAnsi="Times New Roman"/>
          <w:color w:val="000000"/>
          <w:sz w:val="20"/>
        </w:rPr>
        <w:t>.  This Note will not be valid until authenticated by the manual, facsimile or electronic (including PDF) signature of the Trustee or an authenticating agent.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C - 7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(16)       ABBREVIATIONS.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(17)       </w:t>
      </w:r>
      <w:r>
        <w:rPr>
          <w:rFonts w:ascii="Times New Roman" w:hAnsi="Times New Roman"/>
          <w:i/>
          <w:color w:val="000000"/>
          <w:sz w:val="20"/>
        </w:rPr>
        <w:t>CUSIP NUMBERS</w:t>
      </w:r>
      <w:r>
        <w:rPr>
          <w:rFonts w:ascii="Times New Roman" w:hAnsi="Times New Roman"/>
          <w:color w:val="000000"/>
          <w:sz w:val="20"/>
        </w:rPr>
        <w:t>.  Pursuant to a recommendation promulgated by the Committee on Uniform Security Identification Procedures, the 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  No redemption will be affected by any defect in or omission of such numbers.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(18)     </w:t>
      </w:r>
      <w:r>
        <w:rPr>
          <w:rFonts w:ascii="Times New Roman" w:hAnsi="Times New Roman"/>
          <w:i/>
          <w:color w:val="000000"/>
          <w:sz w:val="20"/>
        </w:rPr>
        <w:t>GOVERNING LAW</w:t>
      </w:r>
      <w:r>
        <w:rPr>
          <w:rFonts w:ascii="Times New Roman" w:hAnsi="Times New Roman"/>
          <w:color w:val="000000"/>
          <w:sz w:val="20"/>
        </w:rPr>
        <w:t>.  THE INDENTURE, THIS NOTE AND THE PARENT GUARANTEE SHALL BE GOVERNED BY, AND CONSTRUED IN ACCORDANCE WITH THE LAWS OF THE STATE OF NEW YORK WITHOUT REGARD TO THE CONFLICT OF LAWS PROVISIONS THEREOF.  EACH OF THE ISSUER, THE TRUSTEE AND THE PARENT HEREBY IRREVOCABLY WAIVES, TO THE FULLEST EXTENT PERMITTED BY APPLICABLE LAW, ANY AND ALL RIGHT TO TRIAL BY JURY IN ANY LEGAL PROCEEDING ARISING OUT OF OR RELATING TO THE INDENTURE, THIS NOTE OR THE TRANSACTIONS CONTEMPLATED THEREBY OR HEREBY.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Issuer will furnish to any Holder upon written request and without charge a copy of the Indenture.  Requests may be made 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Icon Investments Six Designated Activity Company</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South County Business Park, Leopardstown</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Dublin 18, D18 X5R3, Ireland</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Attention:  FAO Group Treasurer</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Phone:  +353 1 291 2000</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C - 8</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ASSIGNMENT FORM</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 assign this Note, fill in the form below:</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129" w:name="z6b7d826a5b4d443888f130fff7cd9ec7"/>
      <w:bookmarkStart w:id="130" w:name="z6b7d826a5b4d443888f130fff7cd9ec7"/>
      <w:bookmarkEnd w:id="130"/>
    </w:p>
    <w:tbl>
      <w:tblPr>
        <w:tblW w:w="6940" w:type="dxa"/>
        <w:jc w:val="left"/>
        <w:tblInd w:w="0" w:type="dxa"/>
        <w:tblLayout w:type="fixed"/>
        <w:tblCellMar>
          <w:top w:w="0" w:type="dxa"/>
          <w:left w:w="0" w:type="dxa"/>
          <w:bottom w:w="0" w:type="dxa"/>
          <w:right w:w="0" w:type="dxa"/>
        </w:tblCellMar>
      </w:tblPr>
      <w:tblGrid>
        <w:gridCol w:w="60"/>
        <w:gridCol w:w="4025"/>
        <w:gridCol w:w="2795"/>
        <w:gridCol w:w="60"/>
      </w:tblGrid>
      <w:tr>
        <w:trPr/>
        <w:tc>
          <w:tcPr>
            <w:tcW w:w="60" w:type="dxa"/>
            <w:tcBorders/>
            <w:vAlign w:val="center"/>
          </w:tcPr>
          <w:p>
            <w:pPr>
              <w:pStyle w:val="TableContents"/>
              <w:bidi w:val="0"/>
              <w:spacing w:before="0" w:after="283"/>
              <w:jc w:val="left"/>
              <w:rPr/>
            </w:pPr>
            <w:r>
              <w:rPr/>
            </w:r>
          </w:p>
        </w:tc>
        <w:tc>
          <w:tcPr>
            <w:tcW w:w="4025" w:type="dxa"/>
            <w:tcBorders/>
            <w:vAlign w:val="center"/>
          </w:tcPr>
          <w:p>
            <w:pPr>
              <w:pStyle w:val="TableContents"/>
              <w:bidi w:val="0"/>
              <w:spacing w:before="0" w:after="0"/>
              <w:jc w:val="both"/>
              <w:rPr/>
            </w:pPr>
            <w:r>
              <w:rPr/>
              <w:t>(I) or (we) assign and transfer this Note to:</w:t>
            </w:r>
          </w:p>
        </w:tc>
        <w:tc>
          <w:tcPr>
            <w:tcW w:w="2795" w:type="dxa"/>
            <w:tcBorders>
              <w:bottom w:val="single" w:sz="12" w:space="0" w:color="000000"/>
            </w:tcBorders>
            <w:tcMar>
              <w:bottom w:w="28" w:type="dxa"/>
            </w:tcMar>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0"/>
              <w:jc w:val="center"/>
              <w:rPr/>
            </w:pPr>
            <w:r>
              <w:rPr/>
              <w:t>(Insert assignee’s legal name)</w:t>
            </w:r>
          </w:p>
        </w:tc>
        <w:tc>
          <w:tcPr>
            <w:tcW w:w="60" w:type="dxa"/>
            <w:tcBorders/>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31" w:name="zd3115a9bc82d42b2adb6752150a2b4a6"/>
      <w:bookmarkStart w:id="132" w:name="zd3115a9bc82d42b2adb6752150a2b4a6"/>
      <w:bookmarkEnd w:id="132"/>
    </w:p>
    <w:tbl>
      <w:tblPr>
        <w:tblW w:w="8428" w:type="dxa"/>
        <w:jc w:val="left"/>
        <w:tblInd w:w="0" w:type="dxa"/>
        <w:tblLayout w:type="fixed"/>
        <w:tblCellMar>
          <w:top w:w="0" w:type="dxa"/>
          <w:left w:w="0" w:type="dxa"/>
          <w:bottom w:w="0" w:type="dxa"/>
          <w:right w:w="0" w:type="dxa"/>
        </w:tblCellMar>
      </w:tblPr>
      <w:tblGrid>
        <w:gridCol w:w="60"/>
        <w:gridCol w:w="8345"/>
        <w:gridCol w:w="23"/>
      </w:tblGrid>
      <w:tr>
        <w:trPr/>
        <w:tc>
          <w:tcPr>
            <w:tcW w:w="60" w:type="dxa"/>
            <w:tcBorders/>
            <w:vAlign w:val="center"/>
          </w:tcPr>
          <w:p>
            <w:pPr>
              <w:pStyle w:val="TableContents"/>
              <w:bidi w:val="0"/>
              <w:spacing w:before="0" w:after="283"/>
              <w:jc w:val="left"/>
              <w:rPr/>
            </w:pPr>
            <w:r>
              <w:rPr/>
            </w:r>
          </w:p>
        </w:tc>
        <w:tc>
          <w:tcPr>
            <w:tcW w:w="8345"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r>
          </w:p>
        </w:tc>
        <w:tc>
          <w:tcPr>
            <w:tcW w:w="8345" w:type="dxa"/>
            <w:tcBorders/>
            <w:vAlign w:val="center"/>
          </w:tcPr>
          <w:p>
            <w:pPr>
              <w:pStyle w:val="TableContents"/>
              <w:bidi w:val="0"/>
              <w:spacing w:before="0" w:after="0"/>
              <w:jc w:val="center"/>
              <w:rPr/>
            </w:pPr>
            <w:r>
              <w:rPr/>
              <w:t>(Insert assignee’s soc. sec. or tax I.D. no.)</w:t>
            </w:r>
          </w:p>
        </w:tc>
        <w:tc>
          <w:tcPr>
            <w:tcW w:w="23"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r>
          </w:p>
        </w:tc>
        <w:tc>
          <w:tcPr>
            <w:tcW w:w="8345"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r>
          </w:p>
        </w:tc>
        <w:tc>
          <w:tcPr>
            <w:tcW w:w="8345"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r>
          </w:p>
        </w:tc>
        <w:tc>
          <w:tcPr>
            <w:tcW w:w="8345"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r>
          </w:p>
        </w:tc>
        <w:tc>
          <w:tcPr>
            <w:tcW w:w="8345"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r>
          </w:p>
        </w:tc>
        <w:tc>
          <w:tcPr>
            <w:tcW w:w="8345" w:type="dxa"/>
            <w:tcBorders/>
            <w:vAlign w:val="center"/>
          </w:tcPr>
          <w:p>
            <w:pPr>
              <w:pStyle w:val="TableContents"/>
              <w:bidi w:val="0"/>
              <w:spacing w:before="0" w:after="0"/>
              <w:jc w:val="center"/>
              <w:rPr>
                <w:color w:val="000000"/>
              </w:rPr>
            </w:pPr>
            <w:r>
              <w:rPr>
                <w:color w:val="000000"/>
              </w:rPr>
              <w:t>(Print or type assignee’s name, address and zip code)</w:t>
            </w:r>
          </w:p>
        </w:tc>
        <w:tc>
          <w:tcPr>
            <w:tcW w:w="23"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r>
          </w:p>
        </w:tc>
        <w:tc>
          <w:tcPr>
            <w:tcW w:w="8345" w:type="dxa"/>
            <w:tcBorders/>
            <w:vAlign w:val="center"/>
          </w:tcPr>
          <w:p>
            <w:pPr>
              <w:pStyle w:val="TableContents"/>
              <w:bidi w:val="0"/>
              <w:spacing w:before="0" w:after="0"/>
              <w:jc w:val="both"/>
              <w:rPr/>
            </w:pPr>
            <w:r>
              <w:rPr/>
              <w:t>and irrevocably appoint _____________ to transfer this Note on the books of the Issuer.</w:t>
            </w:r>
          </w:p>
        </w:tc>
        <w:tc>
          <w:tcPr>
            <w:tcW w:w="23" w:type="dxa"/>
            <w:tcBorders/>
            <w:vAlign w:val="center"/>
          </w:tcPr>
          <w:p>
            <w:pPr>
              <w:pStyle w:val="TableContents"/>
              <w:bidi w:val="0"/>
              <w:spacing w:before="0" w:after="283"/>
              <w:jc w:val="left"/>
              <w:rPr/>
            </w:pPr>
            <w:r>
              <w:rPr/>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t>The agent may substitute another to act for him.</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3" w:name="z97208fb58995432494d2eacdcf68a2bd"/>
      <w:bookmarkStart w:id="134" w:name="z97208fb58995432494d2eacdcf68a2bd"/>
      <w:bookmarkEnd w:id="134"/>
    </w:p>
    <w:tbl>
      <w:tblPr>
        <w:tblW w:w="599" w:type="dxa"/>
        <w:jc w:val="left"/>
        <w:tblInd w:w="0" w:type="dxa"/>
        <w:tblLayout w:type="fixed"/>
        <w:tblCellMar>
          <w:top w:w="0" w:type="dxa"/>
          <w:left w:w="0" w:type="dxa"/>
          <w:bottom w:w="0" w:type="dxa"/>
          <w:right w:w="0" w:type="dxa"/>
        </w:tblCellMar>
      </w:tblPr>
      <w:tblGrid>
        <w:gridCol w:w="23"/>
        <w:gridCol w:w="530"/>
        <w:gridCol w:w="23"/>
        <w:gridCol w:w="23"/>
      </w:tblGrid>
      <w:tr>
        <w:trPr/>
        <w:tc>
          <w:tcPr>
            <w:tcW w:w="23" w:type="dxa"/>
            <w:tcBorders/>
            <w:vAlign w:val="center"/>
          </w:tcPr>
          <w:p>
            <w:pPr>
              <w:pStyle w:val="TableContents"/>
              <w:bidi w:val="0"/>
              <w:spacing w:before="0" w:after="283"/>
              <w:jc w:val="left"/>
              <w:rPr/>
            </w:pPr>
            <w:r>
              <w:rPr/>
            </w:r>
          </w:p>
        </w:tc>
        <w:tc>
          <w:tcPr>
            <w:tcW w:w="530" w:type="dxa"/>
            <w:tcBorders/>
            <w:vAlign w:val="center"/>
          </w:tcPr>
          <w:p>
            <w:pPr>
              <w:pStyle w:val="TableContents"/>
              <w:bidi w:val="0"/>
              <w:spacing w:before="0" w:after="0"/>
              <w:jc w:val="both"/>
              <w:rPr/>
            </w:pPr>
            <w:r>
              <w:rPr/>
              <w:t>Date:</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5" w:name="z94b6ea4b96f045e0af72c0bf5743febd"/>
      <w:bookmarkStart w:id="136" w:name="z94b6ea4b96f045e0af72c0bf5743febd"/>
      <w:bookmarkEnd w:id="136"/>
    </w:p>
    <w:tbl>
      <w:tblPr>
        <w:tblW w:w="5726" w:type="dxa"/>
        <w:jc w:val="left"/>
        <w:tblInd w:w="0" w:type="dxa"/>
        <w:tblLayout w:type="fixed"/>
        <w:tblCellMar>
          <w:top w:w="0" w:type="dxa"/>
          <w:left w:w="0" w:type="dxa"/>
          <w:bottom w:w="0" w:type="dxa"/>
          <w:right w:w="0" w:type="dxa"/>
        </w:tblCellMar>
      </w:tblPr>
      <w:tblGrid>
        <w:gridCol w:w="23"/>
        <w:gridCol w:w="5539"/>
        <w:gridCol w:w="82"/>
        <w:gridCol w:w="82"/>
      </w:tblGrid>
      <w:tr>
        <w:trPr/>
        <w:tc>
          <w:tcPr>
            <w:tcW w:w="23" w:type="dxa"/>
            <w:tcBorders/>
            <w:vAlign w:val="center"/>
          </w:tcPr>
          <w:p>
            <w:pPr>
              <w:pStyle w:val="TableContents"/>
              <w:bidi w:val="0"/>
              <w:spacing w:before="0" w:after="283"/>
              <w:jc w:val="left"/>
              <w:rPr/>
            </w:pPr>
            <w:r>
              <w:rPr/>
            </w:r>
          </w:p>
        </w:tc>
        <w:tc>
          <w:tcPr>
            <w:tcW w:w="5539" w:type="dxa"/>
            <w:tcBorders/>
            <w:vAlign w:val="center"/>
          </w:tcPr>
          <w:p>
            <w:pPr>
              <w:pStyle w:val="TableContents"/>
              <w:bidi w:val="0"/>
              <w:spacing w:before="0" w:after="0"/>
              <w:jc w:val="both"/>
              <w:rPr/>
            </w:pPr>
            <w:r>
              <w:rPr/>
              <w:t>Your Signature:</w:t>
            </w:r>
          </w:p>
        </w:tc>
        <w:tc>
          <w:tcPr>
            <w:tcW w:w="82" w:type="dxa"/>
            <w:tcBorders>
              <w:bottom w:val="single" w:sz="12" w:space="0" w:color="000000"/>
            </w:tcBorders>
            <w:tcMar>
              <w:bottom w:w="28" w:type="dxa"/>
            </w:tcMar>
            <w:vAlign w:val="center"/>
          </w:tcPr>
          <w:p>
            <w:pPr>
              <w:pStyle w:val="TableContents"/>
              <w:bidi w:val="0"/>
              <w:spacing w:before="0" w:after="283"/>
              <w:jc w:val="left"/>
              <w:rPr/>
            </w:pPr>
            <w:r>
              <w:rPr/>
            </w:r>
          </w:p>
        </w:tc>
        <w:tc>
          <w:tcPr>
            <w:tcW w:w="82"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5703" w:type="dxa"/>
            <w:gridSpan w:val="3"/>
            <w:tcBorders/>
            <w:vAlign w:val="center"/>
          </w:tcPr>
          <w:p>
            <w:pPr>
              <w:pStyle w:val="TableContents"/>
              <w:bidi w:val="0"/>
              <w:spacing w:before="0" w:after="0"/>
              <w:ind w:left="720" w:right="0" w:hanging="0"/>
              <w:jc w:val="both"/>
              <w:rPr/>
            </w:pPr>
            <w:r>
              <w:rPr/>
              <w:t>(Sign exactly as your name appears on the face of this Note)</w:t>
            </w:r>
          </w:p>
        </w:tc>
      </w:tr>
    </w:tbl>
    <w:p>
      <w:pPr>
        <w:pStyle w:val="TextBody"/>
        <w:bidi w:val="0"/>
        <w:spacing w:before="0" w:after="0"/>
        <w:ind w:left="0" w:right="0" w:firstLine="720"/>
        <w:jc w:val="both"/>
        <w:rPr/>
      </w:pPr>
      <w:r>
        <w:rPr/>
      </w:r>
    </w:p>
    <w:p>
      <w:pPr>
        <w:pStyle w:val="Normal"/>
        <w:bidi w:val="0"/>
        <w:spacing w:before="0" w:after="0"/>
        <w:jc w:val="left"/>
        <w:rPr>
          <w:sz w:val="4"/>
          <w:szCs w:val="4"/>
        </w:rPr>
      </w:pPr>
      <w:r>
        <w:rPr>
          <w:sz w:val="4"/>
          <w:szCs w:val="4"/>
        </w:rPr>
      </w:r>
      <w:bookmarkStart w:id="137" w:name="z0bb07eb4c153404cb967f5b108ce893f"/>
      <w:bookmarkStart w:id="138" w:name="z0bb07eb4c153404cb967f5b108ce893f"/>
      <w:bookmarkEnd w:id="138"/>
    </w:p>
    <w:tbl>
      <w:tblPr>
        <w:tblW w:w="2204" w:type="dxa"/>
        <w:jc w:val="left"/>
        <w:tblInd w:w="0" w:type="dxa"/>
        <w:tblLayout w:type="fixed"/>
        <w:tblCellMar>
          <w:top w:w="0" w:type="dxa"/>
          <w:left w:w="0" w:type="dxa"/>
          <w:bottom w:w="0" w:type="dxa"/>
          <w:right w:w="0" w:type="dxa"/>
        </w:tblCellMar>
      </w:tblPr>
      <w:tblGrid>
        <w:gridCol w:w="23"/>
        <w:gridCol w:w="2135"/>
        <w:gridCol w:w="23"/>
        <w:gridCol w:w="23"/>
      </w:tblGrid>
      <w:tr>
        <w:trPr/>
        <w:tc>
          <w:tcPr>
            <w:tcW w:w="23" w:type="dxa"/>
            <w:tcBorders/>
            <w:vAlign w:val="center"/>
          </w:tcPr>
          <w:p>
            <w:pPr>
              <w:pStyle w:val="TableContents"/>
              <w:bidi w:val="0"/>
              <w:spacing w:before="0" w:after="283"/>
              <w:jc w:val="left"/>
              <w:rPr/>
            </w:pPr>
            <w:r>
              <w:rPr/>
            </w:r>
          </w:p>
        </w:tc>
        <w:tc>
          <w:tcPr>
            <w:tcW w:w="2135" w:type="dxa"/>
            <w:tcBorders/>
            <w:vAlign w:val="center"/>
          </w:tcPr>
          <w:p>
            <w:pPr>
              <w:pStyle w:val="TableContents"/>
              <w:bidi w:val="0"/>
              <w:spacing w:before="0" w:after="283"/>
              <w:jc w:val="left"/>
              <w:rPr/>
            </w:pPr>
            <w:r>
              <w:rPr/>
              <w:t>Signature Guarantee*:</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Participant in a recognized Signature Guarantee Medallion Program (or other signature guarantor acceptable to the Trustee).</w:t>
      </w:r>
    </w:p>
    <w:p>
      <w:pPr>
        <w:pStyle w:val="TextBody"/>
        <w:bidi w:val="0"/>
        <w:spacing w:before="0" w:after="0"/>
        <w:ind w:left="0" w:right="0" w:firstLine="72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C - 9</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Option of Holder to Elect Purchase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you want to elect to have this Note purchased by the Issuer pursuant to Section 4.02 of the First Supplemental Indenture, sign and return this form as directed.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you want to elect to have only part of the Note purchased by the Issuer pursuant to Section 4.02 of the First Supplemental Indenture, state the amount you elect to have purchased:</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9" w:name="72f3996ba14340e5a6764470d09c2d7d"/>
      <w:bookmarkStart w:id="140" w:name="72f3996ba14340e5a6764470d09c2d7d"/>
      <w:bookmarkEnd w:id="140"/>
    </w:p>
    <w:tbl>
      <w:tblPr>
        <w:tblW w:w="6234" w:type="dxa"/>
        <w:jc w:val="left"/>
        <w:tblInd w:w="0" w:type="dxa"/>
        <w:tblLayout w:type="fixed"/>
        <w:tblCellMar>
          <w:top w:w="0" w:type="dxa"/>
          <w:left w:w="0" w:type="dxa"/>
          <w:bottom w:w="0" w:type="dxa"/>
          <w:right w:w="0" w:type="dxa"/>
        </w:tblCellMar>
      </w:tblPr>
      <w:tblGrid>
        <w:gridCol w:w="530"/>
        <w:gridCol w:w="2852"/>
        <w:gridCol w:w="2852"/>
      </w:tblGrid>
      <w:tr>
        <w:trPr/>
        <w:tc>
          <w:tcPr>
            <w:tcW w:w="530" w:type="dxa"/>
            <w:tcBorders/>
            <w:vAlign w:val="center"/>
          </w:tcPr>
          <w:p>
            <w:pPr>
              <w:pStyle w:val="TableContents"/>
              <w:bidi w:val="0"/>
              <w:spacing w:before="0" w:after="283"/>
              <w:jc w:val="left"/>
              <w:rPr/>
            </w:pPr>
            <w:r>
              <w:rPr/>
            </w:r>
          </w:p>
        </w:tc>
        <w:tc>
          <w:tcPr>
            <w:tcW w:w="5704" w:type="dxa"/>
            <w:gridSpan w:val="2"/>
            <w:tcBorders/>
            <w:vAlign w:val="center"/>
          </w:tcPr>
          <w:p>
            <w:pPr>
              <w:pStyle w:val="TableContents"/>
              <w:bidi w:val="0"/>
              <w:spacing w:before="0" w:after="0"/>
              <w:jc w:val="both"/>
              <w:rPr>
                <w:color w:val="000000"/>
              </w:rPr>
            </w:pPr>
            <w:r>
              <w:rPr>
                <w:color w:val="000000"/>
              </w:rPr>
              <w:t>$</w:t>
            </w:r>
          </w:p>
        </w:tc>
      </w:tr>
      <w:tr>
        <w:trPr/>
        <w:tc>
          <w:tcPr>
            <w:tcW w:w="530" w:type="dxa"/>
            <w:tcBorders/>
            <w:vAlign w:val="center"/>
          </w:tcPr>
          <w:p>
            <w:pPr>
              <w:pStyle w:val="TableContents"/>
              <w:bidi w:val="0"/>
              <w:spacing w:before="0" w:after="0"/>
              <w:jc w:val="both"/>
              <w:rPr>
                <w:color w:val="000000"/>
              </w:rPr>
            </w:pPr>
            <w:r>
              <w:rPr>
                <w:color w:val="000000"/>
              </w:rPr>
              <w:t>Date:</w:t>
            </w:r>
          </w:p>
        </w:tc>
        <w:tc>
          <w:tcPr>
            <w:tcW w:w="2852" w:type="dxa"/>
            <w:tcBorders>
              <w:bottom w:val="single" w:sz="12" w:space="0" w:color="000000"/>
            </w:tcBorders>
            <w:tcMar>
              <w:bottom w:w="28" w:type="dxa"/>
            </w:tcMar>
            <w:vAlign w:val="center"/>
          </w:tcPr>
          <w:p>
            <w:pPr>
              <w:pStyle w:val="TableContents"/>
              <w:bidi w:val="0"/>
              <w:spacing w:before="0" w:after="283"/>
              <w:jc w:val="left"/>
              <w:rPr/>
            </w:pPr>
            <w:r>
              <w:rPr/>
            </w:r>
          </w:p>
        </w:tc>
        <w:tc>
          <w:tcPr>
            <w:tcW w:w="2852" w:type="dxa"/>
            <w:tcBorders/>
            <w:vAlign w:val="center"/>
          </w:tcPr>
          <w:p>
            <w:pPr>
              <w:pStyle w:val="TableContents"/>
              <w:bidi w:val="0"/>
              <w:spacing w:before="0" w:after="283"/>
              <w:jc w:val="left"/>
              <w:rPr/>
            </w:pPr>
            <w:r>
              <w:rPr/>
            </w:r>
          </w:p>
        </w:tc>
      </w:tr>
      <w:tr>
        <w:trPr/>
        <w:tc>
          <w:tcPr>
            <w:tcW w:w="530" w:type="dxa"/>
            <w:tcBorders/>
            <w:vAlign w:val="center"/>
          </w:tcPr>
          <w:p>
            <w:pPr>
              <w:pStyle w:val="TableContents"/>
              <w:bidi w:val="0"/>
              <w:spacing w:before="0" w:after="283"/>
              <w:jc w:val="left"/>
              <w:rPr/>
            </w:pPr>
            <w:r>
              <w:rPr/>
            </w:r>
          </w:p>
        </w:tc>
        <w:tc>
          <w:tcPr>
            <w:tcW w:w="5704" w:type="dxa"/>
            <w:gridSpan w:val="2"/>
            <w:tcBorders/>
            <w:vAlign w:val="center"/>
          </w:tcPr>
          <w:p>
            <w:pPr>
              <w:pStyle w:val="TableContents"/>
              <w:bidi w:val="0"/>
              <w:spacing w:before="0" w:after="0"/>
              <w:jc w:val="both"/>
              <w:rPr>
                <w:color w:val="000000"/>
              </w:rPr>
            </w:pPr>
            <w:r>
              <w:rPr>
                <w:color w:val="000000"/>
              </w:rPr>
              <w:t>Your Signature:</w:t>
            </w:r>
          </w:p>
          <w:p>
            <w:pPr>
              <w:pStyle w:val="TableContents"/>
              <w:bidi w:val="0"/>
              <w:spacing w:before="0" w:after="0"/>
              <w:jc w:val="both"/>
              <w:rPr>
                <w:color w:val="000000"/>
              </w:rPr>
            </w:pPr>
            <w:r>
              <w:rPr>
                <w:color w:val="000000"/>
              </w:rPr>
              <w:t>(Sign exactly as your name appears on the face of this Note)</w:t>
            </w:r>
          </w:p>
        </w:tc>
      </w:tr>
      <w:tr>
        <w:trPr/>
        <w:tc>
          <w:tcPr>
            <w:tcW w:w="530" w:type="dxa"/>
            <w:tcBorders/>
            <w:vAlign w:val="center"/>
          </w:tcPr>
          <w:p>
            <w:pPr>
              <w:pStyle w:val="TableContents"/>
              <w:bidi w:val="0"/>
              <w:spacing w:before="0" w:after="283"/>
              <w:jc w:val="left"/>
              <w:rPr/>
            </w:pPr>
            <w:r>
              <w:rPr/>
            </w:r>
          </w:p>
        </w:tc>
        <w:tc>
          <w:tcPr>
            <w:tcW w:w="5704" w:type="dxa"/>
            <w:gridSpan w:val="2"/>
            <w:tcBorders/>
            <w:vAlign w:val="center"/>
          </w:tcPr>
          <w:p>
            <w:pPr>
              <w:pStyle w:val="TableContents"/>
              <w:bidi w:val="0"/>
              <w:spacing w:before="0" w:after="283"/>
              <w:jc w:val="left"/>
              <w:rPr/>
            </w:pPr>
            <w:r>
              <w:rPr/>
            </w:r>
          </w:p>
        </w:tc>
      </w:tr>
      <w:tr>
        <w:trPr/>
        <w:tc>
          <w:tcPr>
            <w:tcW w:w="530" w:type="dxa"/>
            <w:tcBorders/>
            <w:vAlign w:val="center"/>
          </w:tcPr>
          <w:p>
            <w:pPr>
              <w:pStyle w:val="TableContents"/>
              <w:bidi w:val="0"/>
              <w:spacing w:before="0" w:after="283"/>
              <w:jc w:val="left"/>
              <w:rPr/>
            </w:pPr>
            <w:r>
              <w:rPr/>
              <w:t> </w:t>
            </w:r>
          </w:p>
        </w:tc>
        <w:tc>
          <w:tcPr>
            <w:tcW w:w="5704" w:type="dxa"/>
            <w:gridSpan w:val="2"/>
            <w:tcBorders/>
            <w:vAlign w:val="center"/>
          </w:tcPr>
          <w:p>
            <w:pPr>
              <w:pStyle w:val="TableContents"/>
              <w:bidi w:val="0"/>
              <w:spacing w:before="0" w:after="0"/>
              <w:jc w:val="both"/>
              <w:rPr>
                <w:color w:val="000000"/>
              </w:rPr>
            </w:pPr>
            <w:r>
              <w:rPr>
                <w:color w:val="000000"/>
              </w:rPr>
              <w:t>Tax Identification No.:</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Signature Guarantee*: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Participant in a recognized Signature Guarantee Medallion Program (or other signature guarantor acceptable to the Trustee).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C - 10</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SCHEDULE OF EXCHANGES OF INTERESTS IN THE GLOBAL NOTE*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initial outstanding principal amount of this Global Note is $[__________].</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following exchanges of a part of this Global Note for an interest in another Global Note or for a Definitive Note, or exchanges of a part of another Global Note or Definitive Note for an interest in this Global Note, have been made: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1" w:name="1b55a763ff1344cc8252ed96cb753ee3"/>
      <w:bookmarkStart w:id="142" w:name="1b55a763ff1344cc8252ed96cb753ee3"/>
      <w:bookmarkEnd w:id="142"/>
    </w:p>
    <w:tbl>
      <w:tblPr>
        <w:tblW w:w="8277" w:type="dxa"/>
        <w:jc w:val="left"/>
        <w:tblInd w:w="0" w:type="dxa"/>
        <w:tblLayout w:type="fixed"/>
        <w:tblCellMar>
          <w:top w:w="0" w:type="dxa"/>
          <w:left w:w="0" w:type="dxa"/>
          <w:bottom w:w="28" w:type="dxa"/>
          <w:right w:w="0" w:type="dxa"/>
        </w:tblCellMar>
      </w:tblPr>
      <w:tblGrid>
        <w:gridCol w:w="1820"/>
        <w:gridCol w:w="23"/>
        <w:gridCol w:w="1535"/>
        <w:gridCol w:w="23"/>
        <w:gridCol w:w="1535"/>
        <w:gridCol w:w="23"/>
        <w:gridCol w:w="1535"/>
        <w:gridCol w:w="23"/>
        <w:gridCol w:w="1760"/>
      </w:tblGrid>
      <w:tr>
        <w:trPr/>
        <w:tc>
          <w:tcPr>
            <w:tcW w:w="1820" w:type="dxa"/>
            <w:tcBorders>
              <w:bottom w:val="single" w:sz="12" w:space="0" w:color="000000"/>
            </w:tcBorders>
            <w:vAlign w:val="center"/>
          </w:tcPr>
          <w:p>
            <w:pPr>
              <w:pStyle w:val="TableContents"/>
              <w:bidi w:val="0"/>
              <w:spacing w:before="0" w:after="0"/>
              <w:jc w:val="center"/>
              <w:rPr>
                <w:b/>
                <w:color w:val="000000"/>
              </w:rPr>
            </w:pPr>
            <w:r>
              <w:rPr>
                <w:b/>
                <w:color w:val="000000"/>
              </w:rPr>
              <w:t>Date of Exchange</w:t>
            </w:r>
          </w:p>
        </w:tc>
        <w:tc>
          <w:tcPr>
            <w:tcW w:w="23" w:type="dxa"/>
            <w:tcBorders/>
            <w:tcMar>
              <w:bottom w:w="0" w:type="dxa"/>
            </w:tcMar>
            <w:vAlign w:val="center"/>
          </w:tcPr>
          <w:p>
            <w:pPr>
              <w:pStyle w:val="TableContents"/>
              <w:bidi w:val="0"/>
              <w:spacing w:before="0" w:after="283"/>
              <w:jc w:val="left"/>
              <w:rPr/>
            </w:pPr>
            <w:r>
              <w:rPr/>
            </w:r>
          </w:p>
        </w:tc>
        <w:tc>
          <w:tcPr>
            <w:tcW w:w="1535" w:type="dxa"/>
            <w:tcBorders>
              <w:bottom w:val="single" w:sz="12" w:space="0" w:color="000000"/>
            </w:tcBorders>
            <w:vAlign w:val="center"/>
          </w:tcPr>
          <w:p>
            <w:pPr>
              <w:pStyle w:val="TableContents"/>
              <w:bidi w:val="0"/>
              <w:spacing w:before="0" w:after="0"/>
              <w:jc w:val="center"/>
              <w:rPr>
                <w:b/>
                <w:color w:val="000000"/>
              </w:rPr>
            </w:pPr>
            <w:r>
              <w:rPr>
                <w:b/>
                <w:color w:val="000000"/>
              </w:rPr>
              <w:t>Amount of</w:t>
            </w:r>
          </w:p>
          <w:p>
            <w:pPr>
              <w:pStyle w:val="TableContents"/>
              <w:bidi w:val="0"/>
              <w:spacing w:before="0" w:after="0"/>
              <w:jc w:val="center"/>
              <w:rPr>
                <w:b/>
                <w:color w:val="000000"/>
              </w:rPr>
            </w:pPr>
            <w:r>
              <w:rPr>
                <w:b/>
                <w:color w:val="000000"/>
              </w:rPr>
              <w:t>decrease in</w:t>
            </w:r>
          </w:p>
          <w:p>
            <w:pPr>
              <w:pStyle w:val="TableContents"/>
              <w:bidi w:val="0"/>
              <w:spacing w:before="0" w:after="0"/>
              <w:jc w:val="center"/>
              <w:rPr>
                <w:b/>
                <w:color w:val="000000"/>
              </w:rPr>
            </w:pPr>
            <w:r>
              <w:rPr>
                <w:b/>
                <w:color w:val="000000"/>
              </w:rPr>
              <w:t>Principal</w:t>
            </w:r>
          </w:p>
          <w:p>
            <w:pPr>
              <w:pStyle w:val="TableContents"/>
              <w:bidi w:val="0"/>
              <w:spacing w:before="0" w:after="0"/>
              <w:jc w:val="center"/>
              <w:rPr>
                <w:b/>
                <w:color w:val="000000"/>
              </w:rPr>
            </w:pPr>
            <w:r>
              <w:rPr>
                <w:b/>
                <w:color w:val="000000"/>
              </w:rPr>
              <w:t>Amount of this</w:t>
            </w:r>
          </w:p>
          <w:p>
            <w:pPr>
              <w:pStyle w:val="TableContents"/>
              <w:bidi w:val="0"/>
              <w:spacing w:before="0" w:after="0"/>
              <w:jc w:val="center"/>
              <w:rPr>
                <w:b/>
                <w:color w:val="000000"/>
              </w:rPr>
            </w:pPr>
            <w:r>
              <w:rPr>
                <w:b/>
                <w:color w:val="000000"/>
              </w:rPr>
              <w:t>Global Note</w:t>
            </w:r>
          </w:p>
        </w:tc>
        <w:tc>
          <w:tcPr>
            <w:tcW w:w="23" w:type="dxa"/>
            <w:tcBorders/>
            <w:tcMar>
              <w:bottom w:w="0" w:type="dxa"/>
            </w:tcMar>
            <w:vAlign w:val="center"/>
          </w:tcPr>
          <w:p>
            <w:pPr>
              <w:pStyle w:val="TableContents"/>
              <w:bidi w:val="0"/>
              <w:spacing w:before="0" w:after="283"/>
              <w:jc w:val="left"/>
              <w:rPr/>
            </w:pPr>
            <w:r>
              <w:rPr/>
            </w:r>
          </w:p>
        </w:tc>
        <w:tc>
          <w:tcPr>
            <w:tcW w:w="1535" w:type="dxa"/>
            <w:tcBorders>
              <w:bottom w:val="single" w:sz="12" w:space="0" w:color="000000"/>
            </w:tcBorders>
            <w:vAlign w:val="center"/>
          </w:tcPr>
          <w:p>
            <w:pPr>
              <w:pStyle w:val="TableContents"/>
              <w:bidi w:val="0"/>
              <w:spacing w:before="0" w:after="0"/>
              <w:jc w:val="center"/>
              <w:rPr>
                <w:b/>
                <w:color w:val="000000"/>
              </w:rPr>
            </w:pPr>
            <w:r>
              <w:rPr>
                <w:b/>
                <w:color w:val="000000"/>
              </w:rPr>
              <w:t>Amount of</w:t>
            </w:r>
          </w:p>
          <w:p>
            <w:pPr>
              <w:pStyle w:val="TableContents"/>
              <w:bidi w:val="0"/>
              <w:spacing w:before="0" w:after="0"/>
              <w:jc w:val="center"/>
              <w:rPr>
                <w:b/>
                <w:color w:val="000000"/>
              </w:rPr>
            </w:pPr>
            <w:r>
              <w:rPr>
                <w:b/>
                <w:color w:val="000000"/>
              </w:rPr>
              <w:t>increase in</w:t>
            </w:r>
          </w:p>
          <w:p>
            <w:pPr>
              <w:pStyle w:val="TableContents"/>
              <w:bidi w:val="0"/>
              <w:spacing w:before="0" w:after="0"/>
              <w:jc w:val="center"/>
              <w:rPr>
                <w:b/>
                <w:color w:val="000000"/>
              </w:rPr>
            </w:pPr>
            <w:r>
              <w:rPr>
                <w:b/>
                <w:color w:val="000000"/>
              </w:rPr>
              <w:t>Principal</w:t>
            </w:r>
          </w:p>
          <w:p>
            <w:pPr>
              <w:pStyle w:val="TableContents"/>
              <w:bidi w:val="0"/>
              <w:spacing w:before="0" w:after="0"/>
              <w:jc w:val="center"/>
              <w:rPr>
                <w:b/>
                <w:color w:val="000000"/>
              </w:rPr>
            </w:pPr>
            <w:r>
              <w:rPr>
                <w:b/>
                <w:color w:val="000000"/>
              </w:rPr>
              <w:t>Amount of this</w:t>
            </w:r>
          </w:p>
          <w:p>
            <w:pPr>
              <w:pStyle w:val="TableContents"/>
              <w:bidi w:val="0"/>
              <w:spacing w:before="0" w:after="0"/>
              <w:jc w:val="center"/>
              <w:rPr>
                <w:b/>
                <w:color w:val="000000"/>
              </w:rPr>
            </w:pPr>
            <w:r>
              <w:rPr>
                <w:b/>
                <w:color w:val="000000"/>
              </w:rPr>
              <w:t>Global Note</w:t>
            </w:r>
          </w:p>
        </w:tc>
        <w:tc>
          <w:tcPr>
            <w:tcW w:w="23" w:type="dxa"/>
            <w:tcBorders/>
            <w:tcMar>
              <w:bottom w:w="0" w:type="dxa"/>
            </w:tcMar>
            <w:vAlign w:val="center"/>
          </w:tcPr>
          <w:p>
            <w:pPr>
              <w:pStyle w:val="TableContents"/>
              <w:bidi w:val="0"/>
              <w:spacing w:before="0" w:after="283"/>
              <w:jc w:val="left"/>
              <w:rPr/>
            </w:pPr>
            <w:r>
              <w:rPr/>
            </w:r>
          </w:p>
        </w:tc>
        <w:tc>
          <w:tcPr>
            <w:tcW w:w="1535" w:type="dxa"/>
            <w:tcBorders>
              <w:bottom w:val="single" w:sz="12" w:space="0" w:color="000000"/>
            </w:tcBorders>
            <w:vAlign w:val="center"/>
          </w:tcPr>
          <w:p>
            <w:pPr>
              <w:pStyle w:val="TableContents"/>
              <w:bidi w:val="0"/>
              <w:spacing w:before="0" w:after="0"/>
              <w:jc w:val="center"/>
              <w:rPr>
                <w:b/>
                <w:color w:val="000000"/>
              </w:rPr>
            </w:pPr>
            <w:r>
              <w:rPr>
                <w:b/>
                <w:color w:val="000000"/>
              </w:rPr>
              <w:t>Principal</w:t>
            </w:r>
          </w:p>
          <w:p>
            <w:pPr>
              <w:pStyle w:val="TableContents"/>
              <w:bidi w:val="0"/>
              <w:spacing w:before="0" w:after="0"/>
              <w:jc w:val="center"/>
              <w:rPr>
                <w:b/>
                <w:color w:val="000000"/>
              </w:rPr>
            </w:pPr>
            <w:r>
              <w:rPr>
                <w:b/>
                <w:color w:val="000000"/>
              </w:rPr>
              <w:t>Amount of this</w:t>
            </w:r>
          </w:p>
          <w:p>
            <w:pPr>
              <w:pStyle w:val="TableContents"/>
              <w:bidi w:val="0"/>
              <w:spacing w:before="0" w:after="0"/>
              <w:jc w:val="center"/>
              <w:rPr>
                <w:b/>
                <w:color w:val="000000"/>
              </w:rPr>
            </w:pPr>
            <w:r>
              <w:rPr>
                <w:b/>
                <w:color w:val="000000"/>
              </w:rPr>
              <w:t>Global Note</w:t>
            </w:r>
          </w:p>
          <w:p>
            <w:pPr>
              <w:pStyle w:val="TableContents"/>
              <w:bidi w:val="0"/>
              <w:spacing w:before="0" w:after="0"/>
              <w:jc w:val="center"/>
              <w:rPr>
                <w:b/>
                <w:color w:val="000000"/>
              </w:rPr>
            </w:pPr>
            <w:r>
              <w:rPr>
                <w:b/>
                <w:color w:val="000000"/>
              </w:rPr>
              <w:t>following such</w:t>
            </w:r>
          </w:p>
          <w:p>
            <w:pPr>
              <w:pStyle w:val="TableContents"/>
              <w:bidi w:val="0"/>
              <w:spacing w:before="0" w:after="0"/>
              <w:jc w:val="center"/>
              <w:rPr>
                <w:b/>
                <w:color w:val="000000"/>
              </w:rPr>
            </w:pPr>
            <w:r>
              <w:rPr>
                <w:b/>
                <w:color w:val="000000"/>
              </w:rPr>
              <w:t>decrease (or</w:t>
            </w:r>
          </w:p>
          <w:p>
            <w:pPr>
              <w:pStyle w:val="TableContents"/>
              <w:bidi w:val="0"/>
              <w:spacing w:before="0" w:after="0"/>
              <w:jc w:val="center"/>
              <w:rPr>
                <w:b/>
                <w:color w:val="000000"/>
              </w:rPr>
            </w:pPr>
            <w:r>
              <w:rPr>
                <w:b/>
                <w:color w:val="000000"/>
              </w:rPr>
              <w:t>increase)</w:t>
            </w:r>
          </w:p>
        </w:tc>
        <w:tc>
          <w:tcPr>
            <w:tcW w:w="23" w:type="dxa"/>
            <w:tcBorders/>
            <w:tcMar>
              <w:bottom w:w="0" w:type="dxa"/>
            </w:tcMar>
            <w:vAlign w:val="center"/>
          </w:tcPr>
          <w:p>
            <w:pPr>
              <w:pStyle w:val="TableContents"/>
              <w:bidi w:val="0"/>
              <w:spacing w:before="0" w:after="283"/>
              <w:jc w:val="left"/>
              <w:rPr/>
            </w:pPr>
            <w:r>
              <w:rPr/>
            </w:r>
          </w:p>
        </w:tc>
        <w:tc>
          <w:tcPr>
            <w:tcW w:w="1760" w:type="dxa"/>
            <w:tcBorders>
              <w:bottom w:val="single" w:sz="12" w:space="0" w:color="000000"/>
            </w:tcBorders>
            <w:vAlign w:val="center"/>
          </w:tcPr>
          <w:p>
            <w:pPr>
              <w:pStyle w:val="TableContents"/>
              <w:bidi w:val="0"/>
              <w:spacing w:before="0" w:after="0"/>
              <w:jc w:val="center"/>
              <w:rPr>
                <w:b/>
                <w:color w:val="000000"/>
              </w:rPr>
            </w:pPr>
            <w:r>
              <w:rPr>
                <w:b/>
                <w:color w:val="000000"/>
              </w:rPr>
              <w:t>Signature of</w:t>
            </w:r>
          </w:p>
          <w:p>
            <w:pPr>
              <w:pStyle w:val="TableContents"/>
              <w:bidi w:val="0"/>
              <w:spacing w:before="0" w:after="0"/>
              <w:jc w:val="center"/>
              <w:rPr>
                <w:b/>
                <w:color w:val="000000"/>
              </w:rPr>
            </w:pPr>
            <w:r>
              <w:rPr>
                <w:b/>
                <w:color w:val="000000"/>
              </w:rPr>
              <w:t>authorized</w:t>
            </w:r>
          </w:p>
          <w:p>
            <w:pPr>
              <w:pStyle w:val="TableContents"/>
              <w:bidi w:val="0"/>
              <w:spacing w:before="0" w:after="0"/>
              <w:jc w:val="center"/>
              <w:rPr>
                <w:b/>
                <w:color w:val="000000"/>
              </w:rPr>
            </w:pPr>
            <w:r>
              <w:rPr>
                <w:b/>
                <w:color w:val="000000"/>
              </w:rPr>
              <w:t>officer of Trustee</w:t>
            </w:r>
          </w:p>
          <w:p>
            <w:pPr>
              <w:pStyle w:val="TableContents"/>
              <w:bidi w:val="0"/>
              <w:spacing w:before="0" w:after="0"/>
              <w:jc w:val="center"/>
              <w:rPr>
                <w:b/>
                <w:color w:val="000000"/>
              </w:rPr>
            </w:pPr>
            <w:r>
              <w:rPr>
                <w:b/>
                <w:color w:val="000000"/>
              </w:rPr>
              <w:t>or Custodian</w:t>
            </w:r>
          </w:p>
        </w:tc>
      </w:tr>
      <w:tr>
        <w:trPr/>
        <w:tc>
          <w:tcPr>
            <w:tcW w:w="1820" w:type="dxa"/>
            <w:tcBorders>
              <w:bottom w:val="single" w:sz="12" w:space="0" w:color="000000"/>
            </w:tcBorders>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1535" w:type="dxa"/>
            <w:tcBorders>
              <w:bottom w:val="single" w:sz="12" w:space="0" w:color="000000"/>
            </w:tcBorders>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1535" w:type="dxa"/>
            <w:tcBorders>
              <w:bottom w:val="single" w:sz="12" w:space="0" w:color="000000"/>
            </w:tcBorders>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1535" w:type="dxa"/>
            <w:tcBorders>
              <w:bottom w:val="single" w:sz="12" w:space="0" w:color="000000"/>
            </w:tcBorders>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1760" w:type="dxa"/>
            <w:tcBorders>
              <w:bottom w:val="single" w:sz="12" w:space="0" w:color="000000"/>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3" w:name="z5616124f3dc54d8b9e050710bb633a6e"/>
      <w:bookmarkStart w:id="144" w:name="z5616124f3dc54d8b9e050710bb633a6e"/>
      <w:bookmarkEnd w:id="144"/>
    </w:p>
    <w:tbl>
      <w:tblPr>
        <w:tblW w:w="7150" w:type="dxa"/>
        <w:jc w:val="left"/>
        <w:tblInd w:w="0" w:type="dxa"/>
        <w:tblLayout w:type="fixed"/>
        <w:tblCellMar>
          <w:top w:w="0" w:type="dxa"/>
          <w:left w:w="0" w:type="dxa"/>
          <w:bottom w:w="0" w:type="dxa"/>
          <w:right w:w="0" w:type="dxa"/>
        </w:tblCellMar>
      </w:tblPr>
      <w:tblGrid>
        <w:gridCol w:w="155"/>
        <w:gridCol w:w="6995"/>
      </w:tblGrid>
      <w:tr>
        <w:trPr/>
        <w:tc>
          <w:tcPr>
            <w:tcW w:w="155" w:type="dxa"/>
            <w:tcBorders/>
            <w:vAlign w:val="center"/>
          </w:tcPr>
          <w:p>
            <w:pPr>
              <w:pStyle w:val="TableContents"/>
              <w:bidi w:val="0"/>
              <w:spacing w:before="0" w:after="0"/>
              <w:jc w:val="both"/>
              <w:rPr>
                <w:color w:val="000000"/>
              </w:rPr>
            </w:pPr>
            <w:r>
              <w:rPr>
                <w:color w:val="000000"/>
              </w:rPr>
              <w:t>*</w:t>
            </w:r>
          </w:p>
        </w:tc>
        <w:tc>
          <w:tcPr>
            <w:tcW w:w="6995" w:type="dxa"/>
            <w:tcBorders/>
            <w:vAlign w:val="center"/>
          </w:tcPr>
          <w:p>
            <w:pPr>
              <w:pStyle w:val="TableContents"/>
              <w:bidi w:val="0"/>
              <w:spacing w:before="0" w:after="0"/>
              <w:jc w:val="both"/>
              <w:rPr>
                <w:i/>
                <w:color w:val="000000"/>
              </w:rPr>
            </w:pPr>
            <w:r>
              <w:rPr>
                <w:i/>
                <w:color w:val="000000"/>
              </w:rPr>
              <w:t>This schedule should be included only if the Note is issued in global form.</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C - 11</w:t>
      </w:r>
    </w:p>
    <w:p>
      <w:pPr>
        <w:pStyle w:val="HorizontalLine"/>
        <w:pBdr>
          <w:bottom w:val="single" w:sz="12" w:space="0" w:color="808080"/>
        </w:pBdr>
        <w:bidi w:val="0"/>
        <w:spacing w:before="200" w:after="200"/>
        <w:jc w:val="left"/>
        <w:rPr/>
      </w:pPr>
      <w:r>
        <w:rPr/>
      </w:r>
    </w:p>
    <w:p>
      <w:pPr>
        <w:pStyle w:val="TextBody"/>
        <w:bidi w:val="0"/>
        <w:spacing w:before="0" w:after="0"/>
        <w:jc w:val="right"/>
        <w:rPr>
          <w:rFonts w:ascii="Times New Roman" w:hAnsi="Times New Roman"/>
          <w:b/>
          <w:color w:val="000000"/>
          <w:sz w:val="20"/>
        </w:rPr>
      </w:pPr>
      <w:bookmarkStart w:id="145" w:name="z_Ref_ContractCompanion_9kb9Ur06C"/>
      <w:bookmarkEnd w:id="145"/>
      <w:r>
        <w:rPr>
          <w:rFonts w:ascii="Times New Roman" w:hAnsi="Times New Roman"/>
          <w:b/>
          <w:color w:val="000000"/>
          <w:sz w:val="20"/>
        </w:rPr>
        <w:t>Exhibit 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OF CERTIFICATE OF TRANSFER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ICON Investments Six Designated Activity Company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South County Business Park</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Leopardstown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Dublin 18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Ireland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Attention: Chief Financial Officer with a copy to General Counsel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Email: nigel.clerkin@iconplc.com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with a copy to ICON General Counsel: diarmaid.cunningham@iconplc.com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Phone: +353 1 2912000</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Citibank, N.A.</w:t>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388 Greenwich Street – 26th Floor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New York, New York 10013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Email: citi.cspag.debt@citi.com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Attention: NAM – Agency and Trust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Re:  [5.064% Notes due 2029][5.421% Notes due 2031] [5.995% Notes due 2036] (the “</w:t>
      </w:r>
      <w:r>
        <w:rPr>
          <w:rFonts w:ascii="Times New Roman" w:hAnsi="Times New Roman"/>
          <w:i/>
          <w:color w:val="000000"/>
          <w:sz w:val="20"/>
        </w:rPr>
        <w:t>Notes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Reference is hereby made to the Indenture, dated as of August 13, 2026 (the “</w:t>
      </w:r>
      <w:r>
        <w:rPr>
          <w:rFonts w:ascii="Times New Roman" w:hAnsi="Times New Roman"/>
          <w:i/>
          <w:color w:val="000000"/>
          <w:sz w:val="20"/>
        </w:rPr>
        <w:t>Base Indenture</w:t>
      </w:r>
      <w:r>
        <w:rPr>
          <w:rFonts w:ascii="Times New Roman" w:hAnsi="Times New Roman"/>
          <w:color w:val="000000"/>
          <w:sz w:val="20"/>
        </w:rPr>
        <w:t>”), among ICON Investments Six Designated Activity Company (the “</w:t>
      </w:r>
      <w:r>
        <w:rPr>
          <w:rFonts w:ascii="Times New Roman" w:hAnsi="Times New Roman"/>
          <w:i/>
          <w:color w:val="000000"/>
          <w:sz w:val="20"/>
        </w:rPr>
        <w:t>Issuer</w:t>
      </w:r>
      <w:r>
        <w:rPr>
          <w:rFonts w:ascii="Times New Roman" w:hAnsi="Times New Roman"/>
          <w:color w:val="000000"/>
          <w:sz w:val="20"/>
        </w:rPr>
        <w:t>”), ICON Public Limited Company (the “</w:t>
      </w:r>
      <w:r>
        <w:rPr>
          <w:rFonts w:ascii="Times New Roman" w:hAnsi="Times New Roman"/>
          <w:i/>
          <w:color w:val="000000"/>
          <w:sz w:val="20"/>
        </w:rPr>
        <w:t>Parent</w:t>
      </w:r>
      <w:r>
        <w:rPr>
          <w:rFonts w:ascii="Times New Roman" w:hAnsi="Times New Roman"/>
          <w:color w:val="000000"/>
          <w:sz w:val="20"/>
        </w:rPr>
        <w:t>”) and Citibank, N.A., as trustee (in such capacity, the “</w:t>
      </w:r>
      <w:r>
        <w:rPr>
          <w:rFonts w:ascii="Times New Roman" w:hAnsi="Times New Roman"/>
          <w:i/>
          <w:color w:val="000000"/>
          <w:sz w:val="20"/>
        </w:rPr>
        <w:t>Trustee</w:t>
      </w:r>
      <w:r>
        <w:rPr>
          <w:rFonts w:ascii="Times New Roman" w:hAnsi="Times New Roman"/>
          <w:color w:val="000000"/>
          <w:sz w:val="20"/>
        </w:rPr>
        <w:t>”), paying agent and registrar, as amended and supplemented by the First Supplemental Indenture, dated as of August 13, 2026, among the Issuer, the Parent and the Trustee (as so amended and supplemented, the “</w:t>
      </w:r>
      <w:r>
        <w:rPr>
          <w:rFonts w:ascii="Times New Roman" w:hAnsi="Times New Roman"/>
          <w:i/>
          <w:color w:val="000000"/>
          <w:sz w:val="20"/>
        </w:rPr>
        <w:t>Indenture</w:t>
      </w:r>
      <w:r>
        <w:rPr>
          <w:rFonts w:ascii="Times New Roman" w:hAnsi="Times New Roman"/>
          <w:color w:val="000000"/>
          <w:sz w:val="20"/>
        </w:rPr>
        <w:t>”). Capitalized terms used but not defined herein shall have the meanings given to them in the Indenture.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 (the “</w:t>
      </w:r>
      <w:r>
        <w:rPr>
          <w:rFonts w:ascii="Times New Roman" w:hAnsi="Times New Roman"/>
          <w:i/>
          <w:color w:val="000000"/>
          <w:sz w:val="20"/>
        </w:rPr>
        <w:t>Transferor</w:t>
      </w:r>
      <w:r>
        <w:rPr>
          <w:rFonts w:ascii="Times New Roman" w:hAnsi="Times New Roman"/>
          <w:color w:val="000000"/>
          <w:sz w:val="20"/>
        </w:rPr>
        <w:t>”) owns and proposes to transfer the Note[s] or interest in such Note[s] specified in Annex A hereto, in the principal amount of $[    ] in such Note[s] or interests (the “</w:t>
      </w:r>
      <w:r>
        <w:rPr>
          <w:rFonts w:ascii="Times New Roman" w:hAnsi="Times New Roman"/>
          <w:i/>
          <w:color w:val="000000"/>
          <w:sz w:val="20"/>
        </w:rPr>
        <w:t>Transfer</w:t>
      </w:r>
      <w:r>
        <w:rPr>
          <w:rFonts w:ascii="Times New Roman" w:hAnsi="Times New Roman"/>
          <w:color w:val="000000"/>
          <w:sz w:val="20"/>
        </w:rPr>
        <w:t>”), to [    ] (the “</w:t>
      </w:r>
      <w:r>
        <w:rPr>
          <w:rFonts w:ascii="Times New Roman" w:hAnsi="Times New Roman"/>
          <w:i/>
          <w:color w:val="000000"/>
          <w:sz w:val="20"/>
        </w:rPr>
        <w:t>Transferee</w:t>
      </w:r>
      <w:r>
        <w:rPr>
          <w:rFonts w:ascii="Times New Roman" w:hAnsi="Times New Roman"/>
          <w:color w:val="000000"/>
          <w:sz w:val="20"/>
        </w:rPr>
        <w:t>”), as further specified in Annex A hereto. In connection with the Transfer, the Transferor hereby certifies that: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[CHECK ALL THAT APPLY]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6" w:name="z37c9f0366fbd4b3f854805716a235c3f"/>
      <w:bookmarkStart w:id="147" w:name="z37c9f0366fbd4b3f854805716a235c3f"/>
      <w:bookmarkEnd w:id="147"/>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color w:val="000000"/>
              </w:rPr>
            </w:pPr>
            <w:r>
              <w:rPr>
                <w:color w:val="000000"/>
              </w:rPr>
              <w:t>1.</w:t>
            </w:r>
          </w:p>
        </w:tc>
        <w:tc>
          <w:tcPr>
            <w:tcW w:w="10046" w:type="dxa"/>
            <w:tcBorders/>
            <w:vAlign w:val="center"/>
          </w:tcPr>
          <w:p>
            <w:pPr>
              <w:pStyle w:val="TableContents"/>
              <w:bidi w:val="0"/>
              <w:spacing w:before="0" w:after="0"/>
              <w:jc w:val="left"/>
              <w:rPr>
                <w:color w:val="000000"/>
              </w:rPr>
            </w:pPr>
            <w:r>
              <w:rPr>
                <w:color w:val="000000"/>
              </w:rPr>
              <w:t>☐</w:t>
            </w:r>
            <w:r>
              <w:rPr>
                <w:color w:val="000000"/>
                <w:u w:val="single"/>
              </w:rPr>
              <w:t xml:space="preserve"> </w:t>
            </w:r>
            <w:r>
              <w:rPr>
                <w:b/>
                <w:color w:val="000000"/>
                <w:u w:val="single"/>
              </w:rPr>
              <w:t>Check if Transferee will take delivery of a beneficial interest in the 144A Global  Note or a Restricted Definitive Note pursuant to Rule 144A</w:t>
            </w:r>
            <w:r>
              <w:rPr>
                <w:color w:val="000000"/>
              </w:rPr>
              <w:t>. The Transfer is being effected pursuant to and in accordance with Rule 144A under the Securities Act of 1933, as amended (the “</w:t>
            </w:r>
            <w:r>
              <w:rPr>
                <w:i/>
                <w:color w:val="000000"/>
              </w:rPr>
              <w:t>Securities Act</w:t>
            </w:r>
            <w:r>
              <w:rPr>
                <w:color w:val="000000"/>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D - 1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48" w:name="z9eddb3ff7eaa4b03aa686cc0d886b1b2"/>
      <w:bookmarkStart w:id="149" w:name="z9eddb3ff7eaa4b03aa686cc0d886b1b2"/>
      <w:bookmarkEnd w:id="149"/>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color w:val="000000"/>
              </w:rPr>
            </w:pPr>
            <w:r>
              <w:rPr>
                <w:color w:val="000000"/>
              </w:rPr>
              <w:t>2.</w:t>
            </w:r>
          </w:p>
        </w:tc>
        <w:tc>
          <w:tcPr>
            <w:tcW w:w="10047" w:type="dxa"/>
            <w:tcBorders/>
            <w:vAlign w:val="center"/>
          </w:tcPr>
          <w:p>
            <w:pPr>
              <w:pStyle w:val="TableContents"/>
              <w:bidi w:val="0"/>
              <w:spacing w:before="0" w:after="0"/>
              <w:jc w:val="left"/>
              <w:rPr>
                <w:color w:val="000000"/>
              </w:rPr>
            </w:pPr>
            <w:r>
              <w:rPr>
                <w:color w:val="000000"/>
              </w:rPr>
              <w:t>☐</w:t>
            </w:r>
            <w:r>
              <w:rPr>
                <w:color w:val="000000"/>
                <w:u w:val="single"/>
              </w:rPr>
              <w:t xml:space="preserve"> </w:t>
            </w:r>
            <w:r>
              <w:rPr>
                <w:b/>
                <w:color w:val="000000"/>
                <w:u w:val="single"/>
              </w:rPr>
              <w:t>Check if Transferee will take delivery of a beneficial interest in the Regulation S  Global Note, or a Restricted Definitive Note pursuant to Regulation S</w:t>
            </w:r>
            <w:r>
              <w:rPr>
                <w:color w:val="000000"/>
              </w:rPr>
              <w:t>. The Transfer 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distribution compliance period (as defined in Regulation S),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0" w:name="z05621179c75b42398c0f4bcef6b27f40"/>
      <w:bookmarkStart w:id="151" w:name="z05621179c75b42398c0f4bcef6b27f40"/>
      <w:bookmarkEnd w:id="151"/>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jc w:val="left"/>
              <w:rPr>
                <w:color w:val="000000"/>
              </w:rPr>
            </w:pPr>
            <w:r>
              <w:rPr>
                <w:color w:val="000000"/>
              </w:rPr>
              <w:t>3.</w:t>
            </w:r>
          </w:p>
        </w:tc>
        <w:tc>
          <w:tcPr>
            <w:tcW w:w="10041" w:type="dxa"/>
            <w:tcBorders/>
            <w:vAlign w:val="center"/>
          </w:tcPr>
          <w:p>
            <w:pPr>
              <w:pStyle w:val="TableContents"/>
              <w:bidi w:val="0"/>
              <w:spacing w:before="0" w:after="0"/>
              <w:jc w:val="left"/>
              <w:rPr>
                <w:color w:val="000000"/>
              </w:rPr>
            </w:pPr>
            <w:r>
              <w:rPr>
                <w:color w:val="000000"/>
              </w:rPr>
              <w:t>☐</w:t>
            </w:r>
            <w:r>
              <w:rPr>
                <w:color w:val="000000"/>
                <w:u w:val="single"/>
              </w:rPr>
              <w:t xml:space="preserve"> </w:t>
            </w:r>
            <w:r>
              <w:rPr>
                <w:b/>
                <w:color w:val="000000"/>
                <w:u w:val="single"/>
              </w:rPr>
              <w:t>Check and complete if Transferee will take delivery of a beneficial interest in the  IAI Global Note or a Restricted Definitive Note pursuant to any provision of the Securities Act other than Rule 144A or Regulation S</w:t>
            </w:r>
            <w:r>
              <w:rPr>
                <w:color w:val="000000"/>
              </w:rPr>
              <w:t>. The Transfer 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2" w:name="zdc31aff577144f5b824d753fabede1f9"/>
      <w:bookmarkStart w:id="153" w:name="zdc31aff577144f5b824d753fabede1f9"/>
      <w:bookmarkEnd w:id="153"/>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color w:val="000000"/>
              </w:rPr>
            </w:pPr>
            <w:r>
              <w:rPr>
                <w:color w:val="000000"/>
              </w:rPr>
              <w:t>a.</w:t>
            </w:r>
          </w:p>
        </w:tc>
        <w:tc>
          <w:tcPr>
            <w:tcW w:w="9945" w:type="dxa"/>
            <w:tcBorders/>
            <w:vAlign w:val="center"/>
          </w:tcPr>
          <w:p>
            <w:pPr>
              <w:pStyle w:val="TableContents"/>
              <w:bidi w:val="0"/>
              <w:spacing w:before="0" w:after="0"/>
              <w:jc w:val="left"/>
              <w:rPr>
                <w:color w:val="000000"/>
              </w:rPr>
            </w:pPr>
            <w:r>
              <w:rPr>
                <w:color w:val="000000"/>
              </w:rPr>
              <w:t xml:space="preserve">☐ </w:t>
            </w:r>
            <w:r>
              <w:rPr>
                <w:color w:val="000000"/>
              </w:rPr>
              <w:t>such Transfer is being effected pursuant to and in accordance with Rule 144 under the Securities Act; or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4" w:name="z7aa027947c314cf1bbdad82f37d6c9a9"/>
      <w:bookmarkStart w:id="155" w:name="z7aa027947c314cf1bbdad82f37d6c9a9"/>
      <w:bookmarkEnd w:id="155"/>
    </w:p>
    <w:tbl>
      <w:tblPr>
        <w:tblW w:w="7113" w:type="dxa"/>
        <w:jc w:val="left"/>
        <w:tblInd w:w="0" w:type="dxa"/>
        <w:tblLayout w:type="fixed"/>
        <w:tblCellMar>
          <w:top w:w="0" w:type="dxa"/>
          <w:left w:w="0" w:type="dxa"/>
          <w:bottom w:w="0" w:type="dxa"/>
          <w:right w:w="0" w:type="dxa"/>
        </w:tblCellMar>
      </w:tblPr>
      <w:tblGrid>
        <w:gridCol w:w="38"/>
        <w:gridCol w:w="200"/>
        <w:gridCol w:w="687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b.</w:t>
            </w:r>
          </w:p>
        </w:tc>
        <w:tc>
          <w:tcPr>
            <w:tcW w:w="6875" w:type="dxa"/>
            <w:tcBorders/>
            <w:vAlign w:val="center"/>
          </w:tcPr>
          <w:p>
            <w:pPr>
              <w:pStyle w:val="TableContents"/>
              <w:bidi w:val="0"/>
              <w:spacing w:before="0" w:after="0"/>
              <w:jc w:val="left"/>
              <w:rPr>
                <w:color w:val="000000"/>
              </w:rPr>
            </w:pPr>
            <w:r>
              <w:rPr>
                <w:color w:val="000000"/>
              </w:rPr>
              <w:t xml:space="preserve">☐ </w:t>
            </w:r>
            <w:r>
              <w:rPr>
                <w:color w:val="000000"/>
              </w:rPr>
              <w:t>such Transfer is being effected to the Issuer or a subsidiary thereof; or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6" w:name="zc112f1742bb54d54b79f04e31835ce24"/>
      <w:bookmarkStart w:id="157" w:name="zc112f1742bb54d54b79f04e31835ce24"/>
      <w:bookmarkEnd w:id="157"/>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color w:val="000000"/>
              </w:rPr>
            </w:pPr>
            <w:r>
              <w:rPr>
                <w:color w:val="000000"/>
              </w:rPr>
              <w:t>c.</w:t>
            </w:r>
          </w:p>
        </w:tc>
        <w:tc>
          <w:tcPr>
            <w:tcW w:w="9982" w:type="dxa"/>
            <w:tcBorders/>
            <w:vAlign w:val="center"/>
          </w:tcPr>
          <w:p>
            <w:pPr>
              <w:pStyle w:val="TableContents"/>
              <w:bidi w:val="0"/>
              <w:spacing w:before="0" w:after="0"/>
              <w:jc w:val="left"/>
              <w:rPr>
                <w:color w:val="000000"/>
              </w:rPr>
            </w:pPr>
            <w:r>
              <w:rPr>
                <w:color w:val="000000"/>
              </w:rPr>
              <w:t xml:space="preserve">☐ </w:t>
            </w:r>
            <w:r>
              <w:rPr>
                <w:color w:val="000000"/>
              </w:rPr>
              <w:t>such Transfer is being effected pursuant to an effective registration statement under the Securities Act and in compliance with the prospectus delivery requirements of the Securities Act; or</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D - 2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58" w:name="z697800ad7f4b42f492eb0527a9368b52"/>
      <w:bookmarkStart w:id="159" w:name="z697800ad7f4b42f492eb0527a9368b52"/>
      <w:bookmarkEnd w:id="159"/>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d.</w:t>
            </w:r>
          </w:p>
        </w:tc>
        <w:tc>
          <w:tcPr>
            <w:tcW w:w="9967" w:type="dxa"/>
            <w:tcBorders/>
            <w:vAlign w:val="center"/>
          </w:tcPr>
          <w:p>
            <w:pPr>
              <w:pStyle w:val="TableContents"/>
              <w:bidi w:val="0"/>
              <w:spacing w:before="0" w:after="0"/>
              <w:jc w:val="left"/>
              <w:rPr>
                <w:color w:val="000000"/>
              </w:rPr>
            </w:pPr>
            <w:r>
              <w:rPr>
                <w:color w:val="000000"/>
              </w:rPr>
              <w:t xml:space="preserve">☐ </w:t>
            </w:r>
            <w:r>
              <w:rPr>
                <w:color w:val="000000"/>
              </w:rPr>
              <w:t>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Exhibit F to the Indenture and (2) if such Transfer is in respect of a principal amount of Notes at the time of transfer of less than $250,000,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0" w:name="z5540a7002df5402ea1dedef5028018f7"/>
      <w:bookmarkStart w:id="161" w:name="z5540a7002df5402ea1dedef5028018f7"/>
      <w:bookmarkEnd w:id="161"/>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283"/>
              <w:jc w:val="left"/>
              <w:rPr>
                <w:color w:val="000000"/>
              </w:rPr>
            </w:pPr>
            <w:r>
              <w:rPr>
                <w:color w:val="000000"/>
              </w:rPr>
              <w:t>4.</w:t>
            </w:r>
          </w:p>
        </w:tc>
        <w:tc>
          <w:tcPr>
            <w:tcW w:w="10007" w:type="dxa"/>
            <w:tcBorders/>
            <w:vAlign w:val="center"/>
          </w:tcPr>
          <w:p>
            <w:pPr>
              <w:pStyle w:val="TableContents"/>
              <w:bidi w:val="0"/>
              <w:spacing w:before="0" w:after="0"/>
              <w:jc w:val="left"/>
              <w:rPr>
                <w:color w:val="000000"/>
              </w:rPr>
            </w:pPr>
            <w:r>
              <w:rPr>
                <w:color w:val="000000"/>
              </w:rPr>
              <w:t>☐</w:t>
            </w:r>
            <w:r>
              <w:rPr>
                <w:color w:val="000000"/>
                <w:u w:val="single"/>
              </w:rPr>
              <w:t xml:space="preserve"> </w:t>
            </w:r>
            <w:r>
              <w:rPr>
                <w:b/>
                <w:color w:val="000000"/>
                <w:u w:val="single"/>
              </w:rPr>
              <w:t>Check if Transferee will take delivery of a beneficial interest in an Unrestricted Global Note or of an Unrestricted Definitive Note</w:t>
            </w:r>
            <w:r>
              <w:rPr>
                <w:color w:val="00000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2" w:name="z3f55a958a23b42e2b05994d4a709af17"/>
      <w:bookmarkStart w:id="163" w:name="z3f55a958a23b42e2b05994d4a709af17"/>
      <w:bookmarkEnd w:id="163"/>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color w:val="000000"/>
              </w:rPr>
            </w:pPr>
            <w:r>
              <w:rPr>
                <w:color w:val="000000"/>
              </w:rPr>
              <w:t>a.</w:t>
            </w:r>
          </w:p>
        </w:tc>
        <w:tc>
          <w:tcPr>
            <w:tcW w:w="9982" w:type="dxa"/>
            <w:tcBorders/>
            <w:vAlign w:val="center"/>
          </w:tcPr>
          <w:p>
            <w:pPr>
              <w:pStyle w:val="TableContents"/>
              <w:bidi w:val="0"/>
              <w:spacing w:before="0" w:after="0"/>
              <w:jc w:val="left"/>
              <w:rPr>
                <w:color w:val="000000"/>
              </w:rPr>
            </w:pPr>
            <w:r>
              <w:rPr>
                <w:color w:val="000000"/>
              </w:rPr>
              <w:t xml:space="preserve">☐ </w:t>
            </w:r>
            <w:r>
              <w:rPr>
                <w:b/>
                <w:color w:val="000000"/>
              </w:rPr>
              <w:t>Check if Transfer is pursuant to Rule 144</w:t>
            </w:r>
            <w:r>
              <w:rPr>
                <w:color w:val="000000"/>
              </w:rPr>
              <w:t>. (i) The Transfer is being effected pursuant to and in accordance 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4" w:name="zcd54df3fddd3421e8f2f9c0455492d09"/>
      <w:bookmarkStart w:id="165" w:name="zcd54df3fddd3421e8f2f9c0455492d09"/>
      <w:bookmarkEnd w:id="165"/>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b.</w:t>
            </w:r>
          </w:p>
        </w:tc>
        <w:tc>
          <w:tcPr>
            <w:tcW w:w="9967" w:type="dxa"/>
            <w:tcBorders/>
            <w:vAlign w:val="center"/>
          </w:tcPr>
          <w:p>
            <w:pPr>
              <w:pStyle w:val="TableContents"/>
              <w:bidi w:val="0"/>
              <w:spacing w:before="0" w:after="0"/>
              <w:jc w:val="left"/>
              <w:rPr>
                <w:color w:val="000000"/>
              </w:rPr>
            </w:pPr>
            <w:r>
              <w:rPr>
                <w:color w:val="000000"/>
              </w:rPr>
              <w:t xml:space="preserve">☐ </w:t>
            </w:r>
            <w:r>
              <w:rPr>
                <w:b/>
                <w:color w:val="000000"/>
              </w:rPr>
              <w:t>Check if Transfer is Pursuant to Regulation S</w:t>
            </w:r>
            <w:r>
              <w:rPr>
                <w:color w:val="000000"/>
              </w:rPr>
              <w:t>. (i) The Transfer is being effected pursuant to and 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6" w:name="zd2337760f252494485b7a9517b7d2245"/>
      <w:bookmarkStart w:id="167" w:name="zd2337760f252494485b7a9517b7d2245"/>
      <w:bookmarkEnd w:id="167"/>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color w:val="000000"/>
              </w:rPr>
            </w:pPr>
            <w:r>
              <w:rPr>
                <w:color w:val="000000"/>
              </w:rPr>
              <w:t>c.</w:t>
            </w:r>
          </w:p>
        </w:tc>
        <w:tc>
          <w:tcPr>
            <w:tcW w:w="9982" w:type="dxa"/>
            <w:tcBorders/>
            <w:vAlign w:val="center"/>
          </w:tcPr>
          <w:p>
            <w:pPr>
              <w:pStyle w:val="TableContents"/>
              <w:bidi w:val="0"/>
              <w:spacing w:before="0" w:after="0"/>
              <w:jc w:val="left"/>
              <w:rPr>
                <w:color w:val="000000"/>
              </w:rPr>
            </w:pPr>
            <w:r>
              <w:rPr>
                <w:color w:val="000000"/>
              </w:rPr>
              <w:t xml:space="preserve">☐ </w:t>
            </w:r>
            <w:r>
              <w:rPr>
                <w:b/>
                <w:color w:val="000000"/>
              </w:rPr>
              <w:t>Check if Transfer is Pursuant to Other Exemption</w:t>
            </w:r>
            <w:r>
              <w:rPr>
                <w:color w:val="000000"/>
              </w:rPr>
              <w:t>.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certificate and the statements contained herein are made for your benefit and the benefit of the Issuer.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D - 3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68" w:name="z9f88cf3841734fd793bbc5307d63154c"/>
      <w:bookmarkStart w:id="169" w:name="z9f88cf3841734fd793bbc5307d63154c"/>
      <w:bookmarkEnd w:id="169"/>
    </w:p>
    <w:tbl>
      <w:tblPr>
        <w:tblW w:w="3278" w:type="dxa"/>
        <w:jc w:val="left"/>
        <w:tblInd w:w="0" w:type="dxa"/>
        <w:tblLayout w:type="fixed"/>
        <w:tblCellMar>
          <w:top w:w="0" w:type="dxa"/>
          <w:left w:w="0" w:type="dxa"/>
          <w:bottom w:w="0" w:type="dxa"/>
          <w:right w:w="0" w:type="dxa"/>
        </w:tblCellMar>
      </w:tblPr>
      <w:tblGrid>
        <w:gridCol w:w="650"/>
        <w:gridCol w:w="2064"/>
        <w:gridCol w:w="406"/>
        <w:gridCol w:w="158"/>
      </w:tblGrid>
      <w:tr>
        <w:trPr/>
        <w:tc>
          <w:tcPr>
            <w:tcW w:w="650" w:type="dxa"/>
            <w:tcBorders/>
            <w:vAlign w:val="center"/>
          </w:tcPr>
          <w:p>
            <w:pPr>
              <w:pStyle w:val="TableContents"/>
              <w:bidi w:val="0"/>
              <w:spacing w:before="0" w:after="283"/>
              <w:jc w:val="left"/>
              <w:rPr/>
            </w:pPr>
            <w:r>
              <w:rPr/>
            </w:r>
          </w:p>
        </w:tc>
        <w:tc>
          <w:tcPr>
            <w:tcW w:w="2064" w:type="dxa"/>
            <w:tcBorders>
              <w:bottom w:val="single" w:sz="12" w:space="0" w:color="000000"/>
            </w:tcBorders>
            <w:tcMar>
              <w:bottom w:w="28" w:type="dxa"/>
            </w:tcMar>
            <w:vAlign w:val="center"/>
          </w:tcPr>
          <w:p>
            <w:pPr>
              <w:pStyle w:val="TableContents"/>
              <w:bidi w:val="0"/>
              <w:spacing w:before="0" w:after="283"/>
              <w:jc w:val="left"/>
              <w:rPr/>
            </w:pPr>
            <w:r>
              <w:rPr/>
            </w:r>
          </w:p>
        </w:tc>
        <w:tc>
          <w:tcPr>
            <w:tcW w:w="406" w:type="dxa"/>
            <w:tcBorders>
              <w:bottom w:val="single" w:sz="12" w:space="0" w:color="000000"/>
            </w:tcBorders>
            <w:tcMar>
              <w:bottom w:w="28" w:type="dxa"/>
            </w:tcMar>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r>
          </w:p>
        </w:tc>
      </w:tr>
      <w:tr>
        <w:trPr/>
        <w:tc>
          <w:tcPr>
            <w:tcW w:w="650" w:type="dxa"/>
            <w:tcBorders/>
            <w:vAlign w:val="center"/>
          </w:tcPr>
          <w:p>
            <w:pPr>
              <w:pStyle w:val="TableContents"/>
              <w:bidi w:val="0"/>
              <w:spacing w:before="0" w:after="283"/>
              <w:jc w:val="left"/>
              <w:rPr/>
            </w:pPr>
            <w:r>
              <w:rPr/>
            </w:r>
          </w:p>
        </w:tc>
        <w:tc>
          <w:tcPr>
            <w:tcW w:w="2628" w:type="dxa"/>
            <w:gridSpan w:val="3"/>
            <w:tcBorders/>
            <w:vAlign w:val="center"/>
          </w:tcPr>
          <w:p>
            <w:pPr>
              <w:pStyle w:val="TableContents"/>
              <w:bidi w:val="0"/>
              <w:spacing w:before="0" w:after="0"/>
              <w:jc w:val="left"/>
              <w:rPr/>
            </w:pPr>
            <w:r>
              <w:rPr/>
              <w:t>[Insert Name of Transferor]</w:t>
            </w:r>
          </w:p>
        </w:tc>
      </w:tr>
      <w:tr>
        <w:trPr/>
        <w:tc>
          <w:tcPr>
            <w:tcW w:w="650" w:type="dxa"/>
            <w:tcBorders/>
            <w:vAlign w:val="center"/>
          </w:tcPr>
          <w:p>
            <w:pPr>
              <w:pStyle w:val="TableContents"/>
              <w:bidi w:val="0"/>
              <w:spacing w:before="0" w:after="283"/>
              <w:jc w:val="left"/>
              <w:rPr/>
            </w:pPr>
            <w:r>
              <w:rPr/>
              <w:t> </w:t>
            </w:r>
          </w:p>
        </w:tc>
        <w:tc>
          <w:tcPr>
            <w:tcW w:w="2628" w:type="dxa"/>
            <w:gridSpan w:val="3"/>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r>
          </w:p>
        </w:tc>
        <w:tc>
          <w:tcPr>
            <w:tcW w:w="2064" w:type="dxa"/>
            <w:tcBorders/>
            <w:vAlign w:val="center"/>
          </w:tcPr>
          <w:p>
            <w:pPr>
              <w:pStyle w:val="TableContents"/>
              <w:bidi w:val="0"/>
              <w:spacing w:before="0" w:after="283"/>
              <w:jc w:val="left"/>
              <w:rPr/>
            </w:pPr>
            <w:r>
              <w:rPr/>
              <w:t>By:</w:t>
            </w:r>
          </w:p>
        </w:tc>
        <w:tc>
          <w:tcPr>
            <w:tcW w:w="406" w:type="dxa"/>
            <w:tcBorders>
              <w:bottom w:val="single" w:sz="12" w:space="0" w:color="000000"/>
            </w:tcBorders>
            <w:tcMar>
              <w:bottom w:w="28" w:type="dxa"/>
            </w:tcMar>
            <w:vAlign w:val="center"/>
          </w:tcPr>
          <w:p>
            <w:pPr>
              <w:pStyle w:val="TableContents"/>
              <w:bidi w:val="0"/>
              <w:spacing w:before="0" w:after="283"/>
              <w:jc w:val="left"/>
              <w:rPr/>
            </w:pPr>
            <w:r>
              <w:rPr/>
            </w:r>
          </w:p>
        </w:tc>
        <w:tc>
          <w:tcPr>
            <w:tcW w:w="158" w:type="dxa"/>
            <w:tcBorders/>
            <w:vAlign w:val="center"/>
          </w:tcPr>
          <w:p>
            <w:pPr>
              <w:pStyle w:val="TableContents"/>
              <w:bidi w:val="0"/>
              <w:spacing w:before="0" w:after="283"/>
              <w:jc w:val="left"/>
              <w:rPr/>
            </w:pPr>
            <w:r>
              <w:rPr/>
            </w:r>
          </w:p>
        </w:tc>
      </w:tr>
      <w:tr>
        <w:trPr/>
        <w:tc>
          <w:tcPr>
            <w:tcW w:w="650" w:type="dxa"/>
            <w:tcBorders/>
            <w:vAlign w:val="center"/>
          </w:tcPr>
          <w:p>
            <w:pPr>
              <w:pStyle w:val="TableContents"/>
              <w:bidi w:val="0"/>
              <w:spacing w:before="0" w:after="283"/>
              <w:jc w:val="left"/>
              <w:rPr/>
            </w:pPr>
            <w:r>
              <w:rPr/>
            </w:r>
          </w:p>
        </w:tc>
        <w:tc>
          <w:tcPr>
            <w:tcW w:w="2628" w:type="dxa"/>
            <w:gridSpan w:val="3"/>
            <w:tcBorders/>
            <w:vAlign w:val="center"/>
          </w:tcPr>
          <w:p>
            <w:pPr>
              <w:pStyle w:val="TableContents"/>
              <w:bidi w:val="0"/>
              <w:spacing w:before="0" w:after="283"/>
              <w:jc w:val="left"/>
              <w:rPr/>
            </w:pPr>
            <w:r>
              <w:rPr/>
              <w:t>Name:</w:t>
            </w:r>
          </w:p>
        </w:tc>
      </w:tr>
      <w:tr>
        <w:trPr/>
        <w:tc>
          <w:tcPr>
            <w:tcW w:w="650" w:type="dxa"/>
            <w:tcBorders/>
            <w:vAlign w:val="center"/>
          </w:tcPr>
          <w:p>
            <w:pPr>
              <w:pStyle w:val="TableContents"/>
              <w:bidi w:val="0"/>
              <w:spacing w:before="0" w:after="283"/>
              <w:jc w:val="left"/>
              <w:rPr/>
            </w:pPr>
            <w:r>
              <w:rPr/>
            </w:r>
          </w:p>
        </w:tc>
        <w:tc>
          <w:tcPr>
            <w:tcW w:w="2628" w:type="dxa"/>
            <w:gridSpan w:val="3"/>
            <w:tcBorders/>
            <w:vAlign w:val="center"/>
          </w:tcPr>
          <w:p>
            <w:pPr>
              <w:pStyle w:val="TableContents"/>
              <w:bidi w:val="0"/>
              <w:spacing w:before="0" w:after="283"/>
              <w:jc w:val="left"/>
              <w:rPr/>
            </w:pPr>
            <w:r>
              <w:rPr/>
              <w:t>Title:</w:t>
            </w:r>
          </w:p>
        </w:tc>
      </w:tr>
      <w:tr>
        <w:trPr/>
        <w:tc>
          <w:tcPr>
            <w:tcW w:w="650" w:type="dxa"/>
            <w:tcBorders/>
            <w:vAlign w:val="center"/>
          </w:tcPr>
          <w:p>
            <w:pPr>
              <w:pStyle w:val="TableContents"/>
              <w:bidi w:val="0"/>
              <w:spacing w:before="0" w:after="0"/>
              <w:jc w:val="both"/>
              <w:rPr/>
            </w:pPr>
            <w:r>
              <w:rPr/>
              <w:t>Dated:</w:t>
            </w:r>
          </w:p>
        </w:tc>
        <w:tc>
          <w:tcPr>
            <w:tcW w:w="2628" w:type="dxa"/>
            <w:gridSpan w:val="3"/>
            <w:tcBorders/>
            <w:vAlign w:val="center"/>
          </w:tcPr>
          <w:p>
            <w:pPr>
              <w:pStyle w:val="TableContents"/>
              <w:bidi w:val="0"/>
              <w:spacing w:before="0" w:after="283"/>
              <w:jc w:val="left"/>
              <w:rPr/>
            </w:pPr>
            <w:r>
              <w:rPr/>
            </w:r>
          </w:p>
        </w:tc>
      </w:tr>
    </w:tbl>
    <w:p>
      <w:pPr>
        <w:pStyle w:val="TextBody"/>
        <w:bidi w:val="0"/>
        <w:spacing w:before="0" w:after="0"/>
        <w:ind w:left="0" w:right="14" w:hanging="0"/>
        <w:jc w:val="center"/>
        <w:rPr/>
      </w:pPr>
      <w:r>
        <w:rPr/>
      </w:r>
    </w:p>
    <w:p>
      <w:pPr>
        <w:pStyle w:val="TextBody"/>
        <w:bidi w:val="0"/>
        <w:spacing w:before="0" w:after="0"/>
        <w:ind w:left="0" w:right="14" w:hanging="0"/>
        <w:jc w:val="center"/>
        <w:rPr>
          <w:rFonts w:ascii="Times New Roman" w:hAnsi="Times New Roman"/>
          <w:color w:val="000000"/>
          <w:sz w:val="20"/>
        </w:rPr>
      </w:pPr>
      <w:r>
        <w:rPr>
          <w:rFonts w:ascii="Times New Roman" w:hAnsi="Times New Roman"/>
          <w:color w:val="000000"/>
          <w:sz w:val="20"/>
        </w:rPr>
        <w:t>ANNEX A TO CERTIFICATE OF TRANSFER</w:t>
      </w:r>
    </w:p>
    <w:p>
      <w:pPr>
        <w:pStyle w:val="TextBody"/>
        <w:bidi w:val="0"/>
        <w:spacing w:before="0" w:after="0"/>
        <w:jc w:val="left"/>
        <w:rPr>
          <w:color w:val="000000"/>
        </w:rPr>
      </w:pPr>
      <w:r>
        <w:rPr>
          <w:color w:val="000000"/>
        </w:rPr>
        <w:t> </w:t>
      </w:r>
    </w:p>
    <w:p>
      <w:pPr>
        <w:pStyle w:val="Normal"/>
        <w:bidi w:val="0"/>
        <w:spacing w:before="0" w:after="0"/>
        <w:ind w:left="0" w:right="17" w:hanging="0"/>
        <w:jc w:val="left"/>
        <w:rPr>
          <w:sz w:val="4"/>
          <w:szCs w:val="4"/>
        </w:rPr>
      </w:pPr>
      <w:r>
        <w:rPr>
          <w:sz w:val="4"/>
          <w:szCs w:val="4"/>
        </w:rPr>
      </w:r>
      <w:bookmarkStart w:id="170" w:name="z3b00e52dced44ceebe745bc70811598b"/>
      <w:bookmarkStart w:id="171" w:name="z3b00e52dced44ceebe745bc70811598b"/>
      <w:bookmarkEnd w:id="171"/>
    </w:p>
    <w:tbl>
      <w:tblPr>
        <w:tblW w:w="5935" w:type="dxa"/>
        <w:jc w:val="left"/>
        <w:tblInd w:w="0" w:type="dxa"/>
        <w:tblLayout w:type="fixed"/>
        <w:tblCellMar>
          <w:top w:w="0" w:type="dxa"/>
          <w:left w:w="0" w:type="dxa"/>
          <w:bottom w:w="0" w:type="dxa"/>
          <w:right w:w="0" w:type="dxa"/>
        </w:tblCellMar>
      </w:tblPr>
      <w:tblGrid>
        <w:gridCol w:w="215"/>
        <w:gridCol w:w="5720"/>
      </w:tblGrid>
      <w:tr>
        <w:trPr/>
        <w:tc>
          <w:tcPr>
            <w:tcW w:w="215" w:type="dxa"/>
            <w:tcBorders/>
            <w:vAlign w:val="center"/>
          </w:tcPr>
          <w:p>
            <w:pPr>
              <w:pStyle w:val="TableContents"/>
              <w:bidi w:val="0"/>
              <w:spacing w:before="0" w:after="0"/>
              <w:jc w:val="left"/>
              <w:rPr/>
            </w:pPr>
            <w:r>
              <w:rPr/>
              <w:t>1.</w:t>
            </w:r>
          </w:p>
        </w:tc>
        <w:tc>
          <w:tcPr>
            <w:tcW w:w="5720" w:type="dxa"/>
            <w:tcBorders/>
            <w:vAlign w:val="center"/>
          </w:tcPr>
          <w:p>
            <w:pPr>
              <w:pStyle w:val="TableContents"/>
              <w:bidi w:val="0"/>
              <w:spacing w:before="0" w:after="0"/>
              <w:jc w:val="left"/>
              <w:rPr/>
            </w:pPr>
            <w:r>
              <w:rPr/>
              <w:t>The Transferor owns and proposes to transfer the following:</w:t>
            </w:r>
          </w:p>
        </w:tc>
      </w:tr>
    </w:tbl>
    <w:p>
      <w:pPr>
        <w:pStyle w:val="TextBody"/>
        <w:bidi w:val="0"/>
        <w:spacing w:before="0" w:after="0"/>
        <w:ind w:left="0" w:right="34" w:hanging="0"/>
        <w:jc w:val="left"/>
        <w:rPr>
          <w:rFonts w:ascii="Times New Roman" w:hAnsi="Times New Roman"/>
          <w:color w:val="000000"/>
          <w:sz w:val="20"/>
        </w:rPr>
      </w:pPr>
      <w:r>
        <w:rPr>
          <w:rFonts w:ascii="Times New Roman" w:hAnsi="Times New Roman"/>
          <w:color w:val="000000"/>
          <w:sz w:val="20"/>
        </w:rPr>
        <w:t>[CHECK ONE OF (a) OR (b)]</w:t>
      </w:r>
    </w:p>
    <w:p>
      <w:pPr>
        <w:pStyle w:val="Normal"/>
        <w:bidi w:val="0"/>
        <w:spacing w:before="0" w:after="0"/>
        <w:jc w:val="left"/>
        <w:rPr>
          <w:sz w:val="4"/>
          <w:szCs w:val="4"/>
        </w:rPr>
      </w:pPr>
      <w:r>
        <w:rPr>
          <w:sz w:val="4"/>
          <w:szCs w:val="4"/>
        </w:rPr>
      </w:r>
      <w:bookmarkStart w:id="172" w:name="z0894a29c4a374cab81f328b28d0417f2"/>
      <w:bookmarkStart w:id="173" w:name="z0894a29c4a374cab81f328b28d0417f2"/>
      <w:bookmarkEnd w:id="173"/>
    </w:p>
    <w:tbl>
      <w:tblPr>
        <w:tblW w:w="3115" w:type="dxa"/>
        <w:jc w:val="left"/>
        <w:tblInd w:w="0" w:type="dxa"/>
        <w:tblLayout w:type="fixed"/>
        <w:tblCellMar>
          <w:top w:w="0" w:type="dxa"/>
          <w:left w:w="0" w:type="dxa"/>
          <w:bottom w:w="0" w:type="dxa"/>
          <w:right w:w="0" w:type="dxa"/>
        </w:tblCellMar>
      </w:tblPr>
      <w:tblGrid>
        <w:gridCol w:w="75"/>
        <w:gridCol w:w="275"/>
        <w:gridCol w:w="276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pPr>
            <w:r>
              <w:rPr/>
              <w:t>(a)</w:t>
            </w:r>
          </w:p>
        </w:tc>
        <w:tc>
          <w:tcPr>
            <w:tcW w:w="2765" w:type="dxa"/>
            <w:tcBorders/>
            <w:vAlign w:val="center"/>
          </w:tcPr>
          <w:p>
            <w:pPr>
              <w:pStyle w:val="TableContents"/>
              <w:bidi w:val="0"/>
              <w:spacing w:before="0" w:after="0"/>
              <w:jc w:val="left"/>
              <w:rPr/>
            </w:pPr>
            <w:r>
              <w:rPr/>
              <w:t xml:space="preserve">☐ </w:t>
            </w:r>
            <w:r>
              <w:rPr/>
              <w:t>a beneficial interest in the:</w:t>
            </w:r>
          </w:p>
        </w:tc>
      </w:tr>
    </w:tbl>
    <w:p>
      <w:pPr>
        <w:pStyle w:val="Normal"/>
        <w:bidi w:val="0"/>
        <w:spacing w:before="0" w:after="0"/>
        <w:ind w:left="0" w:right="34" w:hanging="0"/>
        <w:jc w:val="left"/>
        <w:rPr>
          <w:sz w:val="4"/>
          <w:szCs w:val="4"/>
        </w:rPr>
      </w:pPr>
      <w:r>
        <w:rPr>
          <w:sz w:val="4"/>
          <w:szCs w:val="4"/>
        </w:rPr>
      </w:r>
      <w:bookmarkStart w:id="174" w:name="z68c046dd46284366a72bf62f8a9e4bc2"/>
      <w:bookmarkStart w:id="175" w:name="z68c046dd46284366a72bf62f8a9e4bc2"/>
      <w:bookmarkEnd w:id="175"/>
    </w:p>
    <w:tbl>
      <w:tblPr>
        <w:tblW w:w="6235" w:type="dxa"/>
        <w:jc w:val="left"/>
        <w:tblInd w:w="0" w:type="dxa"/>
        <w:tblLayout w:type="fixed"/>
        <w:tblCellMar>
          <w:top w:w="0" w:type="dxa"/>
          <w:left w:w="0" w:type="dxa"/>
          <w:bottom w:w="0" w:type="dxa"/>
          <w:right w:w="0" w:type="dxa"/>
        </w:tblCellMar>
      </w:tblPr>
      <w:tblGrid>
        <w:gridCol w:w="75"/>
        <w:gridCol w:w="230"/>
        <w:gridCol w:w="59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pPr>
            <w:r>
              <w:rPr/>
              <w:t>(i)</w:t>
            </w:r>
          </w:p>
        </w:tc>
        <w:tc>
          <w:tcPr>
            <w:tcW w:w="5930" w:type="dxa"/>
            <w:tcBorders/>
            <w:vAlign w:val="center"/>
          </w:tcPr>
          <w:p>
            <w:pPr>
              <w:pStyle w:val="TableContents"/>
              <w:bidi w:val="0"/>
              <w:spacing w:before="0" w:after="0"/>
              <w:jc w:val="left"/>
              <w:rPr/>
            </w:pPr>
            <w:r>
              <w:rPr/>
              <w:t xml:space="preserve">☐   </w:t>
            </w:r>
            <w:r>
              <w:rPr/>
              <w:t>144A Global Note (CUSIP_____________________), or</w:t>
            </w:r>
          </w:p>
        </w:tc>
      </w:tr>
    </w:tbl>
    <w:p>
      <w:pPr>
        <w:pStyle w:val="Normal"/>
        <w:bidi w:val="0"/>
        <w:spacing w:before="0" w:after="0"/>
        <w:ind w:left="0" w:right="34" w:hanging="0"/>
        <w:jc w:val="left"/>
        <w:rPr>
          <w:sz w:val="4"/>
          <w:szCs w:val="4"/>
        </w:rPr>
      </w:pPr>
      <w:r>
        <w:rPr>
          <w:sz w:val="4"/>
          <w:szCs w:val="4"/>
        </w:rPr>
      </w:r>
      <w:bookmarkStart w:id="176" w:name="z24f52be8f0624286a22b117a5e182b31"/>
      <w:bookmarkStart w:id="177" w:name="z24f52be8f0624286a22b117a5e182b31"/>
      <w:bookmarkEnd w:id="177"/>
    </w:p>
    <w:tbl>
      <w:tblPr>
        <w:tblW w:w="6265" w:type="dxa"/>
        <w:jc w:val="left"/>
        <w:tblInd w:w="0" w:type="dxa"/>
        <w:tblLayout w:type="fixed"/>
        <w:tblCellMar>
          <w:top w:w="0" w:type="dxa"/>
          <w:left w:w="0" w:type="dxa"/>
          <w:bottom w:w="0" w:type="dxa"/>
          <w:right w:w="0" w:type="dxa"/>
        </w:tblCellMar>
      </w:tblPr>
      <w:tblGrid>
        <w:gridCol w:w="75"/>
        <w:gridCol w:w="290"/>
        <w:gridCol w:w="590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pPr>
            <w:r>
              <w:rPr/>
              <w:t>(ii)</w:t>
            </w:r>
          </w:p>
        </w:tc>
        <w:tc>
          <w:tcPr>
            <w:tcW w:w="5900" w:type="dxa"/>
            <w:tcBorders/>
            <w:vAlign w:val="center"/>
          </w:tcPr>
          <w:p>
            <w:pPr>
              <w:pStyle w:val="TableContents"/>
              <w:bidi w:val="0"/>
              <w:spacing w:before="0" w:after="0"/>
              <w:jc w:val="left"/>
              <w:rPr/>
            </w:pPr>
            <w:r>
              <w:rPr/>
              <w:t xml:space="preserve">☐   </w:t>
            </w:r>
            <w:r>
              <w:rPr/>
              <w:t>Regulation S Global Note (CUSIP_______________), or</w:t>
            </w:r>
          </w:p>
        </w:tc>
      </w:tr>
    </w:tbl>
    <w:p>
      <w:pPr>
        <w:pStyle w:val="Normal"/>
        <w:bidi w:val="0"/>
        <w:spacing w:before="0" w:after="0"/>
        <w:ind w:left="0" w:right="34" w:hanging="0"/>
        <w:jc w:val="left"/>
        <w:rPr>
          <w:sz w:val="4"/>
          <w:szCs w:val="4"/>
        </w:rPr>
      </w:pPr>
      <w:r>
        <w:rPr>
          <w:sz w:val="4"/>
          <w:szCs w:val="4"/>
        </w:rPr>
      </w:r>
      <w:bookmarkStart w:id="178" w:name="z923a8cdf368846969986adbd0edf0373"/>
      <w:bookmarkStart w:id="179" w:name="z923a8cdf368846969986adbd0edf0373"/>
      <w:bookmarkEnd w:id="179"/>
    </w:p>
    <w:tbl>
      <w:tblPr>
        <w:tblW w:w="6385" w:type="dxa"/>
        <w:jc w:val="left"/>
        <w:tblInd w:w="0" w:type="dxa"/>
        <w:tblLayout w:type="fixed"/>
        <w:tblCellMar>
          <w:top w:w="0" w:type="dxa"/>
          <w:left w:w="0" w:type="dxa"/>
          <w:bottom w:w="0" w:type="dxa"/>
          <w:right w:w="0" w:type="dxa"/>
        </w:tblCellMar>
      </w:tblPr>
      <w:tblGrid>
        <w:gridCol w:w="75"/>
        <w:gridCol w:w="350"/>
        <w:gridCol w:w="596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left"/>
              <w:rPr/>
            </w:pPr>
            <w:r>
              <w:rPr/>
              <w:t>(iii)</w:t>
            </w:r>
          </w:p>
        </w:tc>
        <w:tc>
          <w:tcPr>
            <w:tcW w:w="5960" w:type="dxa"/>
            <w:tcBorders/>
            <w:vAlign w:val="center"/>
          </w:tcPr>
          <w:p>
            <w:pPr>
              <w:pStyle w:val="TableContents"/>
              <w:bidi w:val="0"/>
              <w:spacing w:before="0" w:after="0"/>
              <w:jc w:val="left"/>
              <w:rPr/>
            </w:pPr>
            <w:r>
              <w:rPr/>
              <w:t xml:space="preserve">☐   </w:t>
            </w:r>
            <w:r>
              <w:rPr/>
              <w:t>IAI Global Note (CUSIP_______________________); or</w:t>
            </w:r>
          </w:p>
        </w:tc>
      </w:tr>
    </w:tbl>
    <w:p>
      <w:pPr>
        <w:pStyle w:val="Normal"/>
        <w:bidi w:val="0"/>
        <w:spacing w:before="0" w:after="0"/>
        <w:ind w:left="0" w:right="34" w:hanging="0"/>
        <w:jc w:val="left"/>
        <w:rPr>
          <w:sz w:val="4"/>
          <w:szCs w:val="4"/>
        </w:rPr>
      </w:pPr>
      <w:r>
        <w:rPr>
          <w:sz w:val="4"/>
          <w:szCs w:val="4"/>
        </w:rPr>
      </w:r>
      <w:bookmarkStart w:id="180" w:name="zefa126a441f941f9afc2f81536ef4f7e"/>
      <w:bookmarkStart w:id="181" w:name="zefa126a441f941f9afc2f81536ef4f7e"/>
      <w:bookmarkEnd w:id="181"/>
    </w:p>
    <w:tbl>
      <w:tblPr>
        <w:tblW w:w="3370" w:type="dxa"/>
        <w:jc w:val="left"/>
        <w:tblInd w:w="0" w:type="dxa"/>
        <w:tblLayout w:type="fixed"/>
        <w:tblCellMar>
          <w:top w:w="0" w:type="dxa"/>
          <w:left w:w="0" w:type="dxa"/>
          <w:bottom w:w="0" w:type="dxa"/>
          <w:right w:w="0" w:type="dxa"/>
        </w:tblCellMar>
      </w:tblPr>
      <w:tblGrid>
        <w:gridCol w:w="75"/>
        <w:gridCol w:w="290"/>
        <w:gridCol w:w="300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pPr>
            <w:r>
              <w:rPr/>
              <w:t>(b)</w:t>
            </w:r>
          </w:p>
        </w:tc>
        <w:tc>
          <w:tcPr>
            <w:tcW w:w="3005" w:type="dxa"/>
            <w:tcBorders/>
            <w:vAlign w:val="center"/>
          </w:tcPr>
          <w:p>
            <w:pPr>
              <w:pStyle w:val="TableContents"/>
              <w:bidi w:val="0"/>
              <w:spacing w:before="0" w:after="0"/>
              <w:jc w:val="left"/>
              <w:rPr/>
            </w:pPr>
            <w:r>
              <w:rPr/>
              <w:t xml:space="preserve">☐ </w:t>
            </w:r>
            <w:r>
              <w:rPr/>
              <w:t>a Restricted Definitive Note.</w:t>
            </w:r>
          </w:p>
        </w:tc>
      </w:tr>
    </w:tbl>
    <w:p>
      <w:pPr>
        <w:pStyle w:val="Normal"/>
        <w:bidi w:val="0"/>
        <w:spacing w:before="0" w:after="0"/>
        <w:ind w:left="0" w:right="34" w:hanging="0"/>
        <w:jc w:val="left"/>
        <w:rPr>
          <w:sz w:val="4"/>
          <w:szCs w:val="4"/>
        </w:rPr>
      </w:pPr>
      <w:r>
        <w:rPr>
          <w:sz w:val="4"/>
          <w:szCs w:val="4"/>
        </w:rPr>
      </w:r>
      <w:bookmarkStart w:id="182" w:name="z0aff7e8011434c41ab7d0d080c8bf975"/>
      <w:bookmarkStart w:id="183" w:name="z0aff7e8011434c41ab7d0d080c8bf975"/>
      <w:bookmarkEnd w:id="183"/>
    </w:p>
    <w:tbl>
      <w:tblPr>
        <w:tblW w:w="4315" w:type="dxa"/>
        <w:jc w:val="left"/>
        <w:tblInd w:w="0" w:type="dxa"/>
        <w:tblLayout w:type="fixed"/>
        <w:tblCellMar>
          <w:top w:w="0" w:type="dxa"/>
          <w:left w:w="0" w:type="dxa"/>
          <w:bottom w:w="0" w:type="dxa"/>
          <w:right w:w="0" w:type="dxa"/>
        </w:tblCellMar>
      </w:tblPr>
      <w:tblGrid>
        <w:gridCol w:w="215"/>
        <w:gridCol w:w="4100"/>
      </w:tblGrid>
      <w:tr>
        <w:trPr/>
        <w:tc>
          <w:tcPr>
            <w:tcW w:w="215" w:type="dxa"/>
            <w:tcBorders/>
            <w:vAlign w:val="center"/>
          </w:tcPr>
          <w:p>
            <w:pPr>
              <w:pStyle w:val="TableContents"/>
              <w:bidi w:val="0"/>
              <w:spacing w:before="0" w:after="0"/>
              <w:jc w:val="left"/>
              <w:rPr/>
            </w:pPr>
            <w:r>
              <w:rPr/>
              <w:t>2.</w:t>
            </w:r>
          </w:p>
        </w:tc>
        <w:tc>
          <w:tcPr>
            <w:tcW w:w="4100" w:type="dxa"/>
            <w:tcBorders/>
            <w:vAlign w:val="center"/>
          </w:tcPr>
          <w:p>
            <w:pPr>
              <w:pStyle w:val="TableContents"/>
              <w:bidi w:val="0"/>
              <w:spacing w:before="0" w:after="0"/>
              <w:jc w:val="left"/>
              <w:rPr/>
            </w:pPr>
            <w:r>
              <w:rPr/>
              <w:t>After the Transfer the Transferee will hold:</w:t>
            </w:r>
          </w:p>
        </w:tc>
      </w:tr>
    </w:tbl>
    <w:p>
      <w:pPr>
        <w:pStyle w:val="TextBody"/>
        <w:bidi w:val="0"/>
        <w:spacing w:before="0" w:after="0"/>
        <w:ind w:left="0" w:right="51" w:hanging="0"/>
        <w:jc w:val="left"/>
        <w:rPr>
          <w:rFonts w:ascii="Times New Roman" w:hAnsi="Times New Roman"/>
          <w:color w:val="000000"/>
          <w:sz w:val="20"/>
        </w:rPr>
      </w:pPr>
      <w:r>
        <w:rPr>
          <w:rFonts w:ascii="Times New Roman" w:hAnsi="Times New Roman"/>
          <w:color w:val="000000"/>
          <w:sz w:val="20"/>
        </w:rPr>
        <w:t>[CHECK ONE]</w:t>
      </w:r>
    </w:p>
    <w:p>
      <w:pPr>
        <w:pStyle w:val="Normal"/>
        <w:bidi w:val="0"/>
        <w:spacing w:before="0" w:after="0"/>
        <w:jc w:val="left"/>
        <w:rPr>
          <w:sz w:val="4"/>
          <w:szCs w:val="4"/>
        </w:rPr>
      </w:pPr>
      <w:r>
        <w:rPr>
          <w:sz w:val="4"/>
          <w:szCs w:val="4"/>
        </w:rPr>
      </w:r>
      <w:bookmarkStart w:id="184" w:name="z5204ac4978d2400babbc8a00b30f262a"/>
      <w:bookmarkStart w:id="185" w:name="z5204ac4978d2400babbc8a00b30f262a"/>
      <w:bookmarkEnd w:id="185"/>
    </w:p>
    <w:tbl>
      <w:tblPr>
        <w:tblW w:w="3115" w:type="dxa"/>
        <w:jc w:val="left"/>
        <w:tblInd w:w="0" w:type="dxa"/>
        <w:tblLayout w:type="fixed"/>
        <w:tblCellMar>
          <w:top w:w="0" w:type="dxa"/>
          <w:left w:w="0" w:type="dxa"/>
          <w:bottom w:w="0" w:type="dxa"/>
          <w:right w:w="0" w:type="dxa"/>
        </w:tblCellMar>
      </w:tblPr>
      <w:tblGrid>
        <w:gridCol w:w="75"/>
        <w:gridCol w:w="275"/>
        <w:gridCol w:w="276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pPr>
            <w:r>
              <w:rPr/>
              <w:t>(a)</w:t>
            </w:r>
          </w:p>
        </w:tc>
        <w:tc>
          <w:tcPr>
            <w:tcW w:w="2765" w:type="dxa"/>
            <w:tcBorders/>
            <w:vAlign w:val="center"/>
          </w:tcPr>
          <w:p>
            <w:pPr>
              <w:pStyle w:val="TableContents"/>
              <w:bidi w:val="0"/>
              <w:spacing w:before="0" w:after="0"/>
              <w:jc w:val="left"/>
              <w:rPr/>
            </w:pPr>
            <w:r>
              <w:rPr/>
              <w:t xml:space="preserve">☐ </w:t>
            </w:r>
            <w:r>
              <w:rPr/>
              <w:t>a beneficial interest in the:</w:t>
            </w:r>
          </w:p>
        </w:tc>
      </w:tr>
    </w:tbl>
    <w:p>
      <w:pPr>
        <w:pStyle w:val="Normal"/>
        <w:bidi w:val="0"/>
        <w:spacing w:before="0" w:after="0"/>
        <w:ind w:left="0" w:right="34" w:hanging="0"/>
        <w:jc w:val="left"/>
        <w:rPr>
          <w:sz w:val="4"/>
          <w:szCs w:val="4"/>
        </w:rPr>
      </w:pPr>
      <w:r>
        <w:rPr>
          <w:sz w:val="4"/>
          <w:szCs w:val="4"/>
        </w:rPr>
      </w:r>
      <w:bookmarkStart w:id="186" w:name="z19153718f3ed46ff929684da24d75ee7"/>
      <w:bookmarkStart w:id="187" w:name="z19153718f3ed46ff929684da24d75ee7"/>
      <w:bookmarkEnd w:id="187"/>
    </w:p>
    <w:tbl>
      <w:tblPr>
        <w:tblW w:w="6235" w:type="dxa"/>
        <w:jc w:val="left"/>
        <w:tblInd w:w="0" w:type="dxa"/>
        <w:tblLayout w:type="fixed"/>
        <w:tblCellMar>
          <w:top w:w="0" w:type="dxa"/>
          <w:left w:w="0" w:type="dxa"/>
          <w:bottom w:w="0" w:type="dxa"/>
          <w:right w:w="0" w:type="dxa"/>
        </w:tblCellMar>
      </w:tblPr>
      <w:tblGrid>
        <w:gridCol w:w="75"/>
        <w:gridCol w:w="230"/>
        <w:gridCol w:w="59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pPr>
            <w:r>
              <w:rPr/>
              <w:t>(i)</w:t>
            </w:r>
          </w:p>
        </w:tc>
        <w:tc>
          <w:tcPr>
            <w:tcW w:w="5930" w:type="dxa"/>
            <w:tcBorders/>
            <w:vAlign w:val="center"/>
          </w:tcPr>
          <w:p>
            <w:pPr>
              <w:pStyle w:val="TableContents"/>
              <w:bidi w:val="0"/>
              <w:spacing w:before="0" w:after="0"/>
              <w:jc w:val="left"/>
              <w:rPr/>
            </w:pPr>
            <w:r>
              <w:rPr/>
              <w:t xml:space="preserve">☐   </w:t>
            </w:r>
            <w:r>
              <w:rPr/>
              <w:t>144A Global Note (CUSIP_____________________), or</w:t>
            </w:r>
          </w:p>
        </w:tc>
      </w:tr>
    </w:tbl>
    <w:p>
      <w:pPr>
        <w:pStyle w:val="Normal"/>
        <w:bidi w:val="0"/>
        <w:spacing w:before="0" w:after="0"/>
        <w:ind w:left="0" w:right="34" w:hanging="0"/>
        <w:jc w:val="left"/>
        <w:rPr>
          <w:sz w:val="4"/>
          <w:szCs w:val="4"/>
        </w:rPr>
      </w:pPr>
      <w:r>
        <w:rPr>
          <w:sz w:val="4"/>
          <w:szCs w:val="4"/>
        </w:rPr>
      </w:r>
      <w:bookmarkStart w:id="188" w:name="z5215ea139b874102bae89b063c09334f"/>
      <w:bookmarkStart w:id="189" w:name="z5215ea139b874102bae89b063c09334f"/>
      <w:bookmarkEnd w:id="189"/>
    </w:p>
    <w:tbl>
      <w:tblPr>
        <w:tblW w:w="6265" w:type="dxa"/>
        <w:jc w:val="left"/>
        <w:tblInd w:w="0" w:type="dxa"/>
        <w:tblLayout w:type="fixed"/>
        <w:tblCellMar>
          <w:top w:w="0" w:type="dxa"/>
          <w:left w:w="0" w:type="dxa"/>
          <w:bottom w:w="0" w:type="dxa"/>
          <w:right w:w="0" w:type="dxa"/>
        </w:tblCellMar>
      </w:tblPr>
      <w:tblGrid>
        <w:gridCol w:w="75"/>
        <w:gridCol w:w="290"/>
        <w:gridCol w:w="590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pPr>
            <w:r>
              <w:rPr/>
              <w:t>(ii)</w:t>
            </w:r>
          </w:p>
        </w:tc>
        <w:tc>
          <w:tcPr>
            <w:tcW w:w="5900" w:type="dxa"/>
            <w:tcBorders/>
            <w:vAlign w:val="center"/>
          </w:tcPr>
          <w:p>
            <w:pPr>
              <w:pStyle w:val="TableContents"/>
              <w:bidi w:val="0"/>
              <w:spacing w:before="0" w:after="0"/>
              <w:jc w:val="left"/>
              <w:rPr/>
            </w:pPr>
            <w:r>
              <w:rPr/>
              <w:t xml:space="preserve">☐   </w:t>
            </w:r>
            <w:r>
              <w:rPr/>
              <w:t>Regulation S Global Note (CUSIP_______________), or</w:t>
            </w:r>
          </w:p>
        </w:tc>
      </w:tr>
    </w:tbl>
    <w:p>
      <w:pPr>
        <w:pStyle w:val="Normal"/>
        <w:bidi w:val="0"/>
        <w:spacing w:before="0" w:after="0"/>
        <w:ind w:left="0" w:right="34" w:hanging="0"/>
        <w:jc w:val="left"/>
        <w:rPr>
          <w:sz w:val="4"/>
          <w:szCs w:val="4"/>
        </w:rPr>
      </w:pPr>
      <w:r>
        <w:rPr>
          <w:sz w:val="4"/>
          <w:szCs w:val="4"/>
        </w:rPr>
      </w:r>
      <w:bookmarkStart w:id="190" w:name="zb0c57b502bdb4b258617750c67c19b95"/>
      <w:bookmarkStart w:id="191" w:name="zb0c57b502bdb4b258617750c67c19b95"/>
      <w:bookmarkEnd w:id="191"/>
    </w:p>
    <w:tbl>
      <w:tblPr>
        <w:tblW w:w="6385" w:type="dxa"/>
        <w:jc w:val="left"/>
        <w:tblInd w:w="0" w:type="dxa"/>
        <w:tblLayout w:type="fixed"/>
        <w:tblCellMar>
          <w:top w:w="0" w:type="dxa"/>
          <w:left w:w="0" w:type="dxa"/>
          <w:bottom w:w="0" w:type="dxa"/>
          <w:right w:w="0" w:type="dxa"/>
        </w:tblCellMar>
      </w:tblPr>
      <w:tblGrid>
        <w:gridCol w:w="75"/>
        <w:gridCol w:w="350"/>
        <w:gridCol w:w="596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left"/>
              <w:rPr/>
            </w:pPr>
            <w:r>
              <w:rPr/>
              <w:t>(iii)</w:t>
            </w:r>
          </w:p>
        </w:tc>
        <w:tc>
          <w:tcPr>
            <w:tcW w:w="5960" w:type="dxa"/>
            <w:tcBorders/>
            <w:vAlign w:val="center"/>
          </w:tcPr>
          <w:p>
            <w:pPr>
              <w:pStyle w:val="TableContents"/>
              <w:bidi w:val="0"/>
              <w:spacing w:before="0" w:after="0"/>
              <w:jc w:val="left"/>
              <w:rPr/>
            </w:pPr>
            <w:r>
              <w:rPr/>
              <w:t xml:space="preserve">☐   </w:t>
            </w:r>
            <w:r>
              <w:rPr/>
              <w:t>IAI Global Note (CUSIP_______________________); or</w:t>
            </w:r>
          </w:p>
        </w:tc>
      </w:tr>
    </w:tbl>
    <w:p>
      <w:pPr>
        <w:pStyle w:val="Normal"/>
        <w:bidi w:val="0"/>
        <w:spacing w:before="0" w:after="0"/>
        <w:ind w:left="0" w:right="34" w:hanging="0"/>
        <w:jc w:val="left"/>
        <w:rPr>
          <w:sz w:val="4"/>
          <w:szCs w:val="4"/>
        </w:rPr>
      </w:pPr>
      <w:r>
        <w:rPr>
          <w:sz w:val="4"/>
          <w:szCs w:val="4"/>
        </w:rPr>
      </w:r>
      <w:bookmarkStart w:id="192" w:name="zc7c588a846e845fc802218a5e37e7185"/>
      <w:bookmarkStart w:id="193" w:name="zc7c588a846e845fc802218a5e37e7185"/>
      <w:bookmarkEnd w:id="193"/>
    </w:p>
    <w:tbl>
      <w:tblPr>
        <w:tblW w:w="6370" w:type="dxa"/>
        <w:jc w:val="left"/>
        <w:tblInd w:w="0" w:type="dxa"/>
        <w:tblLayout w:type="fixed"/>
        <w:tblCellMar>
          <w:top w:w="0" w:type="dxa"/>
          <w:left w:w="0" w:type="dxa"/>
          <w:bottom w:w="0" w:type="dxa"/>
          <w:right w:w="0" w:type="dxa"/>
        </w:tblCellMar>
      </w:tblPr>
      <w:tblGrid>
        <w:gridCol w:w="75"/>
        <w:gridCol w:w="350"/>
        <w:gridCol w:w="594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left"/>
              <w:rPr/>
            </w:pPr>
            <w:r>
              <w:rPr/>
              <w:t>(iv)</w:t>
            </w:r>
          </w:p>
        </w:tc>
        <w:tc>
          <w:tcPr>
            <w:tcW w:w="5945" w:type="dxa"/>
            <w:tcBorders/>
            <w:vAlign w:val="center"/>
          </w:tcPr>
          <w:p>
            <w:pPr>
              <w:pStyle w:val="TableContents"/>
              <w:bidi w:val="0"/>
              <w:spacing w:before="0" w:after="0"/>
              <w:jc w:val="left"/>
              <w:rPr/>
            </w:pPr>
            <w:r>
              <w:rPr/>
              <w:t xml:space="preserve">☐   </w:t>
            </w:r>
            <w:r>
              <w:rPr/>
              <w:t>Unrestricted Global Note (CUSIP________________); or</w:t>
            </w:r>
          </w:p>
        </w:tc>
      </w:tr>
    </w:tbl>
    <w:p>
      <w:pPr>
        <w:pStyle w:val="Normal"/>
        <w:bidi w:val="0"/>
        <w:spacing w:before="0" w:after="0"/>
        <w:ind w:left="0" w:right="34" w:hanging="0"/>
        <w:jc w:val="left"/>
        <w:rPr>
          <w:sz w:val="4"/>
          <w:szCs w:val="4"/>
        </w:rPr>
      </w:pPr>
      <w:r>
        <w:rPr>
          <w:sz w:val="4"/>
          <w:szCs w:val="4"/>
        </w:rPr>
      </w:r>
      <w:bookmarkStart w:id="194" w:name="z98ebde414a0b42e28859ac7d360b80e8"/>
      <w:bookmarkStart w:id="195" w:name="z98ebde414a0b42e28859ac7d360b80e8"/>
      <w:bookmarkEnd w:id="195"/>
    </w:p>
    <w:tbl>
      <w:tblPr>
        <w:tblW w:w="3745" w:type="dxa"/>
        <w:jc w:val="left"/>
        <w:tblInd w:w="0" w:type="dxa"/>
        <w:tblLayout w:type="fixed"/>
        <w:tblCellMar>
          <w:top w:w="0" w:type="dxa"/>
          <w:left w:w="0" w:type="dxa"/>
          <w:bottom w:w="0" w:type="dxa"/>
          <w:right w:w="0" w:type="dxa"/>
        </w:tblCellMar>
      </w:tblPr>
      <w:tblGrid>
        <w:gridCol w:w="75"/>
        <w:gridCol w:w="290"/>
        <w:gridCol w:w="338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pPr>
            <w:r>
              <w:rPr/>
              <w:t>(b)</w:t>
            </w:r>
          </w:p>
        </w:tc>
        <w:tc>
          <w:tcPr>
            <w:tcW w:w="3380" w:type="dxa"/>
            <w:tcBorders/>
            <w:vAlign w:val="center"/>
          </w:tcPr>
          <w:p>
            <w:pPr>
              <w:pStyle w:val="TableContents"/>
              <w:bidi w:val="0"/>
              <w:spacing w:before="0" w:after="0"/>
              <w:jc w:val="left"/>
              <w:rPr/>
            </w:pPr>
            <w:r>
              <w:rPr/>
              <w:t xml:space="preserve">☐   </w:t>
            </w:r>
            <w:r>
              <w:rPr/>
              <w:t>a Restricted Definitive Note; or</w:t>
            </w:r>
          </w:p>
        </w:tc>
      </w:tr>
    </w:tbl>
    <w:p>
      <w:pPr>
        <w:pStyle w:val="Normal"/>
        <w:bidi w:val="0"/>
        <w:spacing w:before="0" w:after="0"/>
        <w:ind w:left="0" w:right="34" w:hanging="0"/>
        <w:jc w:val="left"/>
        <w:rPr>
          <w:sz w:val="4"/>
          <w:szCs w:val="4"/>
        </w:rPr>
      </w:pPr>
      <w:r>
        <w:rPr>
          <w:sz w:val="4"/>
          <w:szCs w:val="4"/>
        </w:rPr>
      </w:r>
      <w:bookmarkStart w:id="196" w:name="zad1dfd4ab1884a138416e7b3268420db"/>
      <w:bookmarkStart w:id="197" w:name="zad1dfd4ab1884a138416e7b3268420db"/>
      <w:bookmarkEnd w:id="197"/>
    </w:p>
    <w:tbl>
      <w:tblPr>
        <w:tblW w:w="3805" w:type="dxa"/>
        <w:jc w:val="left"/>
        <w:tblInd w:w="0" w:type="dxa"/>
        <w:tblLayout w:type="fixed"/>
        <w:tblCellMar>
          <w:top w:w="0" w:type="dxa"/>
          <w:left w:w="0" w:type="dxa"/>
          <w:bottom w:w="0" w:type="dxa"/>
          <w:right w:w="0" w:type="dxa"/>
        </w:tblCellMar>
      </w:tblPr>
      <w:tblGrid>
        <w:gridCol w:w="75"/>
        <w:gridCol w:w="275"/>
        <w:gridCol w:w="34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pPr>
            <w:r>
              <w:rPr/>
              <w:t>(c)</w:t>
            </w:r>
          </w:p>
        </w:tc>
        <w:tc>
          <w:tcPr>
            <w:tcW w:w="3455" w:type="dxa"/>
            <w:tcBorders/>
            <w:vAlign w:val="center"/>
          </w:tcPr>
          <w:p>
            <w:pPr>
              <w:pStyle w:val="TableContents"/>
              <w:bidi w:val="0"/>
              <w:spacing w:before="0" w:after="0"/>
              <w:jc w:val="left"/>
              <w:rPr/>
            </w:pPr>
            <w:r>
              <w:rPr/>
              <w:t xml:space="preserve">☐   </w:t>
            </w:r>
            <w:r>
              <w:rPr/>
              <w:t>an Unrestricted Definitive Note,</w:t>
            </w:r>
          </w:p>
        </w:tc>
      </w:tr>
    </w:tbl>
    <w:p>
      <w:pPr>
        <w:pStyle w:val="TextBody"/>
        <w:bidi w:val="0"/>
        <w:spacing w:before="0" w:after="0"/>
        <w:ind w:left="0" w:right="51" w:hanging="0"/>
        <w:jc w:val="left"/>
        <w:rPr>
          <w:rFonts w:ascii="Times New Roman" w:hAnsi="Times New Roman"/>
          <w:color w:val="000000"/>
          <w:sz w:val="20"/>
        </w:rPr>
      </w:pPr>
      <w:r>
        <w:rPr>
          <w:rFonts w:ascii="Times New Roman" w:hAnsi="Times New Roman"/>
          <w:color w:val="000000"/>
          <w:sz w:val="20"/>
        </w:rPr>
        <w:t>in accordance with the terms of the Indenture.</w:t>
      </w:r>
    </w:p>
    <w:p>
      <w:pPr>
        <w:pStyle w:val="TextBody"/>
        <w:bidi w:val="0"/>
        <w:spacing w:before="0" w:after="0"/>
        <w:jc w:val="left"/>
        <w:rPr/>
      </w:pPr>
      <w:r>
        <w:rPr/>
      </w:r>
    </w:p>
    <w:p>
      <w:pPr>
        <w:pStyle w:val="TextBody"/>
        <w:bidi w:val="0"/>
        <w:spacing w:before="200" w:after="200"/>
        <w:ind w:left="0" w:right="34"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D - 4</w:t>
      </w:r>
    </w:p>
    <w:p>
      <w:pPr>
        <w:pStyle w:val="HorizontalLine"/>
        <w:pBdr>
          <w:bottom w:val="single" w:sz="12" w:space="0" w:color="808080"/>
        </w:pBdr>
        <w:bidi w:val="0"/>
        <w:spacing w:before="200" w:after="200"/>
        <w:jc w:val="left"/>
        <w:rPr/>
      </w:pPr>
      <w:r>
        <w:rPr/>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OF CERTIFICATE OF EXCHANGE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ICON Investments Six Designated Activity Company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South County Business Park</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Leopardstown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Dublin 18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Ireland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Attention: Chief Financial Officer with a copy to General Counsel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Email: nigel.clerkin@iconplc.com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with a copy to ICON General Counsel: diarmaid.cunningham@iconplc.com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Phone: +353 1 2912000</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Citibank, N.A.</w:t>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388 Greenwich Street – 26th Floor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New York, New York 10013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Email: citi.cspag.debt@citi.com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Attention: NAM – Agency and Trust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Re:  [5.064% Notes due 2029] [5.421% Notes due 2031] [5.995% Notes due 2036] (the “</w:t>
      </w:r>
      <w:r>
        <w:rPr>
          <w:rFonts w:ascii="Times New Roman" w:hAnsi="Times New Roman"/>
          <w:i/>
          <w:color w:val="000000"/>
          <w:sz w:val="20"/>
        </w:rPr>
        <w:t>Notes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(CUSIP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Reference is hereby made to the Indenture, dated as of August 13, 2026 (the “</w:t>
      </w:r>
      <w:r>
        <w:rPr>
          <w:rFonts w:ascii="Times New Roman" w:hAnsi="Times New Roman"/>
          <w:i/>
          <w:color w:val="000000"/>
          <w:sz w:val="20"/>
        </w:rPr>
        <w:t>Base Indenture</w:t>
      </w:r>
      <w:r>
        <w:rPr>
          <w:rFonts w:ascii="Times New Roman" w:hAnsi="Times New Roman"/>
          <w:color w:val="000000"/>
          <w:sz w:val="20"/>
        </w:rPr>
        <w:t>”), among ICON Investments Six Designated Activity Company (the “</w:t>
      </w:r>
      <w:r>
        <w:rPr>
          <w:rFonts w:ascii="Times New Roman" w:hAnsi="Times New Roman"/>
          <w:i/>
          <w:color w:val="000000"/>
          <w:sz w:val="20"/>
        </w:rPr>
        <w:t>Issuer</w:t>
      </w:r>
      <w:r>
        <w:rPr>
          <w:rFonts w:ascii="Times New Roman" w:hAnsi="Times New Roman"/>
          <w:color w:val="000000"/>
          <w:sz w:val="20"/>
        </w:rPr>
        <w:t>”), ICON Public Limited Company (the “</w:t>
      </w:r>
      <w:r>
        <w:rPr>
          <w:rFonts w:ascii="Times New Roman" w:hAnsi="Times New Roman"/>
          <w:i/>
          <w:color w:val="000000"/>
          <w:sz w:val="20"/>
        </w:rPr>
        <w:t>Parent</w:t>
      </w:r>
      <w:r>
        <w:rPr>
          <w:rFonts w:ascii="Times New Roman" w:hAnsi="Times New Roman"/>
          <w:color w:val="000000"/>
          <w:sz w:val="20"/>
        </w:rPr>
        <w:t>”) and Citibank, N.A., as trustee (in such capacity, the “</w:t>
      </w:r>
      <w:r>
        <w:rPr>
          <w:rFonts w:ascii="Times New Roman" w:hAnsi="Times New Roman"/>
          <w:i/>
          <w:color w:val="000000"/>
          <w:sz w:val="20"/>
        </w:rPr>
        <w:t>Trustee</w:t>
      </w:r>
      <w:r>
        <w:rPr>
          <w:rFonts w:ascii="Times New Roman" w:hAnsi="Times New Roman"/>
          <w:color w:val="000000"/>
          <w:sz w:val="20"/>
        </w:rPr>
        <w:t>”), paying agent and registrar, as amended and supplemented by the First Supplemental Indenture, dated as of August 13, 2026, among the Issuer, the Parent and the Trustee (as so amended and supplemented, the “</w:t>
      </w:r>
      <w:r>
        <w:rPr>
          <w:rFonts w:ascii="Times New Roman" w:hAnsi="Times New Roman"/>
          <w:i/>
          <w:color w:val="000000"/>
          <w:sz w:val="20"/>
        </w:rPr>
        <w:t>Indenture</w:t>
      </w:r>
      <w:r>
        <w:rPr>
          <w:rFonts w:ascii="Times New Roman" w:hAnsi="Times New Roman"/>
          <w:color w:val="000000"/>
          <w:sz w:val="20"/>
        </w:rPr>
        <w:t>”). Capitalized terms used but not defined herein shall have the meanings given to them in the Indenture.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 (the “Owner”) owns and proposes to exchange the Note[s] or interest in such Note[s] specified herein, in the principal amount of $[   ] in such Note[s] or interests (the “Exchange”). In connection with the Exchange, the Owner hereby certifies that:</w:t>
      </w:r>
    </w:p>
    <w:p>
      <w:pPr>
        <w:pStyle w:val="TextBody"/>
        <w:bidi w:val="0"/>
        <w:spacing w:before="0" w:after="0"/>
        <w:ind w:left="360" w:right="0" w:hanging="0"/>
        <w:jc w:val="left"/>
        <w:rPr>
          <w:color w:val="000000"/>
        </w:rPr>
      </w:pPr>
      <w:r>
        <w:rPr>
          <w:color w:val="000000"/>
        </w:rPr>
        <w:t> </w:t>
      </w:r>
    </w:p>
    <w:p>
      <w:pPr>
        <w:pStyle w:val="Normal"/>
        <w:bidi w:val="0"/>
        <w:spacing w:before="0" w:after="0"/>
        <w:jc w:val="left"/>
        <w:rPr>
          <w:sz w:val="4"/>
          <w:szCs w:val="4"/>
        </w:rPr>
      </w:pPr>
      <w:r>
        <w:rPr>
          <w:sz w:val="4"/>
          <w:szCs w:val="4"/>
        </w:rPr>
      </w:r>
      <w:bookmarkStart w:id="198" w:name="z31e5ee0d022b43df847fe7fb2648fbbf"/>
      <w:bookmarkStart w:id="199" w:name="z31e5ee0d022b43df847fe7fb2648fbbf"/>
      <w:bookmarkEnd w:id="199"/>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283"/>
              <w:jc w:val="left"/>
              <w:rPr/>
            </w:pPr>
            <w:r>
              <w:rPr/>
              <w:t>1.</w:t>
            </w:r>
          </w:p>
        </w:tc>
        <w:tc>
          <w:tcPr>
            <w:tcW w:w="10019" w:type="dxa"/>
            <w:tcBorders/>
            <w:vAlign w:val="center"/>
          </w:tcPr>
          <w:p>
            <w:pPr>
              <w:pStyle w:val="TableContents"/>
              <w:bidi w:val="0"/>
              <w:spacing w:before="0" w:after="0"/>
              <w:jc w:val="left"/>
              <w:rPr>
                <w:b/>
                <w:color w:val="000000"/>
                <w:u w:val="single"/>
              </w:rPr>
            </w:pPr>
            <w:r>
              <w:rPr>
                <w:b/>
                <w:color w:val="000000"/>
                <w:u w:val="single"/>
              </w:rPr>
              <w:t>Exchange of Restricted Definitive Notes or Beneficial Interests in a Restricted Global Note for Unrestricted Definitive Notes or Beneficial Interests in an Unrestricted Global Note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0" w:name="z1329bdc5a78f4d5f89b027f61adb2b14"/>
      <w:bookmarkStart w:id="201" w:name="z1329bdc5a78f4d5f89b027f61adb2b14"/>
      <w:bookmarkEnd w:id="201"/>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color w:val="000000"/>
              </w:rPr>
            </w:pPr>
            <w:r>
              <w:rPr>
                <w:color w:val="000000"/>
              </w:rPr>
              <w:t>(a)</w:t>
            </w:r>
          </w:p>
        </w:tc>
        <w:tc>
          <w:tcPr>
            <w:tcW w:w="9923" w:type="dxa"/>
            <w:tcBorders/>
            <w:vAlign w:val="center"/>
          </w:tcPr>
          <w:p>
            <w:pPr>
              <w:pStyle w:val="TableContents"/>
              <w:bidi w:val="0"/>
              <w:spacing w:before="0" w:after="0"/>
              <w:jc w:val="left"/>
              <w:rPr>
                <w:color w:val="000000"/>
              </w:rPr>
            </w:pPr>
            <w:r>
              <w:rPr>
                <w:color w:val="000000"/>
              </w:rPr>
              <w:t>☐ </w:t>
            </w:r>
            <w:r>
              <w:rPr>
                <w:b/>
                <w:color w:val="000000"/>
              </w:rPr>
              <w:t>Check if Exchange is from beneficial interest in a Restricted Global Note to beneficial interest in an Unrestricted Global Note</w:t>
            </w:r>
            <w:r>
              <w:rPr>
                <w:color w:val="000000"/>
              </w:rPr>
              <w:t>. In 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“Securities Act”),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E - 1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02" w:name="z96a60da9910e4834b602cc7e4e4ea849"/>
      <w:bookmarkStart w:id="203" w:name="z96a60da9910e4834b602cc7e4e4ea849"/>
      <w:bookmarkEnd w:id="203"/>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color w:val="000000"/>
              </w:rPr>
            </w:pPr>
            <w:r>
              <w:rPr>
                <w:color w:val="000000"/>
              </w:rPr>
              <w:t>(b)</w:t>
            </w:r>
          </w:p>
        </w:tc>
        <w:tc>
          <w:tcPr>
            <w:tcW w:w="9907" w:type="dxa"/>
            <w:tcBorders/>
            <w:vAlign w:val="center"/>
          </w:tcPr>
          <w:p>
            <w:pPr>
              <w:pStyle w:val="TableContents"/>
              <w:bidi w:val="0"/>
              <w:spacing w:before="0" w:after="0"/>
              <w:jc w:val="left"/>
              <w:rPr>
                <w:color w:val="000000"/>
              </w:rPr>
            </w:pPr>
            <w:r>
              <w:rPr>
                <w:color w:val="000000"/>
              </w:rPr>
              <w:t xml:space="preserve">☐ </w:t>
            </w:r>
            <w:r>
              <w:rPr>
                <w:b/>
                <w:color w:val="000000"/>
              </w:rPr>
              <w:t>Check if Exchange is from beneficial interest in a Restricted Global Note to Unrestricted Definitive Note</w:t>
            </w:r>
            <w:r>
              <w:rPr>
                <w:color w:val="000000"/>
              </w:rPr>
              <w:t>. 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4" w:name="z3e52d4ca16ab4447ab2a9a94dd17870d"/>
      <w:bookmarkStart w:id="205" w:name="z3e52d4ca16ab4447ab2a9a94dd17870d"/>
      <w:bookmarkEnd w:id="205"/>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color w:val="000000"/>
              </w:rPr>
            </w:pPr>
            <w:r>
              <w:rPr>
                <w:color w:val="000000"/>
              </w:rPr>
              <w:t>(c)</w:t>
            </w:r>
          </w:p>
        </w:tc>
        <w:tc>
          <w:tcPr>
            <w:tcW w:w="9922" w:type="dxa"/>
            <w:tcBorders/>
            <w:vAlign w:val="center"/>
          </w:tcPr>
          <w:p>
            <w:pPr>
              <w:pStyle w:val="TableContents"/>
              <w:bidi w:val="0"/>
              <w:spacing w:before="0" w:after="0"/>
              <w:jc w:val="left"/>
              <w:rPr>
                <w:color w:val="000000"/>
              </w:rPr>
            </w:pPr>
            <w:r>
              <w:rPr>
                <w:color w:val="000000"/>
              </w:rPr>
              <w:t xml:space="preserve">☐ </w:t>
            </w:r>
            <w:r>
              <w:rPr>
                <w:b/>
                <w:color w:val="000000"/>
              </w:rPr>
              <w:t>Check if Exchange is from Restricted Definitive Note to beneficial interest in an Unrestricted Global Note</w:t>
            </w:r>
            <w:r>
              <w:rPr>
                <w:color w:val="000000"/>
              </w:rPr>
              <w:t>. 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6" w:name="z62a2198ef39a443682d88afa381c7672"/>
      <w:bookmarkStart w:id="207" w:name="z62a2198ef39a443682d88afa381c7672"/>
      <w:bookmarkEnd w:id="207"/>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pPr>
            <w:r>
              <w:rPr/>
            </w:r>
          </w:p>
        </w:tc>
        <w:tc>
          <w:tcPr>
            <w:tcW w:w="223" w:type="dxa"/>
            <w:tcBorders/>
            <w:vAlign w:val="center"/>
          </w:tcPr>
          <w:p>
            <w:pPr>
              <w:pStyle w:val="TableContents"/>
              <w:bidi w:val="0"/>
              <w:spacing w:before="0" w:after="283"/>
              <w:jc w:val="left"/>
              <w:rPr>
                <w:color w:val="000000"/>
              </w:rPr>
            </w:pPr>
            <w:r>
              <w:rPr>
                <w:color w:val="000000"/>
              </w:rPr>
              <w:t>(d)</w:t>
            </w:r>
          </w:p>
        </w:tc>
        <w:tc>
          <w:tcPr>
            <w:tcW w:w="9944" w:type="dxa"/>
            <w:tcBorders/>
            <w:vAlign w:val="center"/>
          </w:tcPr>
          <w:p>
            <w:pPr>
              <w:pStyle w:val="TableContents"/>
              <w:bidi w:val="0"/>
              <w:spacing w:before="0" w:after="0"/>
              <w:jc w:val="left"/>
              <w:rPr>
                <w:color w:val="000000"/>
              </w:rPr>
            </w:pPr>
            <w:r>
              <w:rPr>
                <w:color w:val="000000"/>
              </w:rPr>
              <w:t xml:space="preserve">☐ </w:t>
            </w:r>
            <w:r>
              <w:rPr>
                <w:b/>
                <w:color w:val="000000"/>
              </w:rPr>
              <w:t>Check if Exchange is from Restricted Definitive Note to Unrestricted Definitive Note</w:t>
            </w:r>
            <w:r>
              <w:rPr>
                <w:color w:val="000000"/>
              </w:rPr>
              <w:t>.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8" w:name="z32d25ee8cb444b9f9280a74296e36ab1"/>
      <w:bookmarkStart w:id="209" w:name="z32d25ee8cb444b9f9280a74296e36ab1"/>
      <w:bookmarkEnd w:id="209"/>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283"/>
              <w:jc w:val="left"/>
              <w:rPr/>
            </w:pPr>
            <w:bookmarkStart w:id="210" w:name="z_Ref54776154"/>
            <w:bookmarkEnd w:id="210"/>
            <w:r>
              <w:rPr/>
              <w:t>2.</w:t>
            </w:r>
          </w:p>
        </w:tc>
        <w:tc>
          <w:tcPr>
            <w:tcW w:w="10017" w:type="dxa"/>
            <w:tcBorders/>
            <w:vAlign w:val="center"/>
          </w:tcPr>
          <w:p>
            <w:pPr>
              <w:pStyle w:val="TableContents"/>
              <w:bidi w:val="0"/>
              <w:spacing w:before="0" w:after="0"/>
              <w:jc w:val="left"/>
              <w:rPr>
                <w:b/>
                <w:color w:val="000000"/>
                <w:u w:val="single"/>
              </w:rPr>
            </w:pPr>
            <w:r>
              <w:rPr>
                <w:b/>
                <w:color w:val="000000"/>
                <w:u w:val="single"/>
              </w:rPr>
              <w:t>Exchange of Restricted Definitive Notes or Beneficial Interests in Restricted Global Notes for Restricted Definitive Notes or Beneficial Interests in Restricted Global Notes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1" w:name="z564afa24723b4161843f620dc14df84d"/>
      <w:bookmarkStart w:id="212" w:name="z564afa24723b4161843f620dc14df84d"/>
      <w:bookmarkEnd w:id="212"/>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pPr>
            <w:r>
              <w:rPr/>
            </w:r>
          </w:p>
        </w:tc>
        <w:tc>
          <w:tcPr>
            <w:tcW w:w="209" w:type="dxa"/>
            <w:tcBorders/>
            <w:vAlign w:val="center"/>
          </w:tcPr>
          <w:p>
            <w:pPr>
              <w:pStyle w:val="TableContents"/>
              <w:bidi w:val="0"/>
              <w:spacing w:before="0" w:after="283"/>
              <w:jc w:val="left"/>
              <w:rPr>
                <w:color w:val="000000"/>
              </w:rPr>
            </w:pPr>
            <w:r>
              <w:rPr>
                <w:color w:val="000000"/>
              </w:rPr>
              <w:t>(a)</w:t>
            </w:r>
          </w:p>
        </w:tc>
        <w:tc>
          <w:tcPr>
            <w:tcW w:w="9958" w:type="dxa"/>
            <w:tcBorders/>
            <w:vAlign w:val="center"/>
          </w:tcPr>
          <w:p>
            <w:pPr>
              <w:pStyle w:val="TableContents"/>
              <w:bidi w:val="0"/>
              <w:spacing w:before="0" w:after="0"/>
              <w:jc w:val="left"/>
              <w:rPr>
                <w:color w:val="000000"/>
              </w:rPr>
            </w:pPr>
            <w:r>
              <w:rPr>
                <w:color w:val="000000"/>
              </w:rPr>
              <w:t xml:space="preserve">☐ </w:t>
            </w:r>
            <w:r>
              <w:rPr>
                <w:b/>
                <w:color w:val="000000"/>
              </w:rPr>
              <w:t>Check if Exchange is from beneficial interest in a Restricted Global Note to Restricted Definitive Note</w:t>
            </w:r>
            <w:r>
              <w:rPr>
                <w:color w:val="000000"/>
              </w:rPr>
              <w:t>.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E - 2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13" w:name="zde61519dd50647e296064282a3c35f78"/>
      <w:bookmarkStart w:id="214" w:name="zde61519dd50647e296064282a3c35f78"/>
      <w:bookmarkEnd w:id="214"/>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pPr>
            <w:r>
              <w:rPr/>
            </w:r>
          </w:p>
        </w:tc>
        <w:tc>
          <w:tcPr>
            <w:tcW w:w="221" w:type="dxa"/>
            <w:tcBorders/>
            <w:vAlign w:val="center"/>
          </w:tcPr>
          <w:p>
            <w:pPr>
              <w:pStyle w:val="TableContents"/>
              <w:bidi w:val="0"/>
              <w:spacing w:before="0" w:after="283"/>
              <w:jc w:val="left"/>
              <w:rPr>
                <w:color w:val="000000"/>
              </w:rPr>
            </w:pPr>
            <w:r>
              <w:rPr>
                <w:color w:val="000000"/>
              </w:rPr>
              <w:t>(b)</w:t>
            </w:r>
          </w:p>
        </w:tc>
        <w:tc>
          <w:tcPr>
            <w:tcW w:w="9946" w:type="dxa"/>
            <w:tcBorders/>
            <w:vAlign w:val="center"/>
          </w:tcPr>
          <w:p>
            <w:pPr>
              <w:pStyle w:val="TableContents"/>
              <w:bidi w:val="0"/>
              <w:spacing w:before="0" w:after="0"/>
              <w:jc w:val="left"/>
              <w:rPr>
                <w:color w:val="000000"/>
              </w:rPr>
            </w:pPr>
            <w:r>
              <w:rPr>
                <w:color w:val="000000"/>
              </w:rPr>
              <w:t xml:space="preserve">☐ </w:t>
            </w:r>
            <w:r>
              <w:rPr>
                <w:b/>
                <w:color w:val="000000"/>
              </w:rPr>
              <w:t>Check if Exchange is from Restricted Definitive Note to beneficial interest in a Restricted Global Note</w:t>
            </w:r>
            <w:r>
              <w:rPr>
                <w:color w:val="000000"/>
              </w:rPr>
              <w:t>. In connection with the Exchange of the Owner’s Restricted Definitive Note for a beneficial interest in the [CHECK ONE] ☐ 144A Global Note, ☐ Regulation S Global Note, ☐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certificate and the statements contained herein are made for your benefit and the benefit of the Issuer.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15" w:name="2849174894ab43f1b00fac59acf45381"/>
      <w:bookmarkStart w:id="216" w:name="2849174894ab43f1b00fac59acf45381"/>
      <w:bookmarkEnd w:id="216"/>
    </w:p>
    <w:tbl>
      <w:tblPr>
        <w:tblW w:w="3278" w:type="dxa"/>
        <w:jc w:val="left"/>
        <w:tblInd w:w="0" w:type="dxa"/>
        <w:tblLayout w:type="fixed"/>
        <w:tblCellMar>
          <w:top w:w="0" w:type="dxa"/>
          <w:left w:w="0" w:type="dxa"/>
          <w:bottom w:w="0" w:type="dxa"/>
          <w:right w:w="0" w:type="dxa"/>
        </w:tblCellMar>
      </w:tblPr>
      <w:tblGrid>
        <w:gridCol w:w="650"/>
        <w:gridCol w:w="1885"/>
        <w:gridCol w:w="369"/>
        <w:gridCol w:w="374"/>
      </w:tblGrid>
      <w:tr>
        <w:trPr/>
        <w:tc>
          <w:tcPr>
            <w:tcW w:w="650" w:type="dxa"/>
            <w:tcBorders/>
            <w:vAlign w:val="center"/>
          </w:tcPr>
          <w:p>
            <w:pPr>
              <w:pStyle w:val="TableContents"/>
              <w:bidi w:val="0"/>
              <w:spacing w:before="0" w:after="283"/>
              <w:jc w:val="left"/>
              <w:rPr/>
            </w:pPr>
            <w:r>
              <w:rPr/>
            </w:r>
          </w:p>
        </w:tc>
        <w:tc>
          <w:tcPr>
            <w:tcW w:w="1885" w:type="dxa"/>
            <w:tcBorders>
              <w:bottom w:val="single" w:sz="12" w:space="0" w:color="000000"/>
            </w:tcBorders>
            <w:tcMar>
              <w:bottom w:w="28" w:type="dxa"/>
            </w:tcMar>
            <w:vAlign w:val="center"/>
          </w:tcPr>
          <w:p>
            <w:pPr>
              <w:pStyle w:val="TableContents"/>
              <w:bidi w:val="0"/>
              <w:spacing w:before="0" w:after="283"/>
              <w:jc w:val="left"/>
              <w:rPr/>
            </w:pPr>
            <w:r>
              <w:rPr/>
            </w:r>
          </w:p>
        </w:tc>
        <w:tc>
          <w:tcPr>
            <w:tcW w:w="369" w:type="dxa"/>
            <w:tcBorders>
              <w:bottom w:val="single" w:sz="12" w:space="0" w:color="000000"/>
            </w:tcBorders>
            <w:tcMar>
              <w:bottom w:w="28" w:type="dxa"/>
            </w:tcMar>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r>
          </w:p>
        </w:tc>
      </w:tr>
      <w:tr>
        <w:trPr/>
        <w:tc>
          <w:tcPr>
            <w:tcW w:w="650" w:type="dxa"/>
            <w:tcBorders/>
            <w:vAlign w:val="center"/>
          </w:tcPr>
          <w:p>
            <w:pPr>
              <w:pStyle w:val="TableContents"/>
              <w:bidi w:val="0"/>
              <w:spacing w:before="0" w:after="283"/>
              <w:jc w:val="left"/>
              <w:rPr/>
            </w:pPr>
            <w:r>
              <w:rPr/>
            </w:r>
          </w:p>
        </w:tc>
        <w:tc>
          <w:tcPr>
            <w:tcW w:w="2628" w:type="dxa"/>
            <w:gridSpan w:val="3"/>
            <w:tcBorders/>
            <w:vAlign w:val="center"/>
          </w:tcPr>
          <w:p>
            <w:pPr>
              <w:pStyle w:val="TableContents"/>
              <w:bidi w:val="0"/>
              <w:spacing w:before="0" w:after="0"/>
              <w:jc w:val="left"/>
              <w:rPr/>
            </w:pPr>
            <w:r>
              <w:rPr/>
              <w:t>[Insert Name of Transferor]</w:t>
            </w:r>
          </w:p>
        </w:tc>
      </w:tr>
      <w:tr>
        <w:trPr/>
        <w:tc>
          <w:tcPr>
            <w:tcW w:w="650" w:type="dxa"/>
            <w:tcBorders/>
            <w:vAlign w:val="center"/>
          </w:tcPr>
          <w:p>
            <w:pPr>
              <w:pStyle w:val="TableContents"/>
              <w:bidi w:val="0"/>
              <w:spacing w:before="0" w:after="283"/>
              <w:jc w:val="left"/>
              <w:rPr/>
            </w:pPr>
            <w:r>
              <w:rPr/>
            </w:r>
          </w:p>
        </w:tc>
        <w:tc>
          <w:tcPr>
            <w:tcW w:w="2628" w:type="dxa"/>
            <w:gridSpan w:val="3"/>
            <w:tcBorders/>
            <w:vAlign w:val="center"/>
          </w:tcPr>
          <w:p>
            <w:pPr>
              <w:pStyle w:val="TableContents"/>
              <w:bidi w:val="0"/>
              <w:spacing w:before="0" w:after="283"/>
              <w:jc w:val="left"/>
              <w:rPr/>
            </w:pPr>
            <w:r>
              <w:rPr/>
            </w:r>
          </w:p>
        </w:tc>
      </w:tr>
      <w:tr>
        <w:trPr/>
        <w:tc>
          <w:tcPr>
            <w:tcW w:w="650" w:type="dxa"/>
            <w:tcBorders/>
            <w:vAlign w:val="center"/>
          </w:tcPr>
          <w:p>
            <w:pPr>
              <w:pStyle w:val="TableContents"/>
              <w:bidi w:val="0"/>
              <w:spacing w:before="0" w:after="283"/>
              <w:jc w:val="left"/>
              <w:rPr/>
            </w:pPr>
            <w:r>
              <w:rPr/>
            </w:r>
          </w:p>
        </w:tc>
        <w:tc>
          <w:tcPr>
            <w:tcW w:w="1885" w:type="dxa"/>
            <w:tcBorders/>
            <w:vAlign w:val="center"/>
          </w:tcPr>
          <w:p>
            <w:pPr>
              <w:pStyle w:val="TableContents"/>
              <w:bidi w:val="0"/>
              <w:spacing w:before="0" w:after="283"/>
              <w:jc w:val="left"/>
              <w:rPr/>
            </w:pPr>
            <w:r>
              <w:rPr/>
              <w:t xml:space="preserve">By: </w:t>
            </w:r>
          </w:p>
        </w:tc>
        <w:tc>
          <w:tcPr>
            <w:tcW w:w="369" w:type="dxa"/>
            <w:tcBorders>
              <w:bottom w:val="single" w:sz="12" w:space="0" w:color="000000"/>
            </w:tcBorders>
            <w:tcMar>
              <w:bottom w:w="28" w:type="dxa"/>
            </w:tcMar>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r>
          </w:p>
        </w:tc>
        <w:tc>
          <w:tcPr>
            <w:tcW w:w="2628" w:type="dxa"/>
            <w:gridSpan w:val="3"/>
            <w:tcBorders/>
            <w:vAlign w:val="center"/>
          </w:tcPr>
          <w:p>
            <w:pPr>
              <w:pStyle w:val="TableContents"/>
              <w:bidi w:val="0"/>
              <w:spacing w:before="0" w:after="0"/>
              <w:jc w:val="both"/>
              <w:rPr/>
            </w:pPr>
            <w:r>
              <w:rPr/>
              <w:t>Name:</w:t>
            </w:r>
          </w:p>
        </w:tc>
      </w:tr>
      <w:tr>
        <w:trPr/>
        <w:tc>
          <w:tcPr>
            <w:tcW w:w="650" w:type="dxa"/>
            <w:tcBorders/>
            <w:vAlign w:val="center"/>
          </w:tcPr>
          <w:p>
            <w:pPr>
              <w:pStyle w:val="TableContents"/>
              <w:bidi w:val="0"/>
              <w:spacing w:before="0" w:after="283"/>
              <w:jc w:val="left"/>
              <w:rPr/>
            </w:pPr>
            <w:r>
              <w:rPr/>
            </w:r>
          </w:p>
        </w:tc>
        <w:tc>
          <w:tcPr>
            <w:tcW w:w="2628" w:type="dxa"/>
            <w:gridSpan w:val="3"/>
            <w:tcBorders/>
            <w:vAlign w:val="center"/>
          </w:tcPr>
          <w:p>
            <w:pPr>
              <w:pStyle w:val="TableContents"/>
              <w:bidi w:val="0"/>
              <w:spacing w:before="0" w:after="0"/>
              <w:jc w:val="left"/>
              <w:rPr/>
            </w:pPr>
            <w:r>
              <w:rPr/>
              <w:t>Title:</w:t>
            </w:r>
          </w:p>
        </w:tc>
      </w:tr>
      <w:tr>
        <w:trPr/>
        <w:tc>
          <w:tcPr>
            <w:tcW w:w="650" w:type="dxa"/>
            <w:tcBorders/>
            <w:vAlign w:val="center"/>
          </w:tcPr>
          <w:p>
            <w:pPr>
              <w:pStyle w:val="TableContents"/>
              <w:bidi w:val="0"/>
              <w:spacing w:before="0" w:after="0"/>
              <w:jc w:val="both"/>
              <w:rPr/>
            </w:pPr>
            <w:r>
              <w:rPr/>
              <w:t>Dated:</w:t>
            </w:r>
          </w:p>
        </w:tc>
        <w:tc>
          <w:tcPr>
            <w:tcW w:w="2628" w:type="dxa"/>
            <w:gridSpan w:val="3"/>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E - 3</w:t>
      </w:r>
    </w:p>
    <w:p>
      <w:pPr>
        <w:pStyle w:val="HorizontalLine"/>
        <w:pBdr>
          <w:bottom w:val="single" w:sz="12" w:space="0" w:color="808080"/>
        </w:pBdr>
        <w:bidi w:val="0"/>
        <w:spacing w:before="200" w:after="200"/>
        <w:jc w:val="left"/>
        <w:rPr/>
      </w:pPr>
      <w:r>
        <w:rPr/>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F</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OF CERTIFICATE OF ACQUIRING INSTITUTIONAL ACCREDITED INVESTOR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ICON Investments Six Designated Activity Company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South County Business Park</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Leopardstown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Dublin 18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Ireland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Attention: Chief Financial Officer with a copy to General Counsel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Email: nigel.clerkin@iconplc.com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with a copy to ICON General Counsel: diarmaid.cunningham@iconplc.com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Phone: +353 1 2912000</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Citibank, N.A.</w:t>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388 Greenwich Street – 26th Floor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New York, New York 10013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Email: citi.cspag.debt@citi.com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Attention: NAM – Agency and Trust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Re:  [5.064% Notes due 2029] [5.421% Notes due 2031] [5.995% Notes due 2036] (the “</w:t>
      </w:r>
      <w:r>
        <w:rPr>
          <w:rFonts w:ascii="Times New Roman" w:hAnsi="Times New Roman"/>
          <w:i/>
          <w:color w:val="000000"/>
          <w:sz w:val="20"/>
        </w:rPr>
        <w:t>Notes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Reference is hereby made to the Indenture, dated as of August 13, 2026 (the “</w:t>
      </w:r>
      <w:r>
        <w:rPr>
          <w:rFonts w:ascii="Times New Roman" w:hAnsi="Times New Roman"/>
          <w:i/>
          <w:color w:val="000000"/>
          <w:sz w:val="20"/>
        </w:rPr>
        <w:t>Base Indenture</w:t>
      </w:r>
      <w:r>
        <w:rPr>
          <w:rFonts w:ascii="Times New Roman" w:hAnsi="Times New Roman"/>
          <w:color w:val="000000"/>
          <w:sz w:val="20"/>
        </w:rPr>
        <w:t>”), among ICON Investments Six Designated Activity Company (the “</w:t>
      </w:r>
      <w:r>
        <w:rPr>
          <w:rFonts w:ascii="Times New Roman" w:hAnsi="Times New Roman"/>
          <w:i/>
          <w:color w:val="000000"/>
          <w:sz w:val="20"/>
        </w:rPr>
        <w:t>Issuer</w:t>
      </w:r>
      <w:r>
        <w:rPr>
          <w:rFonts w:ascii="Times New Roman" w:hAnsi="Times New Roman"/>
          <w:color w:val="000000"/>
          <w:sz w:val="20"/>
        </w:rPr>
        <w:t>”), ICON Public Limited Company (the “</w:t>
      </w:r>
      <w:r>
        <w:rPr>
          <w:rFonts w:ascii="Times New Roman" w:hAnsi="Times New Roman"/>
          <w:i/>
          <w:color w:val="000000"/>
          <w:sz w:val="20"/>
        </w:rPr>
        <w:t>Parent</w:t>
      </w:r>
      <w:r>
        <w:rPr>
          <w:rFonts w:ascii="Times New Roman" w:hAnsi="Times New Roman"/>
          <w:color w:val="000000"/>
          <w:sz w:val="20"/>
        </w:rPr>
        <w:t>”) and Citibank, N.A., as trustee (in such capacity, the “</w:t>
      </w:r>
      <w:r>
        <w:rPr>
          <w:rFonts w:ascii="Times New Roman" w:hAnsi="Times New Roman"/>
          <w:i/>
          <w:color w:val="000000"/>
          <w:sz w:val="20"/>
        </w:rPr>
        <w:t>Trustee</w:t>
      </w:r>
      <w:r>
        <w:rPr>
          <w:rFonts w:ascii="Times New Roman" w:hAnsi="Times New Roman"/>
          <w:color w:val="000000"/>
          <w:sz w:val="20"/>
        </w:rPr>
        <w:t>”), paying agent and registrar, as amended and supplemented by the First Supplemental Indenture, dated as of August 13, 2026, among the Issuer, the Parent and the Trustee (as so amended and supplemented, the “</w:t>
      </w:r>
      <w:r>
        <w:rPr>
          <w:rFonts w:ascii="Times New Roman" w:hAnsi="Times New Roman"/>
          <w:i/>
          <w:color w:val="000000"/>
          <w:sz w:val="20"/>
        </w:rPr>
        <w:t>Indenture</w:t>
      </w:r>
      <w:r>
        <w:rPr>
          <w:rFonts w:ascii="Times New Roman" w:hAnsi="Times New Roman"/>
          <w:color w:val="000000"/>
          <w:sz w:val="20"/>
        </w:rPr>
        <w:t>”). Capitalized terms used but not defined herein shall have the meanings given to them in the Indenture.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our proposed purchase of $[   ] aggregate principal amount of:</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7" w:name="ze4cdae149be94c7280b02d920f8c0aaa"/>
      <w:bookmarkStart w:id="218" w:name="ze4cdae149be94c7280b02d920f8c0aaa"/>
      <w:bookmarkEnd w:id="218"/>
    </w:p>
    <w:tbl>
      <w:tblPr>
        <w:tblW w:w="4383" w:type="dxa"/>
        <w:jc w:val="left"/>
        <w:tblInd w:w="0" w:type="dxa"/>
        <w:tblLayout w:type="fixed"/>
        <w:tblCellMar>
          <w:top w:w="0" w:type="dxa"/>
          <w:left w:w="0" w:type="dxa"/>
          <w:bottom w:w="0" w:type="dxa"/>
          <w:right w:w="0" w:type="dxa"/>
        </w:tblCellMar>
      </w:tblPr>
      <w:tblGrid>
        <w:gridCol w:w="38"/>
        <w:gridCol w:w="275"/>
        <w:gridCol w:w="407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color w:val="000000"/>
              </w:rPr>
            </w:pPr>
            <w:r>
              <w:rPr>
                <w:color w:val="000000"/>
              </w:rPr>
              <w:t>(e)</w:t>
            </w:r>
          </w:p>
        </w:tc>
        <w:tc>
          <w:tcPr>
            <w:tcW w:w="4070" w:type="dxa"/>
            <w:tcBorders/>
            <w:vAlign w:val="center"/>
          </w:tcPr>
          <w:p>
            <w:pPr>
              <w:pStyle w:val="TableContents"/>
              <w:bidi w:val="0"/>
              <w:spacing w:before="0" w:after="0"/>
              <w:jc w:val="left"/>
              <w:rPr>
                <w:color w:val="000000"/>
              </w:rPr>
            </w:pPr>
            <w:r>
              <w:rPr>
                <w:color w:val="000000"/>
              </w:rPr>
              <w:t xml:space="preserve">☐ </w:t>
            </w:r>
            <w:r>
              <w:rPr>
                <w:color w:val="000000"/>
              </w:rPr>
              <w:t>a beneficial interest in a Global Note, or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9" w:name="zeee046f392004bfbabcec9935306124f"/>
      <w:bookmarkStart w:id="220" w:name="zeee046f392004bfbabcec9935306124f"/>
      <w:bookmarkEnd w:id="220"/>
    </w:p>
    <w:tbl>
      <w:tblPr>
        <w:tblW w:w="2283" w:type="dxa"/>
        <w:jc w:val="left"/>
        <w:tblInd w:w="0" w:type="dxa"/>
        <w:tblLayout w:type="fixed"/>
        <w:tblCellMar>
          <w:top w:w="0" w:type="dxa"/>
          <w:left w:w="0" w:type="dxa"/>
          <w:bottom w:w="0" w:type="dxa"/>
          <w:right w:w="0" w:type="dxa"/>
        </w:tblCellMar>
      </w:tblPr>
      <w:tblGrid>
        <w:gridCol w:w="38"/>
        <w:gridCol w:w="245"/>
        <w:gridCol w:w="200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color w:val="000000"/>
              </w:rPr>
            </w:pPr>
            <w:r>
              <w:rPr>
                <w:color w:val="000000"/>
              </w:rPr>
              <w:t>(f)</w:t>
            </w:r>
          </w:p>
        </w:tc>
        <w:tc>
          <w:tcPr>
            <w:tcW w:w="2000" w:type="dxa"/>
            <w:tcBorders/>
            <w:vAlign w:val="center"/>
          </w:tcPr>
          <w:p>
            <w:pPr>
              <w:pStyle w:val="TableContents"/>
              <w:bidi w:val="0"/>
              <w:spacing w:before="0" w:after="0"/>
              <w:jc w:val="left"/>
              <w:rPr>
                <w:color w:val="000000"/>
              </w:rPr>
            </w:pPr>
            <w:r>
              <w:rPr>
                <w:color w:val="000000"/>
              </w:rPr>
              <w:t xml:space="preserve">☐ </w:t>
            </w:r>
            <w:r>
              <w:rPr>
                <w:color w:val="000000"/>
              </w:rPr>
              <w:t>a Definitive Note,</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confirm that:</w:t>
      </w:r>
    </w:p>
    <w:p>
      <w:pPr>
        <w:pStyle w:val="Normal"/>
        <w:bidi w:val="0"/>
        <w:spacing w:before="0" w:after="0"/>
        <w:jc w:val="left"/>
        <w:rPr>
          <w:sz w:val="4"/>
          <w:szCs w:val="4"/>
        </w:rPr>
      </w:pPr>
      <w:r>
        <w:rPr>
          <w:sz w:val="4"/>
          <w:szCs w:val="4"/>
        </w:rPr>
      </w:r>
      <w:bookmarkStart w:id="221" w:name="ze04bc8c3df6448b5ab342370a8249cee"/>
      <w:bookmarkStart w:id="222" w:name="ze04bc8c3df6448b5ab342370a8249cee"/>
      <w:bookmarkEnd w:id="222"/>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t>3.</w:t>
            </w:r>
          </w:p>
        </w:tc>
        <w:tc>
          <w:tcPr>
            <w:tcW w:w="10013" w:type="dxa"/>
            <w:tcBorders/>
            <w:vAlign w:val="center"/>
          </w:tcPr>
          <w:p>
            <w:pPr>
              <w:pStyle w:val="TableContents"/>
              <w:bidi w:val="0"/>
              <w:spacing w:before="0" w:after="0"/>
              <w:jc w:val="left"/>
              <w:rPr/>
            </w:pPr>
            <w:r>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“Securities Act”).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F - 1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23" w:name="zbcc684d2a28543d5a7e6fc4f1d4747da"/>
      <w:bookmarkStart w:id="224" w:name="zbcc684d2a28543d5a7e6fc4f1d4747da"/>
      <w:bookmarkEnd w:id="224"/>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283"/>
              <w:jc w:val="left"/>
              <w:rPr/>
            </w:pPr>
            <w:bookmarkStart w:id="225" w:name="z_Ref54776155"/>
            <w:bookmarkEnd w:id="225"/>
            <w:r>
              <w:rPr/>
              <w:t>4.</w:t>
            </w:r>
          </w:p>
        </w:tc>
        <w:tc>
          <w:tcPr>
            <w:tcW w:w="10024" w:type="dxa"/>
            <w:tcBorders/>
            <w:vAlign w:val="center"/>
          </w:tcPr>
          <w:p>
            <w:pPr>
              <w:pStyle w:val="TableContents"/>
              <w:bidi w:val="0"/>
              <w:spacing w:before="0" w:after="0"/>
              <w:jc w:val="left"/>
              <w:rPr/>
            </w:pPr>
            <w:r>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Issuer or any subsidiary thereof, (B) in accordance with Rule 144A under the Securities Act to a “qualified institutional buyer” (as defined therein), (C) to an institutional “accredited investor” (as defined below) that, prior to such transfer, furnishes (or has furnished on its behalf by a U.S. broker-dealer) to you and to the Issuer a signed letter substantially in the form of this letter and, if such transfer is in respect of a principal amount of Notes, at the time of transfer of less than $250,000, an Opinion of Counsel in form reasonably acceptable to the Issuer to the effect that such transfer is in compliance with the Securities Act, (D) outside the United States in accordance with Rule 904 of Regulation S under the Securities Act, (E) pursuant to the provisions of Rule 144 under the Securities Act or (F) 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6" w:name="z1ae3a2d637d8491f96e936a1ae668f34"/>
      <w:bookmarkStart w:id="227" w:name="z1ae3a2d637d8491f96e936a1ae668f34"/>
      <w:bookmarkEnd w:id="227"/>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color w:val="000000"/>
              </w:rPr>
            </w:pPr>
            <w:bookmarkStart w:id="228" w:name="z_Ref54776156"/>
            <w:bookmarkEnd w:id="228"/>
            <w:r>
              <w:rPr>
                <w:color w:val="000000"/>
              </w:rPr>
              <w:t>5.</w:t>
            </w:r>
          </w:p>
        </w:tc>
        <w:tc>
          <w:tcPr>
            <w:tcW w:w="10013" w:type="dxa"/>
            <w:tcBorders/>
            <w:vAlign w:val="center"/>
          </w:tcPr>
          <w:p>
            <w:pPr>
              <w:pStyle w:val="TableContents"/>
              <w:bidi w:val="0"/>
              <w:spacing w:before="0" w:after="0"/>
              <w:jc w:val="left"/>
              <w:rPr>
                <w:color w:val="000000"/>
              </w:rPr>
            </w:pPr>
            <w:r>
              <w:rPr>
                <w:color w:val="000000"/>
              </w:rPr>
              <w:t>We understand that, on any proposed resale of the Notes or beneficial interest therein, we will be required to furnish to you and the Issuer such certifications, legal opinions and other information as you and the Issuer may reasonably require to confirm that the proposed sale complies with the foregoing restrictions. We further understand that the Notes purchased by us will bear a legend to the foregoing effect.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9" w:name="z4363d5d400ea49a4b0e8301420bd2130"/>
      <w:bookmarkStart w:id="230" w:name="z4363d5d400ea49a4b0e8301420bd2130"/>
      <w:bookmarkEnd w:id="230"/>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color w:val="000000"/>
              </w:rPr>
            </w:pPr>
            <w:bookmarkStart w:id="231" w:name="z_Hlk215003426"/>
            <w:bookmarkEnd w:id="231"/>
            <w:r>
              <w:rPr>
                <w:color w:val="000000"/>
              </w:rPr>
              <w:t>6.</w:t>
            </w:r>
          </w:p>
        </w:tc>
        <w:tc>
          <w:tcPr>
            <w:tcW w:w="10013" w:type="dxa"/>
            <w:tcBorders/>
            <w:vAlign w:val="center"/>
          </w:tcPr>
          <w:p>
            <w:pPr>
              <w:pStyle w:val="TableContents"/>
              <w:bidi w:val="0"/>
              <w:spacing w:before="0" w:after="0"/>
              <w:jc w:val="left"/>
              <w:rPr/>
            </w:pPr>
            <w:r>
              <w:rPr>
                <w:color w:val="000000"/>
              </w:rPr>
              <w:t>We are an institutional “accredited investor” (as defined in Rule 501(a)(1), (2), (3)</w:t>
            </w:r>
            <w:r>
              <w:rPr/>
              <w:t xml:space="preserve">, (7), (9) </w:t>
            </w:r>
            <w:r>
              <w:rPr>
                <w:color w:val="000000"/>
              </w:rPr>
              <w:t>or (</w:t>
            </w:r>
            <w:r>
              <w:rPr/>
              <w:t>12</w:t>
            </w:r>
            <w:r>
              <w:rPr>
                <w:color w:val="000000"/>
              </w:rPr>
              <w:t>)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32" w:name="zef0476742eff4fd3aa78b46279361fa9"/>
      <w:bookmarkStart w:id="233" w:name="zef0476742eff4fd3aa78b46279361fa9"/>
      <w:bookmarkEnd w:id="233"/>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pPr>
            <w:r>
              <w:rPr/>
            </w:r>
          </w:p>
        </w:tc>
        <w:tc>
          <w:tcPr>
            <w:tcW w:w="165" w:type="dxa"/>
            <w:tcBorders/>
            <w:vAlign w:val="center"/>
          </w:tcPr>
          <w:p>
            <w:pPr>
              <w:pStyle w:val="TableContents"/>
              <w:bidi w:val="0"/>
              <w:spacing w:before="0" w:after="283"/>
              <w:jc w:val="left"/>
              <w:rPr>
                <w:color w:val="000000"/>
              </w:rPr>
            </w:pPr>
            <w:r>
              <w:rPr>
                <w:color w:val="000000"/>
              </w:rPr>
              <w:t>7.</w:t>
            </w:r>
          </w:p>
        </w:tc>
        <w:tc>
          <w:tcPr>
            <w:tcW w:w="10002" w:type="dxa"/>
            <w:tcBorders/>
            <w:vAlign w:val="center"/>
          </w:tcPr>
          <w:p>
            <w:pPr>
              <w:pStyle w:val="TableContents"/>
              <w:bidi w:val="0"/>
              <w:spacing w:before="0" w:after="0"/>
              <w:jc w:val="left"/>
              <w:rPr>
                <w:color w:val="000000"/>
              </w:rPr>
            </w:pPr>
            <w:r>
              <w:rPr>
                <w:color w:val="000000"/>
              </w:rPr>
              <w:t>We are acquiring the Notes or beneficial interest therein purchased by us for our own account or for one or more accounts (each of which is an institutional “accredited investor”) as to each of which we exercise sole investment discretion.</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You and the Issuer are entitled to rely upon this letter and are irrevocably authorized to produce this letter or a copy hereof to any interested party in any administrative or legal proceedings or official inquiry with respect to the matters covered hereby.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34" w:name="44c36ad772c044e7bf73e73c16f15c9b"/>
      <w:bookmarkStart w:id="235" w:name="44c36ad772c044e7bf73e73c16f15c9b"/>
      <w:bookmarkEnd w:id="235"/>
    </w:p>
    <w:tbl>
      <w:tblPr>
        <w:tblW w:w="4148" w:type="dxa"/>
        <w:jc w:val="left"/>
        <w:tblInd w:w="0" w:type="dxa"/>
        <w:tblLayout w:type="fixed"/>
        <w:tblCellMar>
          <w:top w:w="0" w:type="dxa"/>
          <w:left w:w="0" w:type="dxa"/>
          <w:bottom w:w="0" w:type="dxa"/>
          <w:right w:w="0" w:type="dxa"/>
        </w:tblCellMar>
      </w:tblPr>
      <w:tblGrid>
        <w:gridCol w:w="650"/>
        <w:gridCol w:w="2511"/>
        <w:gridCol w:w="490"/>
        <w:gridCol w:w="497"/>
      </w:tblGrid>
      <w:tr>
        <w:trPr/>
        <w:tc>
          <w:tcPr>
            <w:tcW w:w="650" w:type="dxa"/>
            <w:tcBorders/>
            <w:vAlign w:val="center"/>
          </w:tcPr>
          <w:p>
            <w:pPr>
              <w:pStyle w:val="TableContents"/>
              <w:bidi w:val="0"/>
              <w:spacing w:before="0" w:after="283"/>
              <w:jc w:val="left"/>
              <w:rPr/>
            </w:pPr>
            <w:r>
              <w:rPr/>
            </w:r>
          </w:p>
        </w:tc>
        <w:tc>
          <w:tcPr>
            <w:tcW w:w="2511" w:type="dxa"/>
            <w:tcBorders>
              <w:bottom w:val="single" w:sz="12" w:space="0" w:color="000000"/>
            </w:tcBorders>
            <w:tcMar>
              <w:bottom w:w="28" w:type="dxa"/>
            </w:tcMar>
            <w:vAlign w:val="center"/>
          </w:tcPr>
          <w:p>
            <w:pPr>
              <w:pStyle w:val="TableContents"/>
              <w:bidi w:val="0"/>
              <w:spacing w:before="0" w:after="283"/>
              <w:jc w:val="left"/>
              <w:rPr/>
            </w:pPr>
            <w:r>
              <w:rPr/>
            </w:r>
          </w:p>
        </w:tc>
        <w:tc>
          <w:tcPr>
            <w:tcW w:w="490" w:type="dxa"/>
            <w:tcBorders>
              <w:bottom w:val="single" w:sz="12" w:space="0" w:color="000000"/>
            </w:tcBorders>
            <w:tcMar>
              <w:bottom w:w="28" w:type="dxa"/>
            </w:tcMar>
            <w:vAlign w:val="center"/>
          </w:tcPr>
          <w:p>
            <w:pPr>
              <w:pStyle w:val="TableContents"/>
              <w:bidi w:val="0"/>
              <w:spacing w:before="0" w:after="283"/>
              <w:jc w:val="left"/>
              <w:rPr/>
            </w:pPr>
            <w:r>
              <w:rPr/>
            </w:r>
          </w:p>
        </w:tc>
        <w:tc>
          <w:tcPr>
            <w:tcW w:w="497"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r>
          </w:p>
        </w:tc>
        <w:tc>
          <w:tcPr>
            <w:tcW w:w="3498" w:type="dxa"/>
            <w:gridSpan w:val="3"/>
            <w:tcBorders/>
            <w:vAlign w:val="center"/>
          </w:tcPr>
          <w:p>
            <w:pPr>
              <w:pStyle w:val="TableContents"/>
              <w:bidi w:val="0"/>
              <w:spacing w:before="0" w:after="0"/>
              <w:jc w:val="left"/>
              <w:rPr/>
            </w:pPr>
            <w:r>
              <w:rPr/>
              <w:t>[Insert Name of Accredited Investor]</w:t>
            </w:r>
          </w:p>
        </w:tc>
      </w:tr>
      <w:tr>
        <w:trPr/>
        <w:tc>
          <w:tcPr>
            <w:tcW w:w="650" w:type="dxa"/>
            <w:tcBorders/>
            <w:vAlign w:val="center"/>
          </w:tcPr>
          <w:p>
            <w:pPr>
              <w:pStyle w:val="TableContents"/>
              <w:bidi w:val="0"/>
              <w:spacing w:before="0" w:after="283"/>
              <w:jc w:val="left"/>
              <w:rPr/>
            </w:pPr>
            <w:r>
              <w:rPr/>
            </w:r>
          </w:p>
        </w:tc>
        <w:tc>
          <w:tcPr>
            <w:tcW w:w="3498" w:type="dxa"/>
            <w:gridSpan w:val="3"/>
            <w:tcBorders/>
            <w:vAlign w:val="center"/>
          </w:tcPr>
          <w:p>
            <w:pPr>
              <w:pStyle w:val="TableContents"/>
              <w:bidi w:val="0"/>
              <w:spacing w:before="0" w:after="283"/>
              <w:jc w:val="left"/>
              <w:rPr/>
            </w:pPr>
            <w:r>
              <w:rPr/>
            </w:r>
          </w:p>
        </w:tc>
      </w:tr>
      <w:tr>
        <w:trPr/>
        <w:tc>
          <w:tcPr>
            <w:tcW w:w="650" w:type="dxa"/>
            <w:tcBorders/>
            <w:vAlign w:val="center"/>
          </w:tcPr>
          <w:p>
            <w:pPr>
              <w:pStyle w:val="TableContents"/>
              <w:bidi w:val="0"/>
              <w:spacing w:before="0" w:after="283"/>
              <w:jc w:val="left"/>
              <w:rPr/>
            </w:pPr>
            <w:r>
              <w:rPr/>
            </w:r>
          </w:p>
        </w:tc>
        <w:tc>
          <w:tcPr>
            <w:tcW w:w="2511" w:type="dxa"/>
            <w:tcBorders/>
            <w:vAlign w:val="center"/>
          </w:tcPr>
          <w:p>
            <w:pPr>
              <w:pStyle w:val="TableContents"/>
              <w:bidi w:val="0"/>
              <w:spacing w:before="0" w:after="283"/>
              <w:jc w:val="left"/>
              <w:rPr/>
            </w:pPr>
            <w:r>
              <w:rPr/>
              <w:t>By:</w:t>
            </w:r>
          </w:p>
        </w:tc>
        <w:tc>
          <w:tcPr>
            <w:tcW w:w="490" w:type="dxa"/>
            <w:tcBorders>
              <w:bottom w:val="single" w:sz="12" w:space="0" w:color="000000"/>
            </w:tcBorders>
            <w:tcMar>
              <w:bottom w:w="28" w:type="dxa"/>
            </w:tcMar>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r>
          </w:p>
        </w:tc>
        <w:tc>
          <w:tcPr>
            <w:tcW w:w="3498" w:type="dxa"/>
            <w:gridSpan w:val="3"/>
            <w:tcBorders/>
            <w:vAlign w:val="center"/>
          </w:tcPr>
          <w:p>
            <w:pPr>
              <w:pStyle w:val="TableContents"/>
              <w:bidi w:val="0"/>
              <w:spacing w:before="0" w:after="0"/>
              <w:jc w:val="both"/>
              <w:rPr/>
            </w:pPr>
            <w:r>
              <w:rPr/>
              <w:t>Name:</w:t>
            </w:r>
          </w:p>
        </w:tc>
      </w:tr>
      <w:tr>
        <w:trPr/>
        <w:tc>
          <w:tcPr>
            <w:tcW w:w="650" w:type="dxa"/>
            <w:tcBorders/>
            <w:vAlign w:val="center"/>
          </w:tcPr>
          <w:p>
            <w:pPr>
              <w:pStyle w:val="TableContents"/>
              <w:bidi w:val="0"/>
              <w:spacing w:before="0" w:after="283"/>
              <w:jc w:val="left"/>
              <w:rPr/>
            </w:pPr>
            <w:r>
              <w:rPr/>
            </w:r>
          </w:p>
        </w:tc>
        <w:tc>
          <w:tcPr>
            <w:tcW w:w="3498" w:type="dxa"/>
            <w:gridSpan w:val="3"/>
            <w:tcBorders/>
            <w:vAlign w:val="center"/>
          </w:tcPr>
          <w:p>
            <w:pPr>
              <w:pStyle w:val="TableContents"/>
              <w:bidi w:val="0"/>
              <w:spacing w:before="0" w:after="0"/>
              <w:jc w:val="both"/>
              <w:rPr/>
            </w:pPr>
            <w:r>
              <w:rPr/>
              <w:t>Title:</w:t>
            </w:r>
          </w:p>
        </w:tc>
      </w:tr>
      <w:tr>
        <w:trPr/>
        <w:tc>
          <w:tcPr>
            <w:tcW w:w="650" w:type="dxa"/>
            <w:tcBorders/>
            <w:vAlign w:val="center"/>
          </w:tcPr>
          <w:p>
            <w:pPr>
              <w:pStyle w:val="TableContents"/>
              <w:bidi w:val="0"/>
              <w:spacing w:before="0" w:after="0"/>
              <w:jc w:val="both"/>
              <w:rPr/>
            </w:pPr>
            <w:r>
              <w:rPr/>
              <w:t>Dated:</w:t>
            </w:r>
          </w:p>
        </w:tc>
        <w:tc>
          <w:tcPr>
            <w:tcW w:w="3498" w:type="dxa"/>
            <w:gridSpan w:val="3"/>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F - 2</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236" w:name="ef20080314_ex4-3.htm"/>
      <w:bookmarkStart w:id="237" w:name="ksef20080314_ex43"/>
      <w:bookmarkStart w:id="238" w:name="ef20080314_ex4-3.htm"/>
      <w:bookmarkStart w:id="239" w:name="ksef20080314_ex43"/>
      <w:bookmarkEnd w:id="238"/>
      <w:bookmarkEnd w:id="23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4.3</w:t>
      </w:r>
    </w:p>
    <w:p>
      <w:pPr>
        <w:pStyle w:val="TextBody"/>
        <w:bidi w:val="0"/>
        <w:spacing w:before="0" w:after="0"/>
        <w:jc w:val="right"/>
        <w:rPr>
          <w:b/>
        </w:rPr>
      </w:pPr>
      <w:r>
        <w:rPr>
          <w:b/>
        </w:rPr>
      </w:r>
    </w:p>
    <w:p>
      <w:pPr>
        <w:pStyle w:val="TextBody"/>
        <w:bidi w:val="0"/>
        <w:spacing w:before="0" w:after="0"/>
        <w:jc w:val="right"/>
        <w:rPr>
          <w:rFonts w:ascii="Times New Roman" w:hAnsi="Times New Roman"/>
          <w:b/>
          <w:i/>
          <w:color w:val="000000"/>
          <w:sz w:val="20"/>
        </w:rPr>
      </w:pPr>
      <w:r>
        <w:rPr>
          <w:rFonts w:ascii="Times New Roman" w:hAnsi="Times New Roman"/>
          <w:b/>
          <w:i/>
          <w:color w:val="000000"/>
          <w:sz w:val="20"/>
        </w:rPr>
        <w:t>Execution Version</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REGISTRATION RIGHTS AGREEMENT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August 13, 2026</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among</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ICON INVESTMENTS SIX DESIGNATED ACTIVITY COMPANY,</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ICON PLC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and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BOFA SECURITIES,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CITIGROUP GLOBAL MARKETS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HSBC SECURITIES (USA)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J.P. MORGAN SECURITIES LLC, and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MORGAN STANLEY &amp; CO. LLC</w:t>
      </w:r>
    </w:p>
    <w:p>
      <w:pPr>
        <w:pStyle w:val="TextBody"/>
        <w:bidi w:val="0"/>
        <w:spacing w:before="0" w:after="0"/>
        <w:jc w:val="center"/>
        <w:rPr>
          <w:b/>
        </w:rPr>
      </w:pPr>
      <w:r>
        <w:rPr>
          <w:b/>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REGISTRATION RIGHTS AGREEMENT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THIS REGISTRATION RIGHTS AGREEMENT (the “</w:t>
      </w:r>
      <w:r>
        <w:rPr>
          <w:rFonts w:ascii="Times New Roman" w:hAnsi="Times New Roman"/>
          <w:color w:val="000000"/>
          <w:sz w:val="20"/>
          <w:u w:val="single"/>
        </w:rPr>
        <w:t>Agreement</w:t>
      </w:r>
      <w:r>
        <w:rPr>
          <w:rFonts w:ascii="Times New Roman" w:hAnsi="Times New Roman"/>
          <w:color w:val="000000"/>
          <w:sz w:val="20"/>
        </w:rPr>
        <w:t>”) is made and entered into as of August 13, 2026, among ICON Investments Six Designated Activity Company (“</w:t>
      </w:r>
      <w:r>
        <w:rPr>
          <w:rFonts w:ascii="Times New Roman" w:hAnsi="Times New Roman"/>
          <w:color w:val="000000"/>
          <w:sz w:val="20"/>
          <w:u w:val="single"/>
        </w:rPr>
        <w:t>Issuer</w:t>
      </w:r>
      <w:r>
        <w:rPr>
          <w:rFonts w:ascii="Times New Roman" w:hAnsi="Times New Roman"/>
          <w:color w:val="000000"/>
          <w:sz w:val="20"/>
        </w:rPr>
        <w:t>”), a wholly owned financing subsidiary of ICON plc (the “</w:t>
      </w:r>
      <w:r>
        <w:rPr>
          <w:rFonts w:ascii="Times New Roman" w:hAnsi="Times New Roman"/>
          <w:color w:val="000000"/>
          <w:sz w:val="20"/>
          <w:u w:val="single"/>
        </w:rPr>
        <w:t>Company</w:t>
      </w:r>
      <w:r>
        <w:rPr>
          <w:rFonts w:ascii="Times New Roman" w:hAnsi="Times New Roman"/>
          <w:color w:val="000000"/>
          <w:sz w:val="20"/>
        </w:rPr>
        <w:t>”), BofA Securities, Inc., Citigroup Global Markets Inc., HSBC Securities (USA) Inc., J.P. Morgan Securities LLC and Morgan Stanley &amp; Co. LLC and each of the other initial purchasers named in Schedule A hereto (collectively, the “</w:t>
      </w:r>
      <w:r>
        <w:rPr>
          <w:rFonts w:ascii="Times New Roman" w:hAnsi="Times New Roman"/>
          <w:color w:val="000000"/>
          <w:sz w:val="20"/>
          <w:u w:val="single"/>
        </w:rPr>
        <w:t>Initial Purchasers</w:t>
      </w:r>
      <w:r>
        <w:rPr>
          <w:rFonts w:ascii="Times New Roman" w:hAnsi="Times New Roman"/>
          <w:color w:val="000000"/>
          <w:sz w:val="20"/>
        </w:rPr>
        <w:t>”) for whom BofA Securities, Inc., Citigroup Global Markets Inc., HSBC Securities (USA) Inc., J.P. Morgan Securities LLC and Morgan Stanley &amp; Co. LLC are acting the representatives (the “</w:t>
      </w:r>
      <w:r>
        <w:rPr>
          <w:rFonts w:ascii="Times New Roman" w:hAnsi="Times New Roman"/>
          <w:color w:val="000000"/>
          <w:sz w:val="20"/>
          <w:u w:val="single"/>
        </w:rPr>
        <w:t>Representatives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This Agreement is made pursuant to the Purchase Agreement, dated August 5, 2026, among the Issuer, the Company and the Representatives (the “</w:t>
      </w:r>
      <w:r>
        <w:rPr>
          <w:rFonts w:ascii="Times New Roman" w:hAnsi="Times New Roman"/>
          <w:color w:val="000000"/>
          <w:sz w:val="20"/>
          <w:u w:val="single"/>
        </w:rPr>
        <w:t>Purchase Agreement</w:t>
      </w:r>
      <w:r>
        <w:rPr>
          <w:rFonts w:ascii="Times New Roman" w:hAnsi="Times New Roman"/>
          <w:color w:val="000000"/>
          <w:sz w:val="20"/>
        </w:rPr>
        <w:t>”), which provides for the sale by the Issuer to the Initial Purchasers of (i) $500,000,000 aggregate principal amount of the Issuer’s 5.064% Notes due 2029 (the “</w:t>
      </w:r>
      <w:r>
        <w:rPr>
          <w:rFonts w:ascii="Times New Roman" w:hAnsi="Times New Roman"/>
          <w:color w:val="000000"/>
          <w:sz w:val="20"/>
          <w:u w:val="single"/>
        </w:rPr>
        <w:t>2029 Notes</w:t>
      </w:r>
      <w:r>
        <w:rPr>
          <w:rFonts w:ascii="Times New Roman" w:hAnsi="Times New Roman"/>
          <w:color w:val="000000"/>
          <w:sz w:val="20"/>
        </w:rPr>
        <w:t>”), (ii) $1,000,000,000 aggregate principal amount of the Issuer’s 5.421% Notes due 2031 (the “</w:t>
      </w:r>
      <w:r>
        <w:rPr>
          <w:rFonts w:ascii="Times New Roman" w:hAnsi="Times New Roman"/>
          <w:color w:val="000000"/>
          <w:sz w:val="20"/>
          <w:u w:val="single"/>
        </w:rPr>
        <w:t>2031 Notes</w:t>
      </w:r>
      <w:r>
        <w:rPr>
          <w:rFonts w:ascii="Times New Roman" w:hAnsi="Times New Roman"/>
          <w:color w:val="000000"/>
          <w:sz w:val="20"/>
        </w:rPr>
        <w:t>”) and (iii) $650,000,000 aggregate principal amount of the Issuer’s 5.995% Notes due 2036 (the “</w:t>
      </w:r>
      <w:r>
        <w:rPr>
          <w:rFonts w:ascii="Times New Roman" w:hAnsi="Times New Roman"/>
          <w:color w:val="000000"/>
          <w:sz w:val="20"/>
          <w:u w:val="single"/>
        </w:rPr>
        <w:t>2036 Notes</w:t>
      </w:r>
      <w:r>
        <w:rPr>
          <w:rFonts w:ascii="Times New Roman" w:hAnsi="Times New Roman"/>
          <w:color w:val="000000"/>
          <w:sz w:val="20"/>
        </w:rPr>
        <w:t>” and, together with the 2029 Notes and the 2031 Notes, the “</w:t>
      </w:r>
      <w:r>
        <w:rPr>
          <w:rFonts w:ascii="Times New Roman" w:hAnsi="Times New Roman"/>
          <w:color w:val="000000"/>
          <w:sz w:val="20"/>
          <w:u w:val="single"/>
        </w:rPr>
        <w:t>Securities</w:t>
      </w:r>
      <w:r>
        <w:rPr>
          <w:rFonts w:ascii="Times New Roman" w:hAnsi="Times New Roman"/>
          <w:color w:val="000000"/>
          <w:sz w:val="20"/>
        </w:rPr>
        <w:t>”).  In order to induce the Initial Purchasers to enter into the Purchase Agreement, the Issuer has agreed to provide to the Initial Purchasers and their direct and indirect transferees the registration rights set forth in this Agreement.  The execution and delivery of this Agreement is a condition to the closing under the Purchase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In consideration of the foregoing, the parties hereto agree as follows: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1.          </w:t>
      </w:r>
      <w:r>
        <w:rPr>
          <w:rFonts w:ascii="Times New Roman" w:hAnsi="Times New Roman"/>
          <w:color w:val="000000"/>
          <w:sz w:val="20"/>
          <w:u w:val="single"/>
        </w:rPr>
        <w:t>Definitions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As used in this Agreement, the following capitalized defined terms shall have the following meanings: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color w:val="000000"/>
        </w:rPr>
      </w:pPr>
      <w:r>
        <w:rPr>
          <w:color w:val="000000"/>
        </w:rPr>
        <w:t>“</w:t>
      </w:r>
      <w:r>
        <w:rPr>
          <w:rFonts w:ascii="Times New Roman" w:hAnsi="Times New Roman"/>
          <w:color w:val="000000"/>
          <w:sz w:val="20"/>
          <w:u w:val="single"/>
        </w:rPr>
        <w:t>Additional Interest</w:t>
      </w:r>
      <w:r>
        <w:rPr>
          <w:rFonts w:ascii="Times New Roman" w:hAnsi="Times New Roman"/>
          <w:color w:val="000000"/>
          <w:sz w:val="20"/>
        </w:rPr>
        <w:t>” shall have the meaning set forth in Section 2(d) hereof.</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color w:val="000000"/>
        </w:rPr>
      </w:pPr>
      <w:r>
        <w:rPr>
          <w:color w:val="000000"/>
        </w:rPr>
        <w:t>“</w:t>
      </w:r>
      <w:r>
        <w:rPr>
          <w:rFonts w:ascii="Times New Roman" w:hAnsi="Times New Roman"/>
          <w:color w:val="000000"/>
          <w:sz w:val="20"/>
          <w:u w:val="single"/>
        </w:rPr>
        <w:t>Affiliate</w:t>
      </w:r>
      <w:r>
        <w:rPr>
          <w:rFonts w:ascii="Times New Roman" w:hAnsi="Times New Roman"/>
          <w:color w:val="000000"/>
          <w:sz w:val="20"/>
        </w:rPr>
        <w:t>” shall have the meaning given to such terms in Rule 405 under the Securities Act.</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color w:val="000000"/>
        </w:rPr>
      </w:pPr>
      <w:r>
        <w:rPr>
          <w:color w:val="000000"/>
        </w:rPr>
        <w:t>“</w:t>
      </w:r>
      <w:r>
        <w:rPr>
          <w:rFonts w:ascii="Times New Roman" w:hAnsi="Times New Roman"/>
          <w:color w:val="000000"/>
          <w:sz w:val="20"/>
          <w:u w:val="single"/>
        </w:rPr>
        <w:t>Company</w:t>
      </w:r>
      <w:r>
        <w:rPr>
          <w:rFonts w:ascii="Times New Roman" w:hAnsi="Times New Roman"/>
          <w:color w:val="000000"/>
          <w:sz w:val="20"/>
        </w:rPr>
        <w:t>” shall have the meaning set forth in the preamble, including its successors.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color w:val="000000"/>
        </w:rPr>
      </w:pPr>
      <w:r>
        <w:rPr>
          <w:color w:val="000000"/>
        </w:rPr>
        <w:t>“</w:t>
      </w:r>
      <w:r>
        <w:rPr>
          <w:rFonts w:ascii="Times New Roman" w:hAnsi="Times New Roman"/>
          <w:color w:val="000000"/>
          <w:sz w:val="20"/>
          <w:u w:val="single"/>
        </w:rPr>
        <w:t>Exchange Act</w:t>
      </w:r>
      <w:r>
        <w:rPr>
          <w:rFonts w:ascii="Times New Roman" w:hAnsi="Times New Roman"/>
          <w:color w:val="000000"/>
          <w:sz w:val="20"/>
        </w:rPr>
        <w:t>” shall mean the Securities Exchange Act of 1934, as amended from time to time.</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color w:val="000000"/>
        </w:rPr>
      </w:pPr>
      <w:r>
        <w:rPr>
          <w:color w:val="000000"/>
        </w:rPr>
        <w:t>“</w:t>
      </w:r>
      <w:r>
        <w:rPr>
          <w:rFonts w:ascii="Times New Roman" w:hAnsi="Times New Roman"/>
          <w:color w:val="000000"/>
          <w:sz w:val="20"/>
          <w:u w:val="single"/>
        </w:rPr>
        <w:t>Exchange Offer</w:t>
      </w:r>
      <w:r>
        <w:rPr>
          <w:rFonts w:ascii="Times New Roman" w:hAnsi="Times New Roman"/>
          <w:color w:val="000000"/>
          <w:sz w:val="20"/>
        </w:rPr>
        <w:t>” shall mean the exchange offer by the Issuer of Exchange Securities for Registrable Securities pursuant to Section 2(a) hereof.</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color w:val="000000"/>
        </w:rPr>
      </w:pPr>
      <w:r>
        <w:rPr>
          <w:color w:val="000000"/>
        </w:rPr>
        <w:t>“</w:t>
      </w:r>
      <w:r>
        <w:rPr>
          <w:rFonts w:ascii="Times New Roman" w:hAnsi="Times New Roman"/>
          <w:color w:val="000000"/>
          <w:sz w:val="20"/>
          <w:u w:val="single"/>
        </w:rPr>
        <w:t>Exchange Offer Registration</w:t>
      </w:r>
      <w:r>
        <w:rPr>
          <w:rFonts w:ascii="Times New Roman" w:hAnsi="Times New Roman"/>
          <w:color w:val="000000"/>
          <w:sz w:val="20"/>
        </w:rPr>
        <w:t>” shall mean a registration under the Securities Act effected pursuant to Section 2(a) hereof.</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color w:val="000000"/>
        </w:rPr>
      </w:pPr>
      <w:r>
        <w:rPr>
          <w:color w:val="000000"/>
        </w:rPr>
        <w:t>“</w:t>
      </w:r>
      <w:r>
        <w:rPr>
          <w:rFonts w:ascii="Times New Roman" w:hAnsi="Times New Roman"/>
          <w:color w:val="000000"/>
          <w:sz w:val="20"/>
          <w:u w:val="single"/>
        </w:rPr>
        <w:t>Exchange Offer Registration Statement</w:t>
      </w:r>
      <w:r>
        <w:rPr>
          <w:rFonts w:ascii="Times New Roman" w:hAnsi="Times New Roman"/>
          <w:color w:val="000000"/>
          <w:sz w:val="20"/>
        </w:rPr>
        <w:t>” shall mean an exchange offer registration statement on Form F-4 (or, if applicable, on another appropriate form) and all amendments and supplements to such registration statement, in each case including the Prospectus contained therein, all exhibits thereto and all material incorporated by reference therein.</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color w:val="000000"/>
        </w:rPr>
      </w:pPr>
      <w:r>
        <w:rPr>
          <w:color w:val="000000"/>
        </w:rPr>
        <w:t>“</w:t>
      </w:r>
      <w:r>
        <w:rPr>
          <w:rFonts w:ascii="Times New Roman" w:hAnsi="Times New Roman"/>
          <w:color w:val="000000"/>
          <w:sz w:val="20"/>
          <w:u w:val="single"/>
        </w:rPr>
        <w:t>Exchange Securities</w:t>
      </w:r>
      <w:r>
        <w:rPr>
          <w:rFonts w:ascii="Times New Roman" w:hAnsi="Times New Roman"/>
          <w:color w:val="000000"/>
          <w:sz w:val="20"/>
        </w:rPr>
        <w:t>” shall mean securities issued by the Issuer under the Indenture containing terms substantially identical to the Securities (except that the Exchange Securities will not be subject to restrictions on transfer or to any increase in annual interest rate for failure to comply with this Agreement) and to be offered to Holders of Securities in exchange for Registrable Securities pursuant to the Exchange Offer.</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color w:val="000000"/>
        </w:rPr>
      </w:pPr>
      <w:r>
        <w:rPr>
          <w:color w:val="000000"/>
        </w:rPr>
        <w:t>“</w:t>
      </w:r>
      <w:r>
        <w:rPr>
          <w:rFonts w:ascii="Times New Roman" w:hAnsi="Times New Roman"/>
          <w:color w:val="000000"/>
          <w:sz w:val="20"/>
          <w:u w:val="single"/>
        </w:rPr>
        <w:t>Free Writing Prospectus</w:t>
      </w:r>
      <w:r>
        <w:rPr>
          <w:rFonts w:ascii="Times New Roman" w:hAnsi="Times New Roman"/>
          <w:color w:val="000000"/>
          <w:sz w:val="20"/>
        </w:rPr>
        <w:t>” means each free writing prospectus (as defined in Rule 405 under the Securities Act) prepared by or on behalf of the Issuer or used or referred to by the Issuer in connection with the sale of the Securities or the Exchange Securities.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color w:val="000000"/>
        </w:rPr>
      </w:pPr>
      <w:r>
        <w:rPr>
          <w:color w:val="000000"/>
        </w:rPr>
        <w:t>“</w:t>
      </w:r>
      <w:r>
        <w:rPr>
          <w:rFonts w:ascii="Times New Roman" w:hAnsi="Times New Roman"/>
          <w:color w:val="000000"/>
          <w:sz w:val="20"/>
          <w:u w:val="single"/>
        </w:rPr>
        <w:t>Holder</w:t>
      </w:r>
      <w:r>
        <w:rPr>
          <w:rFonts w:ascii="Times New Roman" w:hAnsi="Times New Roman"/>
          <w:color w:val="000000"/>
          <w:sz w:val="20"/>
        </w:rPr>
        <w:t xml:space="preserve">” shall mean the Initial Purchasers, for so long as they own any Registrable Securities, and each of their successors, assigns and direct and indirect transferees who become registered owners of Registrable Securities under the Indenture; </w:t>
      </w:r>
      <w:r>
        <w:rPr>
          <w:rFonts w:ascii="Times New Roman" w:hAnsi="Times New Roman"/>
          <w:color w:val="000000"/>
          <w:sz w:val="20"/>
          <w:u w:val="single"/>
        </w:rPr>
        <w:t>provided</w:t>
      </w:r>
      <w:r>
        <w:rPr>
          <w:rFonts w:ascii="Times New Roman" w:hAnsi="Times New Roman"/>
          <w:color w:val="000000"/>
          <w:sz w:val="20"/>
        </w:rPr>
        <w:t xml:space="preserve"> that for purposes of Sections 5 and 6 of this Agreement, the term “Holder” shall include each Participating Broker-Dealer (as defined in Section 5(a)).</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color w:val="000000"/>
        </w:rPr>
      </w:pPr>
      <w:r>
        <w:rPr>
          <w:color w:val="000000"/>
        </w:rPr>
        <w:t>“</w:t>
      </w:r>
      <w:r>
        <w:rPr>
          <w:rFonts w:ascii="Times New Roman" w:hAnsi="Times New Roman"/>
          <w:color w:val="000000"/>
          <w:sz w:val="20"/>
          <w:u w:val="single"/>
        </w:rPr>
        <w:t>Indenture</w:t>
      </w:r>
      <w:r>
        <w:rPr>
          <w:rFonts w:ascii="Times New Roman" w:hAnsi="Times New Roman"/>
          <w:color w:val="000000"/>
          <w:sz w:val="20"/>
        </w:rPr>
        <w:t>” shall mean the Indenture, to be dated as of August 13, 2026, by and among the Issuer, the Company, as guarantor, and Citibank, N.A., as Trustee, as supplemented by one or more supplemental indentures, to be dated as of August 13, 2026, as further amended, modified or supplemented from time to time, pursuant to which the Securities are issued.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color w:val="000000"/>
        </w:rPr>
      </w:pPr>
      <w:r>
        <w:rPr>
          <w:color w:val="000000"/>
        </w:rPr>
        <w:t>“</w:t>
      </w:r>
      <w:r>
        <w:rPr>
          <w:rFonts w:ascii="Times New Roman" w:hAnsi="Times New Roman"/>
          <w:color w:val="000000"/>
          <w:sz w:val="20"/>
          <w:u w:val="single"/>
        </w:rPr>
        <w:t>Initial Purchasers</w:t>
      </w:r>
      <w:r>
        <w:rPr>
          <w:rFonts w:ascii="Times New Roman" w:hAnsi="Times New Roman"/>
          <w:color w:val="000000"/>
          <w:sz w:val="20"/>
        </w:rPr>
        <w:t>” shall have the meaning set forth in the preamble.</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color w:val="000000"/>
        </w:rPr>
      </w:pPr>
      <w:r>
        <w:rPr>
          <w:color w:val="000000"/>
        </w:rPr>
        <w:t>“</w:t>
      </w:r>
      <w:r>
        <w:rPr>
          <w:rFonts w:ascii="Times New Roman" w:hAnsi="Times New Roman"/>
          <w:color w:val="000000"/>
          <w:sz w:val="20"/>
          <w:u w:val="single"/>
        </w:rPr>
        <w:t>Issuer</w:t>
      </w:r>
      <w:r>
        <w:rPr>
          <w:rFonts w:ascii="Times New Roman" w:hAnsi="Times New Roman"/>
          <w:color w:val="000000"/>
          <w:sz w:val="20"/>
        </w:rPr>
        <w:t>” shall have the meaning set forth in the preamble, including its successors.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color w:val="000000"/>
        </w:rPr>
      </w:pPr>
      <w:r>
        <w:rPr>
          <w:color w:val="000000"/>
        </w:rPr>
        <w:t>“</w:t>
      </w:r>
      <w:r>
        <w:rPr>
          <w:rFonts w:ascii="Times New Roman" w:hAnsi="Times New Roman"/>
          <w:color w:val="000000"/>
          <w:sz w:val="20"/>
          <w:u w:val="single"/>
        </w:rPr>
        <w:t>Majority Holders</w:t>
      </w:r>
      <w:r>
        <w:rPr>
          <w:rFonts w:ascii="Times New Roman" w:hAnsi="Times New Roman"/>
          <w:color w:val="000000"/>
          <w:sz w:val="20"/>
        </w:rPr>
        <w:t xml:space="preserve">” shall mean the Holders of a majority of the aggregate principal amount of outstanding Registrable Securities; </w:t>
      </w:r>
      <w:r>
        <w:rPr>
          <w:rFonts w:ascii="Times New Roman" w:hAnsi="Times New Roman"/>
          <w:color w:val="000000"/>
          <w:sz w:val="20"/>
          <w:u w:val="single"/>
        </w:rPr>
        <w:t>provided</w:t>
      </w:r>
      <w:r>
        <w:rPr>
          <w:rFonts w:ascii="Times New Roman" w:hAnsi="Times New Roman"/>
          <w:color w:val="000000"/>
          <w:sz w:val="20"/>
        </w:rPr>
        <w:t xml:space="preserve"> that whenever the consent or approval of Holders of a specified percentage of Registrable Securities is required hereunder, Registrable Securities held by the Issuer or any of its Affiliates (other than the Initial Purchasers or subsequent Holders of Registrable Securities if such subsequent holders are deemed to be such affiliates solely by reason of their holding of such Registrable Securities) shall not be counted in determining whether such consent or approval was given by the Holders of such required percentage or amount.</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color w:val="000000"/>
        </w:rPr>
      </w:pPr>
      <w:r>
        <w:rPr>
          <w:color w:val="000000"/>
        </w:rPr>
        <w:t>“</w:t>
      </w:r>
      <w:r>
        <w:rPr>
          <w:rFonts w:ascii="Times New Roman" w:hAnsi="Times New Roman"/>
          <w:color w:val="000000"/>
          <w:sz w:val="20"/>
          <w:u w:val="single"/>
        </w:rPr>
        <w:t>Participating Broker-Dealer</w:t>
      </w:r>
      <w:r>
        <w:rPr>
          <w:rFonts w:ascii="Times New Roman" w:hAnsi="Times New Roman"/>
          <w:color w:val="000000"/>
          <w:sz w:val="20"/>
        </w:rPr>
        <w:t>” shall have the meaning set forth in Section 5(a).</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color w:val="000000"/>
        </w:rPr>
      </w:pPr>
      <w:r>
        <w:rPr>
          <w:color w:val="000000"/>
        </w:rPr>
        <w:t>“</w:t>
      </w:r>
      <w:r>
        <w:rPr>
          <w:rFonts w:ascii="Times New Roman" w:hAnsi="Times New Roman"/>
          <w:color w:val="000000"/>
          <w:sz w:val="20"/>
          <w:u w:val="single"/>
        </w:rPr>
        <w:t>Person</w:t>
      </w:r>
      <w:r>
        <w:rPr>
          <w:rFonts w:ascii="Times New Roman" w:hAnsi="Times New Roman"/>
          <w:color w:val="000000"/>
          <w:sz w:val="20"/>
        </w:rPr>
        <w:t>” shall mean an individual, partnership, limited liability company, corporation, trust or unincorporated organization, or a government or agency or political subdivision thereof.</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color w:val="000000"/>
        </w:rPr>
      </w:pPr>
      <w:r>
        <w:rPr>
          <w:color w:val="000000"/>
        </w:rPr>
        <w:t>“</w:t>
      </w:r>
      <w:r>
        <w:rPr>
          <w:rFonts w:ascii="Times New Roman" w:hAnsi="Times New Roman"/>
          <w:color w:val="000000"/>
          <w:sz w:val="20"/>
          <w:u w:val="single"/>
        </w:rPr>
        <w:t>Prospectus</w:t>
      </w:r>
      <w:r>
        <w:rPr>
          <w:rFonts w:ascii="Times New Roman" w:hAnsi="Times New Roman"/>
          <w:color w:val="000000"/>
          <w:sz w:val="20"/>
        </w:rPr>
        <w:t>” shall mean the prospectus included in a Registration Statement, including any preliminary prospectus, and any such prospectus as amended or supplemented by any prospectus supplement, including a prospectus supplement with respect to the terms of the offering of any portion of the Registrable Securities covered by a Shelf Registration Statement, and by all other amendments and supplements to such prospectus, and in each case including all material incorporated by reference therein.</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color w:val="000000"/>
        </w:rPr>
      </w:pPr>
      <w:r>
        <w:rPr>
          <w:color w:val="000000"/>
        </w:rPr>
        <w:t>“</w:t>
      </w:r>
      <w:r>
        <w:rPr>
          <w:rFonts w:ascii="Times New Roman" w:hAnsi="Times New Roman"/>
          <w:color w:val="000000"/>
          <w:sz w:val="20"/>
          <w:u w:val="single"/>
        </w:rPr>
        <w:t>Purchase Agreement</w:t>
      </w:r>
      <w:r>
        <w:rPr>
          <w:rFonts w:ascii="Times New Roman" w:hAnsi="Times New Roman"/>
          <w:color w:val="000000"/>
          <w:sz w:val="20"/>
        </w:rPr>
        <w:t>” shall have the meaning set forth in the preamble.</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color w:val="000000"/>
        </w:rPr>
      </w:pPr>
      <w:r>
        <w:rPr>
          <w:color w:val="000000"/>
        </w:rPr>
        <w:t>“</w:t>
      </w:r>
      <w:r>
        <w:rPr>
          <w:rFonts w:ascii="Times New Roman" w:hAnsi="Times New Roman"/>
          <w:color w:val="000000"/>
          <w:sz w:val="20"/>
          <w:u w:val="single"/>
        </w:rPr>
        <w:t>Registrable Securities</w:t>
      </w:r>
      <w:r>
        <w:rPr>
          <w:rFonts w:ascii="Times New Roman" w:hAnsi="Times New Roman"/>
          <w:color w:val="000000"/>
          <w:sz w:val="20"/>
        </w:rPr>
        <w:t xml:space="preserve">” shall mean the Securities;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 Securities shall cease to be Registrable Securities (i) when a Registration Statement with respect to such Securities shall have been declared effective under the Securities Act and such Securities shall have been exchanged or disposed of pursuant to such Registration Statement, (ii) when such Securities have been sold to the public pursuant to Rule 144 under the Securities Act or (iii) when such Securities shall have ceased to be outstanding.</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color w:val="000000"/>
        </w:rPr>
      </w:pPr>
      <w:r>
        <w:rPr>
          <w:color w:val="000000"/>
        </w:rPr>
        <w:t>“</w:t>
      </w:r>
      <w:r>
        <w:rPr>
          <w:rFonts w:ascii="Times New Roman" w:hAnsi="Times New Roman"/>
          <w:color w:val="000000"/>
          <w:sz w:val="20"/>
          <w:u w:val="single"/>
        </w:rPr>
        <w:t>Registration Expenses</w:t>
      </w:r>
      <w:r>
        <w:rPr>
          <w:rFonts w:ascii="Times New Roman" w:hAnsi="Times New Roman"/>
          <w:color w:val="000000"/>
          <w:sz w:val="20"/>
        </w:rPr>
        <w:t>” shall mean any and all expenses incident to performance of or compliance by the Issuer with this Agreement, including without limitation: (i) all SEC, stock exchange or Financial Industry Regulatory Authority, Inc. (“</w:t>
      </w:r>
      <w:r>
        <w:rPr>
          <w:rFonts w:ascii="Times New Roman" w:hAnsi="Times New Roman"/>
          <w:color w:val="000000"/>
          <w:sz w:val="20"/>
          <w:u w:val="single"/>
        </w:rPr>
        <w:t>FINRA</w:t>
      </w:r>
      <w:r>
        <w:rPr>
          <w:rFonts w:ascii="Times New Roman" w:hAnsi="Times New Roman"/>
          <w:color w:val="000000"/>
          <w:sz w:val="20"/>
        </w:rPr>
        <w:t>”) registration and filing fees, (ii) all fees and expenses incurred in connection with compliance with state securities or blue sky laws (including reasonable fees and disbursements of counsel for the Initial Purchasers in connection with blue sky qualification of any of the Exchange Securities or Registrable Securities), (iii) all expenses of any Persons in preparing or assisting in preparing, word processing, printing and distributing any Registration Statement, any Prospectus, any Free Writing Prospectus and any amendments or supplements thereto, any underwriting agreements, securities sales agreements and other documents relating to the performance of and compliance with this Agreement, (iv) all rating agency fees, (v) all fees and disbursements relating to the qualification of the Indenture under applicable securities laws, (vi) the fees and disbursements of the Trustee and its counsel, (vii) the fees and disbursements of counsel for the Issuer and, in the case of a Shelf Registration Statement, the fees and disbursements of one counsel for the Holders (which counsel shall be selected by the Majority Holders and which counsel may also be counsel for the Initial Purchasers) and (viii) the fees and disbursements of the independent public accountants of the Issuer, including the expenses of any special audits or “cold comfort” letters required by or incident to such performance and compliance, but excluding fees and expenses of counsel to the underwriters (other than fees and expenses set forth in clause (ii) above) or the Holders and underwriting discounts and commissions and transfer taxes, if any, relating to the sale or disposition of Registrable Securities by a Holder.</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color w:val="000000"/>
        </w:rPr>
      </w:pPr>
      <w:r>
        <w:rPr>
          <w:color w:val="000000"/>
        </w:rPr>
        <w:t>“</w:t>
      </w:r>
      <w:r>
        <w:rPr>
          <w:rFonts w:ascii="Times New Roman" w:hAnsi="Times New Roman"/>
          <w:color w:val="000000"/>
          <w:sz w:val="20"/>
          <w:u w:val="single"/>
        </w:rPr>
        <w:t>Registration Statement</w:t>
      </w:r>
      <w:r>
        <w:rPr>
          <w:rFonts w:ascii="Times New Roman" w:hAnsi="Times New Roman"/>
          <w:color w:val="000000"/>
          <w:sz w:val="20"/>
        </w:rPr>
        <w:t>” shall mean any registration statement of the Issuer that covers any of the Exchange Securities or Registrable Securities pursuant to the provisions of this Agreement and all amendments and supplements to any such Registration Statement, including post-effective amendments, in each case including the Prospectus contained therein, all exhibits thereto and all material incorporated by reference therein.</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color w:val="000000"/>
        </w:rPr>
      </w:pPr>
      <w:r>
        <w:rPr>
          <w:color w:val="000000"/>
        </w:rPr>
        <w:t>“</w:t>
      </w:r>
      <w:r>
        <w:rPr>
          <w:rFonts w:ascii="Times New Roman" w:hAnsi="Times New Roman"/>
          <w:color w:val="000000"/>
          <w:sz w:val="20"/>
          <w:u w:val="single"/>
        </w:rPr>
        <w:t>Representatives</w:t>
      </w:r>
      <w:r>
        <w:rPr>
          <w:rFonts w:ascii="Times New Roman" w:hAnsi="Times New Roman"/>
          <w:color w:val="000000"/>
          <w:sz w:val="20"/>
        </w:rPr>
        <w:t>” shall have the meaning set forth in the preamble.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color w:val="000000"/>
        </w:rPr>
      </w:pPr>
      <w:r>
        <w:rPr>
          <w:color w:val="000000"/>
        </w:rPr>
        <w:t>“</w:t>
      </w:r>
      <w:r>
        <w:rPr>
          <w:rFonts w:ascii="Times New Roman" w:hAnsi="Times New Roman"/>
          <w:color w:val="000000"/>
          <w:sz w:val="20"/>
          <w:u w:val="single"/>
        </w:rPr>
        <w:t>SEC</w:t>
      </w:r>
      <w:r>
        <w:rPr>
          <w:rFonts w:ascii="Times New Roman" w:hAnsi="Times New Roman"/>
          <w:color w:val="000000"/>
          <w:sz w:val="20"/>
        </w:rPr>
        <w:t>” shall mean the Securities and Exchange Commission.</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color w:val="000000"/>
        </w:rPr>
      </w:pPr>
      <w:r>
        <w:rPr>
          <w:color w:val="000000"/>
        </w:rPr>
        <w:t>“</w:t>
      </w:r>
      <w:r>
        <w:rPr>
          <w:rFonts w:ascii="Times New Roman" w:hAnsi="Times New Roman"/>
          <w:color w:val="000000"/>
          <w:sz w:val="20"/>
          <w:u w:val="single"/>
        </w:rPr>
        <w:t>Securities Act</w:t>
      </w:r>
      <w:r>
        <w:rPr>
          <w:rFonts w:ascii="Times New Roman" w:hAnsi="Times New Roman"/>
          <w:color w:val="000000"/>
          <w:sz w:val="20"/>
        </w:rPr>
        <w:t>” shall mean the Securities Act of 1933, as amended from time to time.</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color w:val="000000"/>
        </w:rPr>
      </w:pPr>
      <w:r>
        <w:rPr>
          <w:color w:val="000000"/>
        </w:rPr>
        <w:t>“</w:t>
      </w:r>
      <w:r>
        <w:rPr>
          <w:rFonts w:ascii="Times New Roman" w:hAnsi="Times New Roman"/>
          <w:color w:val="000000"/>
          <w:sz w:val="20"/>
          <w:u w:val="single"/>
        </w:rPr>
        <w:t>Shelf Registration</w:t>
      </w:r>
      <w:r>
        <w:rPr>
          <w:rFonts w:ascii="Times New Roman" w:hAnsi="Times New Roman"/>
          <w:color w:val="000000"/>
          <w:sz w:val="20"/>
        </w:rPr>
        <w:t>” shall mean a registration effected pursuant to Section 2(b) hereof.</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color w:val="000000"/>
        </w:rPr>
      </w:pPr>
      <w:r>
        <w:rPr>
          <w:color w:val="000000"/>
        </w:rPr>
        <w:t>“</w:t>
      </w:r>
      <w:r>
        <w:rPr>
          <w:rFonts w:ascii="Times New Roman" w:hAnsi="Times New Roman"/>
          <w:color w:val="000000"/>
          <w:sz w:val="20"/>
          <w:u w:val="single"/>
        </w:rPr>
        <w:t>Shelf Registration Statement</w:t>
      </w:r>
      <w:r>
        <w:rPr>
          <w:rFonts w:ascii="Times New Roman" w:hAnsi="Times New Roman"/>
          <w:color w:val="000000"/>
          <w:sz w:val="20"/>
        </w:rPr>
        <w:t>” shall mean a “shelf” registration statement of the Issuer pursuant to the provisions of Section 2(b) of this Agreement which covers all of the Registrable Securities (but no other securities unless approved by the Holders whose Registrable Securities are covered by such Shelf Registration Statement) on an appropriate form under Rule 415 under the Securities Act, or any similar rule that may be adopted by the SEC, and all amendments and supplements to such registration statement, including post-effective amendments, in each case including the Prospectus contained therein, all exhibits thereto and all material incorporated by reference therein.</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color w:val="000000"/>
        </w:rPr>
      </w:pPr>
      <w:r>
        <w:rPr>
          <w:color w:val="000000"/>
        </w:rPr>
        <w:t>“</w:t>
      </w:r>
      <w:r>
        <w:rPr>
          <w:rFonts w:ascii="Times New Roman" w:hAnsi="Times New Roman"/>
          <w:color w:val="000000"/>
          <w:sz w:val="20"/>
          <w:u w:val="single"/>
        </w:rPr>
        <w:t>Trustee</w:t>
      </w:r>
      <w:r>
        <w:rPr>
          <w:rFonts w:ascii="Times New Roman" w:hAnsi="Times New Roman"/>
          <w:color w:val="000000"/>
          <w:sz w:val="20"/>
        </w:rPr>
        <w:t>” shall mean the trustee with respect to the Securities under the Indenture.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u w:val="single"/>
        </w:rPr>
        <w:t>Underwriter</w:t>
      </w:r>
      <w:r>
        <w:rPr>
          <w:rFonts w:ascii="Times New Roman" w:hAnsi="Times New Roman"/>
          <w:color w:val="000000"/>
          <w:sz w:val="20"/>
        </w:rPr>
        <w:t>” shall have the meaning set forth in Section 4 hereof.</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color w:val="000000"/>
        </w:rPr>
      </w:pPr>
      <w:r>
        <w:rPr>
          <w:color w:val="000000"/>
        </w:rPr>
        <w:t>“</w:t>
      </w:r>
      <w:r>
        <w:rPr>
          <w:rFonts w:ascii="Times New Roman" w:hAnsi="Times New Roman"/>
          <w:color w:val="000000"/>
          <w:sz w:val="20"/>
          <w:u w:val="single"/>
        </w:rPr>
        <w:t>Underwritten Registration</w:t>
      </w:r>
      <w:r>
        <w:rPr>
          <w:rFonts w:ascii="Times New Roman" w:hAnsi="Times New Roman"/>
          <w:color w:val="000000"/>
          <w:sz w:val="20"/>
        </w:rPr>
        <w:t>” or “</w:t>
      </w:r>
      <w:r>
        <w:rPr>
          <w:rFonts w:ascii="Times New Roman" w:hAnsi="Times New Roman"/>
          <w:color w:val="000000"/>
          <w:sz w:val="20"/>
          <w:u w:val="single"/>
        </w:rPr>
        <w:t>Underwritten Offering</w:t>
      </w:r>
      <w:r>
        <w:rPr>
          <w:rFonts w:ascii="Times New Roman" w:hAnsi="Times New Roman"/>
          <w:color w:val="000000"/>
          <w:sz w:val="20"/>
        </w:rPr>
        <w:t>” shall mean a registration in which Registrable Securities are sold to an Underwriter for reoffering to the public.</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2.          </w:t>
      </w:r>
      <w:r>
        <w:rPr>
          <w:rFonts w:ascii="Times New Roman" w:hAnsi="Times New Roman"/>
          <w:color w:val="000000"/>
          <w:sz w:val="20"/>
          <w:u w:val="single"/>
        </w:rPr>
        <w:t>Registration Under the Securities Act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To the extent not prohibited by any applicable law or applicable interpretation of the staff of the SEC (the “</w:t>
      </w:r>
      <w:r>
        <w:rPr>
          <w:rFonts w:ascii="Times New Roman" w:hAnsi="Times New Roman"/>
          <w:color w:val="000000"/>
          <w:sz w:val="20"/>
          <w:u w:val="single"/>
        </w:rPr>
        <w:t>Staff</w:t>
      </w:r>
      <w:r>
        <w:rPr>
          <w:rFonts w:ascii="Times New Roman" w:hAnsi="Times New Roman"/>
          <w:color w:val="000000"/>
          <w:sz w:val="20"/>
        </w:rPr>
        <w:t>”), the Issuer shall use its commercially reasonable efforts to cause to be filed and cause to become effective an Exchange Offer Registration Statement covering the offer by the Issuer to the Holders to exchange all of the Registrable Securities for Exchange Securities and to have such Registration Statement remain effective until the closing of the Exchange Offer.  The Issuer shall commence the Exchange Offer promptly after the Exchange Offer Registration Statement has been declared effective by the SEC, and use its commercially reasonable efforts to have the Exchange Offer consummated on or prior to the date that is 455 days following the issuance of the Securities (the “</w:t>
      </w:r>
      <w:r>
        <w:rPr>
          <w:rFonts w:ascii="Times New Roman" w:hAnsi="Times New Roman"/>
          <w:color w:val="000000"/>
          <w:sz w:val="20"/>
          <w:u w:val="single"/>
        </w:rPr>
        <w:t>Exchange Offer Closing Deadline</w:t>
      </w:r>
      <w:r>
        <w:rPr>
          <w:rFonts w:ascii="Times New Roman" w:hAnsi="Times New Roman"/>
          <w:color w:val="000000"/>
          <w:sz w:val="20"/>
        </w:rPr>
        <w:t>”).  The Issuer shall commence the Exchange Offer by mailing or electronically transmitting (through the facilities of The Depositary Trust Company) the related exchange offer Prospectus and accompanying documents to each Holder stating, in addition to such other disclosures as are required by applicable law, including statements to the effect that:</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(i)         the Exchange Offer is being made pursuant to this Agreement and that all Registrable Securities validly tendered and not validly withdrawn will be accepted for exchange;</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(ii)        the dates of acceptance for exchange (which shall be a period of at least 20 business days from the date such notice is mailed) (the “</w:t>
      </w:r>
      <w:r>
        <w:rPr>
          <w:rFonts w:ascii="Times New Roman" w:hAnsi="Times New Roman"/>
          <w:color w:val="000000"/>
          <w:sz w:val="20"/>
          <w:u w:val="single"/>
        </w:rPr>
        <w:t>Exchange Dates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(iii)       any Registrable Security not tendered will remain outstanding and continue to accrue interest, but will not retain any rights pursuant to Section 2(a) of this Agreement;</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(iv)       Holders electing to have a Registrable Security exchanged pursuant to the Exchange Offer will be required to (a) surrender such Registrable Security, together with the enclosed letters of transmittal, to the institution and at the address (located in the Borough of Manhattan, The City of New York) specified in the notice prior to the close of business on the last Exchange Date and (b) represent to the Issuer, at the time of consummation of the Exchange Offer, that (A) any Exchange Securities received by such Holder will be acquired in the ordinary course of its business, (B) such Holder has no, and will not have, any arrangement or understanding with any Person to participate in the distribution of the Securities within the meaning of the Securities Act, (C) if the Holder is not a broker-dealer or is a broker-dealer but will not receive Exchange Securities for its own account in exchange for Securities, neither the Holder nor any such other Person is engaged in or intends to participate in a distribution of the Exchange Securities and (D) such Holder is not an Affiliate of the Issuer.  If the Holder is a broker-dealer that will receive Exchange Securities for its own account in exchange for Securities, it will represent and warrant that the Securities to be exchanged for the Exchange Securities were acquired by it as a result of its market-making activities or other trading activities, and will acknowledge that it will deliver a prospectus meeting the requirements of the Securities Act in connection with any resale of such Exchange Securities.  It is understood that, by acknowledging that it will deliver, and by delivering, a prospectus meeting the requirements of the Securities Act in connection with any resale of such Exchange Securities, the Holder is not admitting that it is an “underwriter” within the meaning of the Securities Act; and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(v)        Holders will be entitled to withdraw their election, not later than the close of business on the last Exchange Date, by sending to the institution and at the address (located in the Borough of Manhattan, The City of New York) specified in the notice a telegram, telex, facsimile transmission or letter setting forth the name of such Holder, the principal amount of Registrable Securities delivered for exchange and a statement that such Holder is withdrawing such Holder’s election to have such Securities exchanged.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As soon as practicable after the last Exchange Date, the Issuer shall:</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(i)         accept for exchange Registrable Securities or portions thereof validly tendered and not validly withdrawn pursuant to the Exchange Offer; and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(ii)        deliver, or cause to be delivered, to the Trustee for cancellation all Registrable Securities or portions thereof so accepted for exchange by the Issuer and issue, and cause the Trustee to promptly authenticate and deliver to each Holder, an Exchange Security equal in principal amount to the principal amount of the Securities validly tendered by such Holder.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Issuer shall use its commercially reasonable efforts to complete the Exchange Offer as provided above and shall comply with the applicable requirements of the Securities Act, the Exchange Act and other applicable laws and regulations in connection with the Exchange Offer.  The Exchange Offer shall not be subject to any conditions, other than that the Exchange Offer does not violate applicable law or any applicable interpretation of the Staff.</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In the event that (i) the Issuer determines that the Exchange Offer Registration provided for in Section 2(a) above is not available or that the Exchange Offer may not be consummated by the Exchange Offer Closing Deadline because it would violate applicable law or the applicable interpretations of the Staff, (ii) the Exchange Offer is not consummated by the Exchange Offer Closing Deadline or (iii) with respect to any Holder of Registrable Securities (A) such Holder is prohibited by applicable law or SEC policy from participating in the Exchange Offer, or (B) such Holder may not resell the Exchange Securities acquired by it in the Exchange Offer to the public without delivering a prospectus and that the Prospectus contained in the Exchange Offer Registration Statement is not appropriate or available for such resales by such Holder, or (C) such Holder is a broker-dealer and holds Securities acquired directly from the Issuer or one of its Affiliates, then, upon such Holder’s written request, the Issuer shall use its commercially reasonable efforts to cause to be filed as soon as practicable after such determination, date or notice is given to the Issuer, as the case may be (the “</w:t>
      </w:r>
      <w:r>
        <w:rPr>
          <w:rFonts w:ascii="Times New Roman" w:hAnsi="Times New Roman"/>
          <w:color w:val="000000"/>
          <w:sz w:val="20"/>
          <w:u w:val="single"/>
        </w:rPr>
        <w:t>Shelf Filing Obligation</w:t>
      </w:r>
      <w:r>
        <w:rPr>
          <w:rFonts w:ascii="Times New Roman" w:hAnsi="Times New Roman"/>
          <w:color w:val="000000"/>
          <w:sz w:val="20"/>
        </w:rPr>
        <w:t>”), a Shelf Registration Statement providing for the sale by the Holders of all of the Registrable Securities and to have such Shelf Registration Statement declared effective by the SEC.  In the event the Issuer is required to file a Shelf Registration Statement solely as a result of the matters referred to in clause (iii) of the preceding sentence, the Issuer shall use its commercially reasonable efforts to file and have declared effective by the SEC both an Exchange Offer Registration Statement pursuant to Section 2(a) with respect to all Registrable Securities and a Shelf Registration Statement (which may be a combined Registration Statement with the Exchange Offer Registration Statement) with respect to offers and sales of Registrable Securities held by the Holders after completion of the Exchange Offer.  The Issuer agrees to use its commercially reasonable efforts to keep the Shelf Registration Statement continuously effective for a period of one year or such shorter period that will terminate when all of the Registrable Securities covered by the Shelf Registration Statement have been sold pursuant to the Shelf Registration Statement or are no longer outstanding.  The Issuer further agrees to supplement or amend the Shelf Registration Statement, the related Prospectus and any Free Writing Prospectus if required by the rules, regulations or instructions applicable to the registration form used by the Issuer for such Shelf Registration Statement or by the Securities Act or by any other rules and regulations thereunder for shelf registration or if reasonably requested by a Holder with respect to information relating to such Holder, and to use its commercially reasonable efforts to cause any such amendment to become effective and such Shelf Registration Statement, Prospectus or Free Writing Prospectus, as the case may be, to become usable as soon as thereafter practicable.  The Issuer agrees to furnish to each Holder of Registrable Securities copies of any such supplement or amendment promptly after its being used or filed with the SEC, to the extent requested by any such Holder.</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The Issuer shall pay all Registration Expenses in connection with the registration pursuant to Section 2(a) or Section 2(b).  Each Holder shall pay all underwriting discounts and commissions and transfer taxes, if any, relating to the sale or disposition of such Holder’s Registrable Securities pursuant to the Shelf Registration Statement.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lineRule="auto" w:line="240" w:before="0" w:after="0"/>
        <w:ind w:left="0" w:right="0" w:firstLine="1440"/>
        <w:jc w:val="left"/>
        <w:rPr>
          <w:rFonts w:ascii="Times New Roman" w:hAnsi="Times New Roman"/>
          <w:color w:val="000000"/>
          <w:sz w:val="20"/>
        </w:rPr>
      </w:pPr>
      <w:r>
        <w:rPr>
          <w:rFonts w:ascii="Times New Roman" w:hAnsi="Times New Roman"/>
          <w:color w:val="000000"/>
          <w:sz w:val="20"/>
        </w:rPr>
        <w:t xml:space="preserve">(d)        An Exchange Offer Registration Statement pursuant to Section 2(a) hereof or a Shelf Registration Statement pursuant to Section 2(b) hereof will not be deemed to have become effective unless it has been declared effective by the SEC;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if, after it has been declared effective, the offering of Registrable Securities pursuant to an Exchange Offer Registration Statement or a Shelf Registration Statement is interfered with by any stop order, injunction or other order or requirement of the SEC or any other governmental agency or court, such Registration Statement will be deemed not to have been declared effective during the period of such interference until the offering of Registrable Securities pursuant to such Registration Statement may legally resume.  In the event that (a) the Issuer does not consummate the Exchange Offer on or prior to the Exchange Offer Closing Deadline or (b) a Shelf Registration Statement is not declared effective on or prior to 90 days after the Shelf Filing Obligation arises (which shall in no event be earlier than the Exchange Offer Closing Deadline) (each such event referred to in clause (a) and (b) a “</w:t>
      </w:r>
      <w:r>
        <w:rPr>
          <w:rFonts w:ascii="Times New Roman" w:hAnsi="Times New Roman"/>
          <w:color w:val="000000"/>
          <w:sz w:val="20"/>
          <w:u w:val="single"/>
        </w:rPr>
        <w:t>Registration Default</w:t>
      </w:r>
      <w:r>
        <w:rPr>
          <w:rFonts w:ascii="Times New Roman" w:hAnsi="Times New Roman"/>
          <w:color w:val="000000"/>
          <w:sz w:val="20"/>
        </w:rPr>
        <w:t>”), the interest rate on the Registrable Securities will be increased by 0.25% per annum during the first 90 -day period immediately following the occurrence of any Registration Default, and such increased rate will further increase by 0.25% per annum beginning on the 91st day following the occurrence of such Registration Default, but in no event shall such increases (such amounts “</w:t>
      </w:r>
      <w:r>
        <w:rPr>
          <w:rFonts w:ascii="Times New Roman" w:hAnsi="Times New Roman"/>
          <w:color w:val="000000"/>
          <w:sz w:val="20"/>
          <w:u w:val="single"/>
        </w:rPr>
        <w:t>Additional Interest</w:t>
      </w:r>
      <w:r>
        <w:rPr>
          <w:rFonts w:ascii="Times New Roman" w:hAnsi="Times New Roman"/>
          <w:color w:val="000000"/>
          <w:sz w:val="20"/>
        </w:rPr>
        <w:t xml:space="preserve">”) exceed in the aggregate 0.50% per annum regardless of the number of Registration Defaults that have occurred and are continuing.  Following the cure of all Registration Defaults, the interest rate on the Registrable Securities will be reduced to the original interest rate; </w:t>
      </w:r>
      <w:r>
        <w:rPr>
          <w:rFonts w:ascii="Times New Roman" w:hAnsi="Times New Roman"/>
          <w:color w:val="000000"/>
          <w:sz w:val="20"/>
          <w:u w:val="single"/>
        </w:rPr>
        <w:t>provided</w:t>
      </w:r>
      <w:r>
        <w:rPr>
          <w:rFonts w:ascii="Times New Roman" w:hAnsi="Times New Roman"/>
          <w:i/>
          <w:color w:val="000000"/>
          <w:sz w:val="20"/>
        </w:rPr>
        <w:t xml:space="preserve">, </w:t>
      </w:r>
      <w:r>
        <w:rPr>
          <w:rFonts w:ascii="Times New Roman" w:hAnsi="Times New Roman"/>
          <w:color w:val="000000"/>
          <w:sz w:val="20"/>
          <w:u w:val="single"/>
        </w:rPr>
        <w:t>however</w:t>
      </w:r>
      <w:r>
        <w:rPr>
          <w:rFonts w:ascii="Times New Roman" w:hAnsi="Times New Roman"/>
          <w:i/>
          <w:color w:val="000000"/>
          <w:sz w:val="20"/>
        </w:rPr>
        <w:t>,</w:t>
      </w:r>
      <w:r>
        <w:rPr>
          <w:rFonts w:ascii="Times New Roman" w:hAnsi="Times New Roman"/>
          <w:color w:val="000000"/>
          <w:sz w:val="20"/>
        </w:rPr>
        <w:t xml:space="preserve"> that, if after any such reduction in interest rate, a different Registration Default occurs, the interest rate on the Registrable Securities shall again be increased pursuant to the foregoing provisions.  If the Issuer requests Holders of Registrable Securities to provide the information as described in Section 4(a), the Registrable Securities held by Holders who do not deliver such information to the Issuer when so requested will not be entitled to Additional Interest.  Additional Interest shall be payable on the regular interest payment dates for the Registrable Securities.  Additional Interest shall constitute liquidated damages and shall be the exclusive remedy, monetary or otherwise, available to any Holder of Securities with respect to any Registration Default.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3.          </w:t>
      </w:r>
      <w:r>
        <w:rPr>
          <w:rFonts w:ascii="Times New Roman" w:hAnsi="Times New Roman"/>
          <w:color w:val="000000"/>
          <w:sz w:val="20"/>
          <w:u w:val="single"/>
        </w:rPr>
        <w:t>Registration Procedures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In connection with the obligations of the Issuer with respect to the Registration Statements pursuant to Section 2(a) and Section 2(b) hereof, the Issuer shall:</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(a)          prepare and file with the SEC a Registration Statement on the appropriate form under the Securities Act, which form (x) shall be selected by the Issuer and (y) shall, in the case of a Shelf Registration, be available for the sale of the Registrable Securities by the selling Holders thereof and (z) shall comply as to form in all material respects with the requirements of the applicable form and include all financial statements required by the SEC to be filed therewith, and use its commercially reasonable efforts to cause such Registration Statement to become effective and remain effective in accordance with Section 2 hereof;</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(b)        prepare and file with the SEC such amendments, including post-effective amendments, to each Registration Statement as may be necessary to keep such Registration Statement effective for the applicable period and cause each Prospectus to be supplemented by any required prospectus supplement and, as so supplemented, to be filed pursuant to Rule 424 under the Securities Act; and keep each Prospectus current during the period described under Section 4(a)(3) and Rule 174 under the Securities Act that is applicable to transactions by brokers or dealers with respect to the Registrable Securities or Exchange Securities;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(c)        to the extent any Free Writing Prospectus is used, file with the SEC any Free Writing Prospectus that is required to be filed by the Issuer with the SEC in accordance with the Securities Act and to retain any Free Writing Prospectus not required to be filed;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(d)        in the case of a Shelf Registration, furnish to each Holder of Registrable Securities, to the Initial Purchasers, to counsel for the Holders and to each Underwriter of an Underwritten Offering of Registrable Securities, if any, without charge, as many copies of each Prospectus, including each preliminary prospectus or Free Writing Prospectus, and any amendment or supplement thereto and such other documents as such Holder or Underwriter may reasonably request, in order to facilitate the public sale or other disposition of the Registrable Securities; and the Issuer consents to the use of such Prospectus, preliminary prospectus or such Free Writing Prospectus and any amendment or supplement thereto in accordance with applicable law by each of the selling Holders of Registrable Securities and any such Underwriters in connection with the offering and sale of the Registrable Securities covered by and in the manner described in such Prospectus, preliminary prospectus or such Free Writing Prospectus or any amendment or supplement thereto in accordance with applicable law;</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 xml:space="preserve">(e)         use its commercially reasonable efforts to register or qualify the Registrable Securities under all applicable state securities or “blue sky” laws of such jurisdictions as any Holder of Registrable Securities covered by a Registration Statement shall reasonably request in writing by the time the applicable Registration Statement is declared effective by the SEC, to cooperate with such Holders in connection with any filings required to be made with FINRA and do any and all other acts and things which may be reasonably necessary or advisable to enable such Holder to consummate the disposition in each such jurisdiction of such Registrable Securities owned by such Holder;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 Issuer shall not be required to (i) qualify as a foreign corporation or as a dealer in securities in any jurisdiction where it would not otherwise be required to qualify but for this Section 3(e), (ii) file any general consent to service of process or (iii) subject itself to taxation in any such jurisdiction if it is not so subject;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(f)         in the case of a Shelf Registration, notify each Holder of Registrable Securities, counsel for the Holders and counsel for the Initial Purchasers promptly and, if requested by any such Holder or counsel, confirm such advice in writing (i) when a Registration Statement has become effective and when any post-effective amendment thereto has been filed and becomes effective, when any Free Writing Prospectus has been filed or any amendment or supplement to the Prospectus or any Free Writing Prospectus has been filed, (ii) of any request by the SEC or any state securities authority for amendments and supplements to a Registration Statement, Prospectus or any Free Writing Prospectus or for additional information after the Registration Statement has become effective, (iii) of the issuance by the SEC or any state securities authority of any stop order suspending the effectiveness of a Registration Statement or the initiation of any proceedings for that purpose, including the receipt by the Issuer of any notice of objection by the SEC to the use of a Shelf Registration Statement or any post-effective amendment thereto pursuant to Rule 401(g)(2) under the Securities Act, (iv) if, between the effective date of a Registration Statement and the closing of any sale of Registrable Securities covered thereby, the representations and warranties of the Issuer contained in any underwriting agreement, securities sales agreement or other similar agreement, if any, relating to the offering cease to be true and correct in all material respects or if the Issuer receives any notification with respect to the suspension of the qualification of the Registrable Securities for sale in any jurisdiction or the initiation of any proceeding for such purpose, (v) of the happening of any event during the period a Shelf Registration Statement is effective which makes any statement made in such Registration Statement or the related Prospectus, in the case of the Prospectus, in light of the circumstances under which they were made, untrue in any material respect or which requires the making of any changes in such Registration Statement or Prospectus in order to make the statements therein, in the case of the Prospectus, in light of the circumstances under which they were made, not misleading and (vi) of any determination by the Issuer that a post-effective amendment to a Registration Statement or any amendment or supplement to the Prospectus or any Free Writing Prospectus would be appropriate;</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(g)        make every reasonable effort to obtain the withdrawal of any order suspending the effectiveness of a Registration Statement immediately and provide prompt notice to each Holder of the withdrawal of any such order;</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(h)        in the case of a Shelf Registration, furnish to each Holder of Registrable Securities who so requests, without charge, at least one conformed copy of each Registration Statement and any post-effective amendment thereto (without documents incorporated therein by reference or exhibits thereto, unless requested);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(i)         in the case of a Shelf Registration, cooperate with the selling Holders of Registrable Securities to facilitate the timely preparation and delivery of certificates representing Registrable Securities to be sold and not bearing any restrictive legends and enable such Registrable Securities to be in such denominations (consistent with the provisions of the Indenture) and registered in such names as the selling Holders may reasonably request at least one business day prior to the closing of any sale of Registrable Securities;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(j)         in the case of a Shelf Registration, upon the occurrence of any event contemplated by Section 3(f)(v) hereof, use its commercially reasonable efforts to prepare and file with the SEC a supplement or post-effective amendment to a Registration Statement or the related Prospectus or any document incorporated therein by reference or file any other required document so that, as thereafter delivered to the purchasers of the Registrable Securities, such Prospectus will not contain any untrue statement of a material fact or omit to state a material fact necessary to make the statements therein, in light of the circumstances under which they were made, not misleading.  The Issuer agrees to notify the Holders to suspend use of the Prospectus or any Free Writing Prospectus as promptly as reasonably practicable after the occurrence of such an event, and the Holders hereby agree to suspend use of the Prospectus until the Issuer has amended or supplemented the Prospectus to correct such misstatement or omission;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(k)        a reasonable time prior to the filing of any Registration Statement, any Prospectus, any Free Writing Prospectus, any amendment to a Registration Statement or amendment or supplement to a Prospectus or a Free Writing Prospectus or any document which is to be incorporated by reference into a Registration Statement or a Free Writing Prospectus or a Prospectus after initial filing of a Registration Statement, provide copies of such document to the Initial Purchasers and their counsel (and, in the case of a Shelf Registration Statement, the selling Holders and their counsel) and make such of the representatives of the Issuer as shall be reasonably requested by the Initial Purchasers or their counsel (and, in the case of a Shelf Registration Statement, the Holders or their counsel) available for discussion of such document, and shall not at any time file or make any amendment to the Registration Statement, any Prospectus or any amendment of or supplement to a Registration Statement or a Prospectus or a Free Writing Prospectus or any document which is to be incorporated by reference into a Registration Statement or a Prospectus, of which the Initial Purchasers and their counsel (and, in the case of a Shelf Registration Statement, the selling Holders and their counsel) shall not have previously been advised and furnished a copy or to which the Initial Purchasers or their counsel (and, in the case of a Shelf Registration Statement, the selling Holders or their counsel) shall object, except for any amendment or supplement or document (a copy of which has been previously furnished to the Initial Purchasers and its counsel (and, in the case of a Shelf Registration Statement, the selling Holders and their counsel)) which counsel to the Issuer shall advise the Issuer in writing is required in order to comply with applicable law;</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(l)         obtain a CUSIP number for all Exchange Securities or Registrable Securities, as the case may be, not later than the effective date of a Registration Statement;</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(m)       cause the Indenture to be qualified under the Trust Indenture Act of 1939, as amended (the “</w:t>
      </w:r>
      <w:r>
        <w:rPr>
          <w:rFonts w:ascii="Times New Roman" w:hAnsi="Times New Roman"/>
          <w:color w:val="000000"/>
          <w:sz w:val="20"/>
          <w:u w:val="single"/>
        </w:rPr>
        <w:t>TIA</w:t>
      </w:r>
      <w:r>
        <w:rPr>
          <w:rFonts w:ascii="Times New Roman" w:hAnsi="Times New Roman"/>
          <w:color w:val="000000"/>
          <w:sz w:val="20"/>
        </w:rPr>
        <w:t>”), in connection with the registration of the Exchange Securities or Registrable Securities, as the case may be, cooperate with the Trustee and the Holders to effect such changes to the Indenture as may be required for the Indenture to be so qualified in accordance with the terms of the TIA and execute, and use its commercially reasonable efforts to cause the Trustee to execute, all documents as may be required to effect such changes and all other forms and documents required to be filed with the SEC to enable the Indenture to be so qualified in a timely manner;</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(n)        in the case of a Shelf Registration, make available for inspection by a representative of the selling Holders of the Registrable Securities, any Underwriter participating in any disposition pursuant to such Shelf Registration Statement, and attorneys and accountants designated by the selling Holders, at reasonable times and in a reasonable manner, all financial and other records, pertinent documents and properties of the Issuer, and cause the respective officers, directors and employees of the Issuer to supply all information reasonably requested by any such representative, Underwriter, attorney or accountant in connection with a Shelf Registration Statement;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(o)        in the case of a Shelf Registration, use its commercially reasonable efforts to cause all Registrable Securities to be listed on any securities exchange or any automated quotation system on which similar securities issued by the Issuer are then listed if requested by the Majority Holders, to the extent such Registrable Securities satisfy applicable listing requirements;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(p)        use its commercially reasonable efforts to cause the Exchange Securities to continue to be rated by two nationally recognized statistical rating organizations (as such term is defined in Section 3(a)(62) of the Exchange Act), if the Registrable Securities have been rated;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(q)         if reasonably requested by any Holder of Registrable Securities covered by a Registration Statement, (i) promptly incorporate in a Prospectus supplement or post-effective amendment such information with respect to such Holder as such Holder reasonably requests to be included therein and (ii) make all required filings of such Prospectus supplement or such post-effective amendment as soon as the Issuer has received notification of the matters to be incorporated into such filing; and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(r)         in the case of a Shelf Registration, enter into such customary agreements and take all such other actions in connection therewith (including those requested by the Holders of a majority of the Registrable Securities being sold) in order to expedite or facilitate the disposition of such Registrable Securities including, but not limited to, an Underwritten Offering and in such connection, (i) to the extent possible, make such representations and warranties to the selling Holders and any Underwriters of such Registrable Securities with respect to the business of the Issuer and its subsidiaries, the Registration Statement, Prospectus, any Free Writing Prospectus and documents incorporated by reference or deemed incorporated by reference, if any, in each case, in form, substance and scope as are customarily made by issuers to underwriters in underwritten offerings and confirm the same if and when requested, (ii) obtain opinions of counsel to the Issuer (which counsel and opinions, in form, scope and substance, shall be reasonably satisfactory to the selling Holders and such Underwriters and their respective counsel) addressed to each selling Holder and Underwriter of Registrable Securities, covering the matters customarily covered in opinions requested in underwritten offerings, (iii) obtain “cold comfort” letters from the independent certified public accountants of the Issuer (and, if necessary, any other certified public accountant of any subsidiary of the Issuer, or of any business acquired by the Issuer for which financial statements and financial data are or are required to be included in the Registration Statement) addressed to each selling Holder and Underwriter of Registrable Securities, such letters to be in customary form and covering matters of the type customarily covered in “cold comfort” letters in connection with underwritten offerings, and (iv) deliver such documents and certificates as may be reasonably requested by the Holders of a majority in principal amount of the Registrable Securities being sold or the Underwriters, and which are customarily delivered in underwritten offerings, to evidence the continued validity of the representations and warranties of the Issuer made pursuant to clause (i) above and to evidence compliance with any customary conditions contained in an underwriting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4.          </w:t>
      </w:r>
      <w:r>
        <w:rPr>
          <w:rFonts w:ascii="Times New Roman" w:hAnsi="Times New Roman"/>
          <w:color w:val="000000"/>
          <w:sz w:val="20"/>
          <w:u w:val="single"/>
        </w:rPr>
        <w:t>Information Request.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In the case of a Shelf Registration Statement, the Issuer may require each Holder of Registrable Securities to furnish to the Issuer such information regarding the Holder and the proposed distribution by such Holder of such Registrable Securities as the Issuer may from time to time reasonably request in writing.  The Issuer will not have any obligation to include in the Shelf Registration Statement any Holder that does not deliver such information to the Issuer.</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In the case of a Shelf Registration Statement, each Holder agrees that, upon receipt of any notice from the Issuer of the happening of any event of the kind described in Section 3(f)(v) hereof, such Holder will forthwith discontinue disposition of Registrable Securities pursuant to a Registration Statement until such Holder’s receipt of the copies of the supplemented or amended Prospectus and any Free Writing Prospectus contemplated by Section 3(j) hereof, and, if so directed by the Issuer, such Holder will deliver to the Issuer (at its expense) all copies in its possession, other than permanent file copies then in such Holder’s possession, of the Prospectus and any Free Writing Prospectus covering such Registrable Securities current at the time of receipt of such notice.  If the Issuer shall give any such notice to suspend the disposition of Registrable Securities pursuant to a Registration Statement, the Issuer shall extend the period during which the Registration Statement shall be maintained effective pursuant to this Agreement by the number of days during the period from and including the date of the giving of such notice to and including the date when the Holders shall have received copies of the supplemented or amended Prospectus or any Free Writing Prospectus necessary to resume such dispositions.  The Issuer may give any such notice only twice during any 365-day period and any such suspensions may not exceed 60 days for each suspension, and there may not be more than two suspensions in effect during any 365-day period.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The Holders of Registrable Securities covered by a Shelf Registration Statement who desire to do so may sell such Registrable Securities in an Underwritten Offering.  In any such Underwritten Offering, the investment bank or investment banks and manager or managers (the “</w:t>
      </w:r>
      <w:r>
        <w:rPr>
          <w:rFonts w:ascii="Times New Roman" w:hAnsi="Times New Roman"/>
          <w:color w:val="000000"/>
          <w:sz w:val="20"/>
          <w:u w:val="single"/>
        </w:rPr>
        <w:t>Underwriters</w:t>
      </w:r>
      <w:r>
        <w:rPr>
          <w:rFonts w:ascii="Times New Roman" w:hAnsi="Times New Roman"/>
          <w:color w:val="000000"/>
          <w:sz w:val="20"/>
        </w:rPr>
        <w:t>”) that will administer the offering will be selected by the Majority Holders of the Registrable Securities included in such offering.</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5.          </w:t>
      </w:r>
      <w:r>
        <w:rPr>
          <w:rFonts w:ascii="Times New Roman" w:hAnsi="Times New Roman"/>
          <w:color w:val="000000"/>
          <w:sz w:val="20"/>
          <w:u w:val="single"/>
        </w:rPr>
        <w:t>Participation of Broker-Dealers in Exchange Offer.</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The Staff has taken the position that any broker-dealer that receives Exchange Securities for its own account in the Exchange Offer in exchange for Securities that were acquired by such broker-dealer as a result of market-making or other trading activities (a “</w:t>
      </w:r>
      <w:r>
        <w:rPr>
          <w:rFonts w:ascii="Times New Roman" w:hAnsi="Times New Roman"/>
          <w:color w:val="000000"/>
          <w:sz w:val="20"/>
          <w:u w:val="single"/>
        </w:rPr>
        <w:t>Participating Broker-Dealer</w:t>
      </w:r>
      <w:r>
        <w:rPr>
          <w:rFonts w:ascii="Times New Roman" w:hAnsi="Times New Roman"/>
          <w:color w:val="000000"/>
          <w:sz w:val="20"/>
        </w:rPr>
        <w:t>”), may be deemed to be an “underwriter” within the meaning of the Securities Act and must deliver a prospectus meeting the requirements of the Securities Act in connection with any resale of such Exchange Securities.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The Issuer understands that it is the Staff’s position that if the Prospectus contained in the Exchange Offer Registration Statement includes a plan of distribution containing a statement to the above effect and the means by which Participating Broker-Dealers may resell the Exchange Securities, without naming the Participating Broker-Dealers or specifying the amount of Exchange Securities owned by them, such Prospectus may be delivered by Participating Broker-Dealers to satisfy their prospectus delivery obligation under the Securities Act in connection with resales of Exchange Securities for their own accounts, so long as the Prospectus otherwise meets the requirements of the Securities Act.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(b)        In light of the above, notwithstanding the other provisions of this Agreement, the Issuer agrees that the provisions of this Agreement as they relate to a Shelf Registration shall also apply to an Exchange Offer Registration to the extent, and with such reasonable modifications thereto as may be, reasonably requested by the Initial Purchasers or by one or more Participating Broker-Dealers, in each case as provided in clause (ii) below, in order to expedite or facilitate the disposition of any Exchange Securities by Participating Broker-Dealers consistent with the positions of the Staff recited in Section 5(a) above; </w:t>
      </w:r>
      <w:r>
        <w:rPr>
          <w:rFonts w:ascii="Times New Roman" w:hAnsi="Times New Roman"/>
          <w:color w:val="000000"/>
          <w:sz w:val="20"/>
          <w:u w:val="single"/>
        </w:rPr>
        <w:t>provided</w:t>
      </w:r>
      <w:r>
        <w:rPr>
          <w:rFonts w:ascii="Times New Roman" w:hAnsi="Times New Roman"/>
          <w:color w:val="000000"/>
          <w:sz w:val="20"/>
        </w:rPr>
        <w:t xml:space="preserve"> that:</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(i)         the Issuer shall not be required to amend or supplement the Prospectus contained in the Exchange Offer Registration Statement, as would otherwise be contemplated by Section 3(j), for a period exceeding 180 days after the last Exchange Date (as such period may be extended pursuant to Section 4(b)) and Participating Broker-Dealers shall not be authorized by the Issuer to deliver and shall not deliver such Prospectus after such period in connection with the resales contemplated by this Section 5; and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 xml:space="preserve">(ii)        the application of the Shelf Registration procedures set forth in Section 3 of this Agreement to an Exchange Offer Registration, to the extent not required by the positions of the Staff or the Securities Act and the rules and regulations thereunder, will be in conformity with the reasonable request to the Issuer by the Initial Purchasers or with the reasonable request in writing to the Issuer by one or more broker-dealers who certify to the Initial Purchasers and the Issuer in writing that they anticipate that they will be Participating Broker-Dealers; and </w:t>
      </w:r>
      <w:r>
        <w:rPr>
          <w:rFonts w:ascii="Times New Roman" w:hAnsi="Times New Roman"/>
          <w:color w:val="000000"/>
          <w:sz w:val="20"/>
          <w:u w:val="single"/>
        </w:rPr>
        <w:t>provided</w:t>
      </w:r>
      <w:r>
        <w:rPr>
          <w:rFonts w:ascii="Times New Roman" w:hAnsi="Times New Roman"/>
          <w:color w:val="000000"/>
          <w:sz w:val="20"/>
        </w:rPr>
        <w:t> </w:t>
      </w:r>
      <w:r>
        <w:rPr>
          <w:rFonts w:ascii="Times New Roman" w:hAnsi="Times New Roman"/>
          <w:color w:val="000000"/>
          <w:sz w:val="20"/>
          <w:u w:val="single"/>
        </w:rPr>
        <w:t>further</w:t>
      </w:r>
      <w:r>
        <w:rPr>
          <w:rFonts w:ascii="Times New Roman" w:hAnsi="Times New Roman"/>
          <w:color w:val="000000"/>
          <w:sz w:val="20"/>
        </w:rPr>
        <w:t xml:space="preserve"> that, in connection with such application of the Shelf Registration procedures set forth in Section 3 to an Exchange Offer Registration, the Issuer shall be obligated (x) to deal only with the Representatives as representatives of the Participating Broker-Dealers, (y) to pay the fees and expenses of only one counsel representing the Participating Broker-Dealers, which shall be counsel to the Initial Purchasers unless such counsel elects not to so act and (z) to cause to be delivered only one, if any, “cold comfort” letter with respect to the Prospectus in the form existing on the last Exchange Date and with respect to each subsequent amendment or supplement, if any, effected during the period specified in clause (i) above.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The Initial Purchasers shall have no liability to the Issuer or any Holder with respect to any request that it may make pursuant to Section 5(b) above.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6.          </w:t>
      </w:r>
      <w:r>
        <w:rPr>
          <w:rFonts w:ascii="Times New Roman" w:hAnsi="Times New Roman"/>
          <w:color w:val="000000"/>
          <w:sz w:val="20"/>
          <w:u w:val="single"/>
        </w:rPr>
        <w:t>Indemnification and Contribution.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The Issuer agrees to indemnify and hold harmless (i) the Initial Purchasers, each Holder, (ii) each Person, if any, who controls any Initial Purchaser or any Holder within the meaning of either Section 15 of the Securities Act or Section 20 of the Exchange Act, or is under common control with, or is controlled by, any Initial Purchaser or any Holder (any such Persons being hereinafter referred to as a “</w:t>
      </w:r>
      <w:r>
        <w:rPr>
          <w:rFonts w:ascii="Times New Roman" w:hAnsi="Times New Roman"/>
          <w:color w:val="000000"/>
          <w:sz w:val="20"/>
          <w:u w:val="single"/>
        </w:rPr>
        <w:t>controlling person</w:t>
      </w:r>
      <w:r>
        <w:rPr>
          <w:rFonts w:ascii="Times New Roman" w:hAnsi="Times New Roman"/>
          <w:color w:val="000000"/>
          <w:sz w:val="20"/>
        </w:rPr>
        <w:t>”) and (iii) the Affiliates and agents of any Initial Purchaser, Holder or any controlling person (any Person referred to in clause (i), (ii) or (iii) may hereinafter be referred to as an “</w:t>
      </w:r>
      <w:r>
        <w:rPr>
          <w:rFonts w:ascii="Times New Roman" w:hAnsi="Times New Roman"/>
          <w:color w:val="000000"/>
          <w:sz w:val="20"/>
          <w:u w:val="single"/>
        </w:rPr>
        <w:t>Indemnified Holder</w:t>
      </w:r>
      <w:r>
        <w:rPr>
          <w:rFonts w:ascii="Times New Roman" w:hAnsi="Times New Roman"/>
          <w:color w:val="000000"/>
          <w:sz w:val="20"/>
        </w:rPr>
        <w:t>”), from and against all losses, claims, damages and liabilities (including, without limitation, any legal or other expenses reasonably incurred by an Indemnified Holder in connection with defending or investigating any such action or claim) incurred, arising out of or caused by any untrue statement or alleged untrue statement of a material fact contained in any Registration Statement (or any amendment thereto) pursuant to which Exchange Securities or Registrable Securities were registered under the Securities Act, including all documents incorporated therein by reference, or incurred, arising out of or caused by any omission or alleged omission to state therein a material fact required to be stated therein or necessary to make the statements therein not misleading, or incurred, arising out of or caused by any untrue statement or alleged untrue statement of a material fact contained in any Prospectus (as amended or supplemented if the Issuer shall have furnished any amendments or supplements thereto), or incurred, arising out of or caused by any omission or alleged omission to state therein a material fact necessary to make the statements therein in light of the circumstances under which they were made not misleading, except insofar as such losses, claims, damages or liabilities are incurred, arising out of or caused by any such untrue statement or omission or alleged untrue statement or omission based upon information relating to the Initial Purchasers or any Holder furnished to the Issuer in writing through the Representatives or any selling Holder expressly for use therein.  In connection with any Underwritten Offering permitted by Section 3, the Issuer will also indemnify the Underwriters, if any, selling brokers, dealers and similar securities industry professionals participating in the distribution, their officers and directors and each Person who controls such Persons (within the meaning of the Securities Act and the Exchange Act) to the same extent as provided above with respect to the indemnification of the Holders, if requested in connection with any Registration Statement.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Each Holder agrees, severally and not jointly, to indemnify and hold harmless the Issuer, the Initial Purchasers and the other selling Holders, and each of their respective directors, officers who sign the Registration Statement and each Person, if any, who controls the Issuer, any Initial Purchasers and any other selling Holder within the meaning of either Section 15 of the Securities Act or Section 20 of the Exchange Act to the same extent as the foregoing indemnity from the Issuer to the Initial Purchasers and the Holders, but only with reference to information relating to such Holder furnished to the Issuer in writing by such Holder expressly for use in any Registration Statement (or any amendment thereto) or any Prospectus (or any amendment or supplement thereto).</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In case any proceeding (including any governmental investigation) shall be instituted involving any Person in respect of which indemnity may be sought pursuant to either paragraph (a) or paragraph (b) above, such Person (the “</w:t>
      </w:r>
      <w:r>
        <w:rPr>
          <w:rFonts w:ascii="Times New Roman" w:hAnsi="Times New Roman"/>
          <w:color w:val="000000"/>
          <w:sz w:val="20"/>
          <w:u w:val="single"/>
        </w:rPr>
        <w:t>indemnified party</w:t>
      </w:r>
      <w:r>
        <w:rPr>
          <w:rFonts w:ascii="Times New Roman" w:hAnsi="Times New Roman"/>
          <w:color w:val="000000"/>
          <w:sz w:val="20"/>
        </w:rPr>
        <w:t>”) shall promptly notify the Person against whom such indemnity may be sought (the “</w:t>
      </w:r>
      <w:r>
        <w:rPr>
          <w:rFonts w:ascii="Times New Roman" w:hAnsi="Times New Roman"/>
          <w:color w:val="000000"/>
          <w:sz w:val="20"/>
          <w:u w:val="single"/>
        </w:rPr>
        <w:t>indemnifying party</w:t>
      </w:r>
      <w:r>
        <w:rPr>
          <w:rFonts w:ascii="Times New Roman" w:hAnsi="Times New Roman"/>
          <w:color w:val="000000"/>
          <w:sz w:val="20"/>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in writing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(a) the fees and expenses of more than one separate firm (in addition to any local counsel) for the Initial Purchasers, all controlling persons of any Initial Purchaser and all Affiliates of any Initial Purchaser (b) the fees and expenses of more than one separate firm (in addition to any local counsel) for the Issuer, its directors, its officers who sign the Registration Statement and each Person, if any, who controls the Issuer within the meaning of either Section 15 of the Securities Act or Section 20 of the Exchange Act and (c) the fees and expenses of more than one separate firm (in addition to any local counsel) for all Holders, all controlling persons of any Holders and all Affiliates of any Holder and that all such fees and expenses shall be reimbursed as they are incurred.  In such case involving the Initial Purchasers, controlling persons of any Initial Purchaser and all Affiliates of any Initial Purchaser, such firm shall be designated in writing by the Representatives.  In such case involving the Holders and such controlling persons of Holders and Affiliates of any Holder, such firm shall be designated in writing by the Majority Holders.  In all other cases, such firm shall be designated by the Issuer.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for such fees and expenses of counsel in accordance with such request prior to the date of such settlement.  No indemnifying party shall, without the prior written consent of the indemnified party, which consent shall not be unreasonably withheld or delayed, effect any settlement of any pending or threatened proceeding in respect of which such indemnified party is or could have been a party and indemnity could have been sought hereunder by such indemnified party, unless such settlement (i) includes an unconditional release of such indemnified party from all liability on claims that are the subject matter of such proceeding and (ii) does not include an admission of fault, culpability or a failure to act by or on behalf of any indemnified party.</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If the indemnification provided for in paragraph (a) or paragraph (b) of this Section 6 is unavailable to an indemnified party or insufficient in respect of any losses, claims, damages or liabilities, then each indemnifying party under such paragraph, in lieu of indemnifying such indemnified party thereunder, shall contribute to the amount paid or payable by such indemnified party as a result of such losses, claims, damages or liabilities in such proportion as is appropriate to reflect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fault of the Issuer and the Indemnified Holders shall be determined by reference to, among other things, whether the untrue or alleged untrue statement of a material fact or the omission or alleged omission to state a material fact relates to information supplied by the Issuer or by the Indemnified Holders and the parties’ relative intent, knowledge, access to information and opportunity to correct or prevent such statement or omission.  The Holders’ respective obligations to contribute pursuant to this Section 6(d) are several in proportion to the respective principal amount of Registrable Securities of such Holder that were registered pursuant to a Registration Statement.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(e)         The Issuer and each Holder agree that it would not be just or equitable if contribution pursuant to this Section 6 were determined by </w:t>
      </w:r>
      <w:r>
        <w:rPr>
          <w:rFonts w:ascii="Times New Roman" w:hAnsi="Times New Roman"/>
          <w:color w:val="000000"/>
          <w:sz w:val="20"/>
          <w:u w:val="single"/>
        </w:rPr>
        <w:t>pro</w:t>
      </w:r>
      <w:r>
        <w:rPr>
          <w:rFonts w:ascii="Times New Roman" w:hAnsi="Times New Roman"/>
          <w:color w:val="000000"/>
          <w:sz w:val="20"/>
        </w:rPr>
        <w:t> </w:t>
      </w:r>
      <w:r>
        <w:rPr>
          <w:rFonts w:ascii="Times New Roman" w:hAnsi="Times New Roman"/>
          <w:color w:val="000000"/>
          <w:sz w:val="20"/>
          <w:u w:val="single"/>
        </w:rPr>
        <w:t>rata</w:t>
      </w:r>
      <w:r>
        <w:rPr>
          <w:rFonts w:ascii="Times New Roman" w:hAnsi="Times New Roman"/>
          <w:color w:val="000000"/>
          <w:sz w:val="20"/>
        </w:rPr>
        <w:t xml:space="preserve"> allocation or by any other method of allocation that does not take account of the equitable considerations referred to in paragraph (d) above.  The amount paid or payable by an indemnified party as a result of the losses, claims, damages and liabilities referred to in paragraph (d) above shall be deemed to include, subject to the limitations set forth above, any legal or other expenses reasonably incurred by such indemnified party in connection with investigating or defending any such action or claim.  Notwithstanding the provisions of this Section 6, no Holder (and its related Indemnified Holders) shall be required to indemnify or contribute any amount in excess of the amount by which the total price at which Registrable Securities were sold by such Holder exceeds the amount of any damages that such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Holders’ respective obligations to contribute pursuant to this Section 6(e) are several in proportion to the respective principal amount of Registrable Securities of such Holder that were registered pursuant to a Registration Statement.  The remedies provided for in this Section 6 are not exclusive and shall not limit any rights or remedies which may otherwise be available to any indemnified party at law or in equity.</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The indemnity and contribution provisions contained in this Section 6 shall remain operative and in full force and effect regardless of (i) any termination of this Agreement, (ii) any investigation made by or on behalf of any Indemnified Holder, or by or on behalf of the Issuer, its officers or directors or any Person controlling the Issuer, (iii) acceptance of any of the Exchange Securities and (iv) any sale of Registrable Securities pursuant to a Shelf Registration Statement.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7.          </w:t>
      </w:r>
      <w:r>
        <w:rPr>
          <w:rFonts w:ascii="Times New Roman" w:hAnsi="Times New Roman"/>
          <w:color w:val="000000"/>
          <w:sz w:val="20"/>
          <w:u w:val="single"/>
        </w:rPr>
        <w:t>Miscellaneous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No Inconsistent Agreements</w:t>
      </w:r>
      <w:r>
        <w:rPr>
          <w:rFonts w:ascii="Times New Roman" w:hAnsi="Times New Roman"/>
          <w:color w:val="000000"/>
          <w:sz w:val="20"/>
        </w:rPr>
        <w:t>.  The Issuer has not entered into, and on or after the date of this Agreement will not enter into, any agreement which is inconsistent with the rights granted to the Holders of Registrable Securities in this Agreement or otherwise conflicts with the provisions hereof.  The rights granted to the Holders hereunder do not in any way conflict with and are not inconsistent with the rights granted to the holders of the Issuer’s other issued and outstanding securities under any such agreements.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Amendments and Waivers</w:t>
      </w:r>
      <w:r>
        <w:rPr>
          <w:rFonts w:ascii="Times New Roman" w:hAnsi="Times New Roman"/>
          <w:color w:val="000000"/>
          <w:sz w:val="20"/>
        </w:rPr>
        <w:t>.  The provisions of this Agreement, including the provisions of this sentence, may not be amended, modified or supplemented, and waivers or consents to departures from the provisions hereof may not be given unless the Issuer has obtained the written consent of the Majority Holders of the outstanding Registrable Securities affected by such amendment, modification, supplement, waiver or consent.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Notices</w:t>
      </w:r>
      <w:r>
        <w:rPr>
          <w:rFonts w:ascii="Times New Roman" w:hAnsi="Times New Roman"/>
          <w:color w:val="000000"/>
          <w:sz w:val="20"/>
        </w:rPr>
        <w:t>.  All notices and other communications provided for or permitted hereunder shall be made through electronic mail or in writing by hand delivery, first-class mail, facsimile transmission, or any courier guaranteeing overnight delivery (i) if to a Holder, at the most current address given by such Holder to the Issuer by means of a notice given in accordance with the provisions of this Section 7(c), which address initially is, with respect to the Initial Purchasers, the address set forth in the Purchase Agreement; and (ii) if to the Issuer, initially at the Issuer’s address set forth in the Purchase Agreement and thereafter at such other address, notice of which is given in accordance with the provisions of this Section 7(c).</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All such notices and communications shall be deemed to have been duly given:  at the time delivered by hand, if personally delivered; five business days after being deposited in the mail, postage prepaid, if mailed; and on the next business day if emailed or timely delivered to an air courier guaranteeing overnight delivery.</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Copies of all such notices, demands, or other communications shall be concurrently delivered by the Person giving the same to the Trustee, at the address specified in the Indenture.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Successors and Assigns</w:t>
      </w:r>
      <w:r>
        <w:rPr>
          <w:rFonts w:ascii="Times New Roman" w:hAnsi="Times New Roman"/>
          <w:color w:val="000000"/>
          <w:sz w:val="20"/>
        </w:rPr>
        <w:t xml:space="preserve">.  This Agreement shall inure to the benefit of and be binding upon the successors, assigns and transferees of each of the parties, including, without limitation and without the need for an express assignment, subsequent Holders; </w:t>
      </w:r>
      <w:r>
        <w:rPr>
          <w:rFonts w:ascii="Times New Roman" w:hAnsi="Times New Roman"/>
          <w:color w:val="000000"/>
          <w:sz w:val="20"/>
          <w:u w:val="single"/>
        </w:rPr>
        <w:t>provided</w:t>
      </w:r>
      <w:r>
        <w:rPr>
          <w:rFonts w:ascii="Times New Roman" w:hAnsi="Times New Roman"/>
          <w:color w:val="000000"/>
          <w:sz w:val="20"/>
        </w:rPr>
        <w:t xml:space="preserve"> that nothing herein shall be deemed to permit any assignment, transfer or other disposition of Registrable Securities in violation of the terms of the Purchase Agreement.  If any transferee of any Holder shall acquire Registrable Securities, in any manner, whether by operation of law or otherwise, such Registrable Securities shall be held subject to all of the terms of this Agreement, and by taking and holding such Registrable Securities such Person shall be conclusively deemed to have agreed to be bound by and to perform all of the terms and provisions of this Agreement and such Person shall be entitled to receive the benefits hereof.  The Initial Purchasers (in their capacity as Initial Purchasers) shall have no liability or obligation to the  Issuer with respect to any failure by a Holder to comply with, or any breach by any Holder of, any of the obligations of such Holder under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(e)         </w:t>
      </w:r>
      <w:r>
        <w:rPr>
          <w:rFonts w:ascii="Times New Roman" w:hAnsi="Times New Roman"/>
          <w:color w:val="000000"/>
          <w:sz w:val="20"/>
          <w:u w:val="single"/>
        </w:rPr>
        <w:t>Third Party Beneficiary</w:t>
      </w:r>
      <w:r>
        <w:rPr>
          <w:rFonts w:ascii="Times New Roman" w:hAnsi="Times New Roman"/>
          <w:color w:val="000000"/>
          <w:sz w:val="20"/>
        </w:rPr>
        <w:t>.  Each Holder shall be a third party beneficiary to the agreements made hereunder between the Issuer, on the one hand, and the Initial Purchasers, on the other hand, and shall have the right to enforce such agreements directly to the extent it deems such enforcement necessary or advisable to protect its rights or the rights of Holders hereunder.</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(f)         </w:t>
      </w:r>
      <w:r>
        <w:rPr>
          <w:rFonts w:ascii="Times New Roman" w:hAnsi="Times New Roman"/>
          <w:color w:val="000000"/>
          <w:sz w:val="20"/>
          <w:u w:val="single"/>
        </w:rPr>
        <w:t>Counterparts</w:t>
      </w:r>
      <w:r>
        <w:rPr>
          <w:rFonts w:ascii="Times New Roman" w:hAnsi="Times New Roman"/>
          <w:color w:val="000000"/>
          <w:sz w:val="20"/>
        </w:rPr>
        <w:t>.  This Agreement may be executed by any one or more of the parties hereto in any number of counterparts, each of which shall be deemed to be an original, but all such respective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(g)        </w:t>
      </w:r>
      <w:r>
        <w:rPr>
          <w:rFonts w:ascii="Times New Roman" w:hAnsi="Times New Roman"/>
          <w:color w:val="000000"/>
          <w:sz w:val="20"/>
          <w:u w:val="single"/>
        </w:rPr>
        <w:t>Headings</w:t>
      </w:r>
      <w:r>
        <w:rPr>
          <w:rFonts w:ascii="Times New Roman" w:hAnsi="Times New Roman"/>
          <w:color w:val="000000"/>
          <w:sz w:val="20"/>
        </w:rPr>
        <w:t>.  The Section headings in this Agreement are for convenience only and shall not affect the construction hereof.</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(h)        </w:t>
      </w:r>
      <w:r>
        <w:rPr>
          <w:rFonts w:ascii="Times New Roman" w:hAnsi="Times New Roman"/>
          <w:color w:val="000000"/>
          <w:sz w:val="20"/>
          <w:u w:val="single"/>
        </w:rPr>
        <w:t>Governing Law</w:t>
      </w:r>
      <w:r>
        <w:rPr>
          <w:rFonts w:ascii="Times New Roman" w:hAnsi="Times New Roman"/>
          <w:color w:val="000000"/>
          <w:sz w:val="20"/>
        </w:rPr>
        <w:t>.  This Agreement shall be governed by and construed in accordance with the laws of the State of New York.</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(i)         </w:t>
      </w:r>
      <w:r>
        <w:rPr>
          <w:rFonts w:ascii="Times New Roman" w:hAnsi="Times New Roman"/>
          <w:color w:val="000000"/>
          <w:sz w:val="20"/>
          <w:u w:val="single"/>
        </w:rPr>
        <w:t>Severability</w:t>
      </w:r>
      <w:r>
        <w:rPr>
          <w:rFonts w:ascii="Times New Roman" w:hAnsi="Times New Roman"/>
          <w:color w:val="000000"/>
          <w:sz w:val="20"/>
        </w:rPr>
        <w:t>.  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[Signature Pages Follow]</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IN WITNESS WHEREOF, the parties have executed this Agreement as of the date first written above.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0" w:name="z3b6c0c20c20f40458c9c91dc0dfa33ff"/>
      <w:bookmarkStart w:id="241" w:name="z3b6c0c20c20f40458c9c91dc0dfa33ff"/>
      <w:bookmarkEnd w:id="241"/>
    </w:p>
    <w:tbl>
      <w:tblPr>
        <w:tblW w:w="7317" w:type="dxa"/>
        <w:jc w:val="left"/>
        <w:tblInd w:w="0" w:type="dxa"/>
        <w:tblLayout w:type="fixed"/>
        <w:tblCellMar>
          <w:top w:w="0" w:type="dxa"/>
          <w:left w:w="0" w:type="dxa"/>
          <w:bottom w:w="0" w:type="dxa"/>
          <w:right w:w="0" w:type="dxa"/>
        </w:tblCellMar>
      </w:tblPr>
      <w:tblGrid>
        <w:gridCol w:w="38"/>
        <w:gridCol w:w="1048"/>
        <w:gridCol w:w="1866"/>
        <w:gridCol w:w="4365"/>
      </w:tblGrid>
      <w:tr>
        <w:trPr/>
        <w:tc>
          <w:tcPr>
            <w:tcW w:w="38" w:type="dxa"/>
            <w:tcBorders/>
            <w:vAlign w:val="center"/>
          </w:tcPr>
          <w:p>
            <w:pPr>
              <w:pStyle w:val="TableContents"/>
              <w:bidi w:val="0"/>
              <w:spacing w:before="0" w:after="283"/>
              <w:jc w:val="left"/>
              <w:rPr/>
            </w:pPr>
            <w:r>
              <w:rPr/>
            </w:r>
          </w:p>
        </w:tc>
        <w:tc>
          <w:tcPr>
            <w:tcW w:w="7279" w:type="dxa"/>
            <w:gridSpan w:val="3"/>
            <w:tcBorders/>
            <w:vAlign w:val="center"/>
          </w:tcPr>
          <w:p>
            <w:pPr>
              <w:pStyle w:val="TableContents"/>
              <w:bidi w:val="0"/>
              <w:spacing w:before="0" w:after="0"/>
              <w:jc w:val="left"/>
              <w:rPr>
                <w:b/>
              </w:rPr>
            </w:pPr>
            <w:r>
              <w:rPr>
                <w:b/>
              </w:rPr>
              <w:t>ICON INVESTMENTS SIX DESIGNATED ACTIVITY COMPANY</w:t>
            </w:r>
          </w:p>
        </w:tc>
      </w:tr>
      <w:tr>
        <w:trPr/>
        <w:tc>
          <w:tcPr>
            <w:tcW w:w="38" w:type="dxa"/>
            <w:tcBorders/>
            <w:vAlign w:val="center"/>
          </w:tcPr>
          <w:p>
            <w:pPr>
              <w:pStyle w:val="TableContents"/>
              <w:bidi w:val="0"/>
              <w:spacing w:before="0" w:after="283"/>
              <w:jc w:val="left"/>
              <w:rPr/>
            </w:pPr>
            <w:r>
              <w:rPr/>
            </w:r>
          </w:p>
        </w:tc>
        <w:tc>
          <w:tcPr>
            <w:tcW w:w="7279" w:type="dxa"/>
            <w:gridSpan w:val="3"/>
            <w:tcBorders/>
            <w:vAlign w:val="center"/>
          </w:tcPr>
          <w:p>
            <w:pPr>
              <w:pStyle w:val="TableContents"/>
              <w:bidi w:val="0"/>
              <w:spacing w:before="0" w:after="283"/>
              <w:jc w:val="left"/>
              <w:rPr/>
            </w:pPr>
            <w:r>
              <w:rPr/>
            </w:r>
          </w:p>
        </w:tc>
      </w:tr>
      <w:tr>
        <w:trPr/>
        <w:tc>
          <w:tcPr>
            <w:tcW w:w="38" w:type="dxa"/>
            <w:tcBorders/>
            <w:vAlign w:val="center"/>
          </w:tcPr>
          <w:p>
            <w:pPr>
              <w:pStyle w:val="TableContents"/>
              <w:bidi w:val="0"/>
              <w:spacing w:before="0" w:after="283"/>
              <w:jc w:val="left"/>
              <w:rPr/>
            </w:pPr>
            <w:r>
              <w:rPr/>
            </w:r>
          </w:p>
        </w:tc>
        <w:tc>
          <w:tcPr>
            <w:tcW w:w="1048" w:type="dxa"/>
            <w:tcBorders/>
            <w:vAlign w:val="center"/>
          </w:tcPr>
          <w:p>
            <w:pPr>
              <w:pStyle w:val="TableContents"/>
              <w:bidi w:val="0"/>
              <w:spacing w:before="0" w:after="0"/>
              <w:jc w:val="left"/>
              <w:rPr/>
            </w:pPr>
            <w:r>
              <w:rPr/>
              <w:t>By:</w:t>
            </w:r>
          </w:p>
        </w:tc>
        <w:tc>
          <w:tcPr>
            <w:tcW w:w="6231" w:type="dxa"/>
            <w:gridSpan w:val="2"/>
            <w:tcBorders>
              <w:bottom w:val="single" w:sz="12" w:space="0" w:color="000000"/>
            </w:tcBorders>
            <w:tcMar>
              <w:bottom w:w="28" w:type="dxa"/>
            </w:tcMar>
            <w:vAlign w:val="center"/>
          </w:tcPr>
          <w:p>
            <w:pPr>
              <w:pStyle w:val="TableContents"/>
              <w:bidi w:val="0"/>
              <w:spacing w:before="0" w:after="0"/>
              <w:jc w:val="left"/>
              <w:rPr/>
            </w:pPr>
            <w:r>
              <w:rPr/>
              <w:t>/s/ Louise Howard</w:t>
            </w:r>
          </w:p>
        </w:tc>
      </w:tr>
      <w:tr>
        <w:trPr/>
        <w:tc>
          <w:tcPr>
            <w:tcW w:w="38" w:type="dxa"/>
            <w:tcBorders/>
            <w:vAlign w:val="center"/>
          </w:tcPr>
          <w:p>
            <w:pPr>
              <w:pStyle w:val="TableContents"/>
              <w:bidi w:val="0"/>
              <w:spacing w:before="0" w:after="283"/>
              <w:jc w:val="left"/>
              <w:rPr/>
            </w:pPr>
            <w:r>
              <w:rPr/>
            </w:r>
          </w:p>
        </w:tc>
        <w:tc>
          <w:tcPr>
            <w:tcW w:w="1048" w:type="dxa"/>
            <w:tcBorders/>
            <w:vAlign w:val="center"/>
          </w:tcPr>
          <w:p>
            <w:pPr>
              <w:pStyle w:val="TableContents"/>
              <w:bidi w:val="0"/>
              <w:spacing w:before="0" w:after="283"/>
              <w:jc w:val="left"/>
              <w:rPr/>
            </w:pPr>
            <w:r>
              <w:rPr/>
            </w:r>
          </w:p>
        </w:tc>
        <w:tc>
          <w:tcPr>
            <w:tcW w:w="1866" w:type="dxa"/>
            <w:tcBorders/>
            <w:vAlign w:val="center"/>
          </w:tcPr>
          <w:p>
            <w:pPr>
              <w:pStyle w:val="TableContents"/>
              <w:bidi w:val="0"/>
              <w:spacing w:before="0" w:after="0"/>
              <w:jc w:val="left"/>
              <w:rPr/>
            </w:pPr>
            <w:r>
              <w:rPr/>
              <w:t>Name:</w:t>
            </w:r>
          </w:p>
        </w:tc>
        <w:tc>
          <w:tcPr>
            <w:tcW w:w="4365" w:type="dxa"/>
            <w:tcBorders/>
            <w:vAlign w:val="center"/>
          </w:tcPr>
          <w:p>
            <w:pPr>
              <w:pStyle w:val="TableContents"/>
              <w:bidi w:val="0"/>
              <w:spacing w:before="0" w:after="0"/>
              <w:jc w:val="left"/>
              <w:rPr/>
            </w:pPr>
            <w:r>
              <w:rPr/>
              <w:t>Louise Howard</w:t>
            </w:r>
          </w:p>
        </w:tc>
      </w:tr>
      <w:tr>
        <w:trPr/>
        <w:tc>
          <w:tcPr>
            <w:tcW w:w="38" w:type="dxa"/>
            <w:tcBorders/>
            <w:vAlign w:val="center"/>
          </w:tcPr>
          <w:p>
            <w:pPr>
              <w:pStyle w:val="TableContents"/>
              <w:bidi w:val="0"/>
              <w:spacing w:before="0" w:after="283"/>
              <w:jc w:val="left"/>
              <w:rPr/>
            </w:pPr>
            <w:r>
              <w:rPr/>
            </w:r>
          </w:p>
        </w:tc>
        <w:tc>
          <w:tcPr>
            <w:tcW w:w="1048" w:type="dxa"/>
            <w:tcBorders/>
            <w:vAlign w:val="center"/>
          </w:tcPr>
          <w:p>
            <w:pPr>
              <w:pStyle w:val="TableContents"/>
              <w:bidi w:val="0"/>
              <w:spacing w:before="0" w:after="283"/>
              <w:jc w:val="left"/>
              <w:rPr/>
            </w:pPr>
            <w:r>
              <w:rPr/>
            </w:r>
          </w:p>
        </w:tc>
        <w:tc>
          <w:tcPr>
            <w:tcW w:w="1866" w:type="dxa"/>
            <w:tcBorders/>
            <w:vAlign w:val="center"/>
          </w:tcPr>
          <w:p>
            <w:pPr>
              <w:pStyle w:val="TableContents"/>
              <w:bidi w:val="0"/>
              <w:spacing w:before="0" w:after="0"/>
              <w:jc w:val="left"/>
              <w:rPr/>
            </w:pPr>
            <w:r>
              <w:rPr/>
              <w:t>Title:</w:t>
            </w:r>
          </w:p>
        </w:tc>
        <w:tc>
          <w:tcPr>
            <w:tcW w:w="4365" w:type="dxa"/>
            <w:tcBorders/>
            <w:vAlign w:val="center"/>
          </w:tcPr>
          <w:p>
            <w:pPr>
              <w:pStyle w:val="TableContents"/>
              <w:bidi w:val="0"/>
              <w:spacing w:before="0" w:after="0"/>
              <w:jc w:val="left"/>
              <w:rPr/>
            </w:pPr>
            <w:r>
              <w:rPr/>
              <w:t>Attorney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2" w:name="z9b1f0634815a4a8080feaff212e3fd4c"/>
      <w:bookmarkStart w:id="243" w:name="z9b1f0634815a4a8080feaff212e3fd4c"/>
      <w:bookmarkEnd w:id="243"/>
    </w:p>
    <w:tbl>
      <w:tblPr>
        <w:tblW w:w="4137" w:type="dxa"/>
        <w:jc w:val="left"/>
        <w:tblInd w:w="0" w:type="dxa"/>
        <w:tblLayout w:type="fixed"/>
        <w:tblCellMar>
          <w:top w:w="0" w:type="dxa"/>
          <w:left w:w="0" w:type="dxa"/>
          <w:bottom w:w="0" w:type="dxa"/>
          <w:right w:w="0" w:type="dxa"/>
        </w:tblCellMar>
      </w:tblPr>
      <w:tblGrid>
        <w:gridCol w:w="23"/>
        <w:gridCol w:w="681"/>
        <w:gridCol w:w="1213"/>
        <w:gridCol w:w="2220"/>
      </w:tblGrid>
      <w:tr>
        <w:trPr/>
        <w:tc>
          <w:tcPr>
            <w:tcW w:w="23" w:type="dxa"/>
            <w:tcBorders/>
            <w:vAlign w:val="center"/>
          </w:tcPr>
          <w:p>
            <w:pPr>
              <w:pStyle w:val="TableContents"/>
              <w:bidi w:val="0"/>
              <w:spacing w:before="0" w:after="283"/>
              <w:jc w:val="left"/>
              <w:rPr/>
            </w:pPr>
            <w:r>
              <w:rPr/>
            </w:r>
          </w:p>
        </w:tc>
        <w:tc>
          <w:tcPr>
            <w:tcW w:w="4114" w:type="dxa"/>
            <w:gridSpan w:val="3"/>
            <w:tcBorders/>
            <w:vAlign w:val="center"/>
          </w:tcPr>
          <w:p>
            <w:pPr>
              <w:pStyle w:val="TableContents"/>
              <w:bidi w:val="0"/>
              <w:spacing w:before="0" w:after="0"/>
              <w:jc w:val="left"/>
              <w:rPr>
                <w:b/>
              </w:rPr>
            </w:pPr>
            <w:r>
              <w:rPr>
                <w:b/>
              </w:rPr>
              <w:t>ICON PUBLIC LIMITED COMPANY</w:t>
            </w:r>
          </w:p>
        </w:tc>
      </w:tr>
      <w:tr>
        <w:trPr/>
        <w:tc>
          <w:tcPr>
            <w:tcW w:w="23" w:type="dxa"/>
            <w:tcBorders/>
            <w:vAlign w:val="center"/>
          </w:tcPr>
          <w:p>
            <w:pPr>
              <w:pStyle w:val="TableContents"/>
              <w:bidi w:val="0"/>
              <w:spacing w:before="0" w:after="283"/>
              <w:jc w:val="left"/>
              <w:rPr/>
            </w:pPr>
            <w:r>
              <w:rPr/>
            </w:r>
          </w:p>
        </w:tc>
        <w:tc>
          <w:tcPr>
            <w:tcW w:w="4114" w:type="dxa"/>
            <w:gridSpan w:val="3"/>
            <w:tcBorders/>
            <w:vAlign w:val="center"/>
          </w:tcPr>
          <w:p>
            <w:pPr>
              <w:pStyle w:val="TableContents"/>
              <w:bidi w:val="0"/>
              <w:spacing w:before="0" w:after="283"/>
              <w:jc w:val="left"/>
              <w:rPr/>
            </w:pPr>
            <w:r>
              <w:rPr/>
              <w:t> </w:t>
            </w:r>
          </w:p>
        </w:tc>
      </w:tr>
      <w:tr>
        <w:trPr/>
        <w:tc>
          <w:tcPr>
            <w:tcW w:w="23" w:type="dxa"/>
            <w:tcBorders/>
            <w:vAlign w:val="center"/>
          </w:tcPr>
          <w:p>
            <w:pPr>
              <w:pStyle w:val="TableContents"/>
              <w:bidi w:val="0"/>
              <w:spacing w:before="0" w:after="283"/>
              <w:jc w:val="left"/>
              <w:rPr/>
            </w:pPr>
            <w:r>
              <w:rPr/>
            </w:r>
          </w:p>
        </w:tc>
        <w:tc>
          <w:tcPr>
            <w:tcW w:w="681" w:type="dxa"/>
            <w:tcBorders/>
            <w:vAlign w:val="center"/>
          </w:tcPr>
          <w:p>
            <w:pPr>
              <w:pStyle w:val="TableContents"/>
              <w:bidi w:val="0"/>
              <w:spacing w:before="0" w:after="0"/>
              <w:jc w:val="left"/>
              <w:rPr/>
            </w:pPr>
            <w:r>
              <w:rPr/>
              <w:t>By:</w:t>
            </w:r>
          </w:p>
        </w:tc>
        <w:tc>
          <w:tcPr>
            <w:tcW w:w="3433" w:type="dxa"/>
            <w:gridSpan w:val="2"/>
            <w:tcBorders>
              <w:bottom w:val="single" w:sz="12" w:space="0" w:color="000000"/>
            </w:tcBorders>
            <w:tcMar>
              <w:bottom w:w="28" w:type="dxa"/>
            </w:tcMar>
            <w:vAlign w:val="center"/>
          </w:tcPr>
          <w:p>
            <w:pPr>
              <w:pStyle w:val="TableContents"/>
              <w:bidi w:val="0"/>
              <w:spacing w:before="0" w:after="0"/>
              <w:jc w:val="left"/>
              <w:rPr/>
            </w:pPr>
            <w:r>
              <w:rPr/>
              <w:t>/s/ Emer Lyons</w:t>
            </w:r>
          </w:p>
        </w:tc>
      </w:tr>
      <w:tr>
        <w:trPr/>
        <w:tc>
          <w:tcPr>
            <w:tcW w:w="23" w:type="dxa"/>
            <w:tcBorders/>
            <w:vAlign w:val="center"/>
          </w:tcPr>
          <w:p>
            <w:pPr>
              <w:pStyle w:val="TableContents"/>
              <w:bidi w:val="0"/>
              <w:spacing w:before="0" w:after="283"/>
              <w:jc w:val="left"/>
              <w:rPr/>
            </w:pPr>
            <w:r>
              <w:rPr/>
            </w:r>
          </w:p>
        </w:tc>
        <w:tc>
          <w:tcPr>
            <w:tcW w:w="681" w:type="dxa"/>
            <w:tcBorders/>
            <w:vAlign w:val="center"/>
          </w:tcPr>
          <w:p>
            <w:pPr>
              <w:pStyle w:val="TableContents"/>
              <w:bidi w:val="0"/>
              <w:spacing w:before="0" w:after="283"/>
              <w:jc w:val="left"/>
              <w:rPr/>
            </w:pPr>
            <w:r>
              <w:rPr/>
            </w:r>
          </w:p>
        </w:tc>
        <w:tc>
          <w:tcPr>
            <w:tcW w:w="1213" w:type="dxa"/>
            <w:tcBorders/>
            <w:vAlign w:val="center"/>
          </w:tcPr>
          <w:p>
            <w:pPr>
              <w:pStyle w:val="TableContents"/>
              <w:bidi w:val="0"/>
              <w:spacing w:before="0" w:after="0"/>
              <w:jc w:val="left"/>
              <w:rPr/>
            </w:pPr>
            <w:r>
              <w:rPr/>
              <w:t>Name:</w:t>
            </w:r>
          </w:p>
        </w:tc>
        <w:tc>
          <w:tcPr>
            <w:tcW w:w="2220" w:type="dxa"/>
            <w:tcBorders/>
            <w:vAlign w:val="center"/>
          </w:tcPr>
          <w:p>
            <w:pPr>
              <w:pStyle w:val="TableContents"/>
              <w:bidi w:val="0"/>
              <w:spacing w:before="0" w:after="0"/>
              <w:jc w:val="left"/>
              <w:rPr/>
            </w:pPr>
            <w:r>
              <w:rPr/>
              <w:t>Emer Lyons</w:t>
            </w:r>
          </w:p>
        </w:tc>
      </w:tr>
      <w:tr>
        <w:trPr/>
        <w:tc>
          <w:tcPr>
            <w:tcW w:w="23" w:type="dxa"/>
            <w:tcBorders/>
            <w:vAlign w:val="center"/>
          </w:tcPr>
          <w:p>
            <w:pPr>
              <w:pStyle w:val="TableContents"/>
              <w:bidi w:val="0"/>
              <w:spacing w:before="0" w:after="283"/>
              <w:jc w:val="left"/>
              <w:rPr/>
            </w:pPr>
            <w:r>
              <w:rPr/>
            </w:r>
          </w:p>
        </w:tc>
        <w:tc>
          <w:tcPr>
            <w:tcW w:w="681" w:type="dxa"/>
            <w:tcBorders/>
            <w:vAlign w:val="center"/>
          </w:tcPr>
          <w:p>
            <w:pPr>
              <w:pStyle w:val="TableContents"/>
              <w:bidi w:val="0"/>
              <w:spacing w:before="0" w:after="283"/>
              <w:jc w:val="left"/>
              <w:rPr/>
            </w:pPr>
            <w:r>
              <w:rPr/>
            </w:r>
          </w:p>
        </w:tc>
        <w:tc>
          <w:tcPr>
            <w:tcW w:w="1213" w:type="dxa"/>
            <w:tcBorders/>
            <w:vAlign w:val="center"/>
          </w:tcPr>
          <w:p>
            <w:pPr>
              <w:pStyle w:val="TableContents"/>
              <w:bidi w:val="0"/>
              <w:spacing w:before="0" w:after="0"/>
              <w:jc w:val="left"/>
              <w:rPr/>
            </w:pPr>
            <w:r>
              <w:rPr/>
              <w:t>Title:</w:t>
            </w:r>
          </w:p>
        </w:tc>
        <w:tc>
          <w:tcPr>
            <w:tcW w:w="2220" w:type="dxa"/>
            <w:tcBorders/>
            <w:vAlign w:val="center"/>
          </w:tcPr>
          <w:p>
            <w:pPr>
              <w:pStyle w:val="TableContents"/>
              <w:bidi w:val="0"/>
              <w:spacing w:before="0" w:after="0"/>
              <w:jc w:val="left"/>
              <w:rPr/>
            </w:pPr>
            <w:r>
              <w:rPr/>
              <w:t>Attorney</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[Signature Page to Registration Rights Agreement]</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Confirmed and accepted as of</w:t>
      </w:r>
    </w:p>
    <w:p>
      <w:pPr>
        <w:pStyle w:val="TextBody"/>
        <w:bidi w:val="0"/>
        <w:spacing w:before="0" w:after="0"/>
        <w:ind w:left="0" w:right="0" w:firstLine="180"/>
        <w:jc w:val="left"/>
        <w:rPr>
          <w:rFonts w:ascii="Times New Roman" w:hAnsi="Times New Roman"/>
          <w:color w:val="000000"/>
          <w:sz w:val="20"/>
        </w:rPr>
      </w:pPr>
      <w:r>
        <w:rPr>
          <w:rFonts w:ascii="Times New Roman" w:hAnsi="Times New Roman"/>
          <w:color w:val="000000"/>
          <w:sz w:val="20"/>
        </w:rPr>
        <w:t>the date first above written: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4" w:name="z55ba389a12b94a5db3348bafe36c2455"/>
      <w:bookmarkStart w:id="245" w:name="z55ba389a12b94a5db3348bafe36c2455"/>
      <w:bookmarkEnd w:id="245"/>
    </w:p>
    <w:tbl>
      <w:tblPr>
        <w:tblW w:w="2742" w:type="dxa"/>
        <w:jc w:val="left"/>
        <w:tblInd w:w="0" w:type="dxa"/>
        <w:tblLayout w:type="fixed"/>
        <w:tblCellMar>
          <w:top w:w="0" w:type="dxa"/>
          <w:left w:w="0" w:type="dxa"/>
          <w:bottom w:w="0" w:type="dxa"/>
          <w:right w:w="0" w:type="dxa"/>
        </w:tblCellMar>
      </w:tblPr>
      <w:tblGrid>
        <w:gridCol w:w="632"/>
        <w:gridCol w:w="2087"/>
        <w:gridCol w:w="23"/>
      </w:tblGrid>
      <w:tr>
        <w:trPr/>
        <w:tc>
          <w:tcPr>
            <w:tcW w:w="2719" w:type="dxa"/>
            <w:gridSpan w:val="2"/>
            <w:tcBorders/>
            <w:vAlign w:val="center"/>
          </w:tcPr>
          <w:p>
            <w:pPr>
              <w:pStyle w:val="TableContents"/>
              <w:bidi w:val="0"/>
              <w:spacing w:before="0" w:after="0"/>
              <w:jc w:val="left"/>
              <w:rPr/>
            </w:pPr>
            <w:r>
              <w:rPr/>
              <w:t>BOFA SECURITIES, INC.</w:t>
            </w:r>
          </w:p>
        </w:tc>
        <w:tc>
          <w:tcPr>
            <w:tcW w:w="23" w:type="dxa"/>
            <w:tcBorders/>
            <w:vAlign w:val="center"/>
          </w:tcPr>
          <w:p>
            <w:pPr>
              <w:pStyle w:val="TableContents"/>
              <w:bidi w:val="0"/>
              <w:spacing w:before="0" w:after="283"/>
              <w:jc w:val="left"/>
              <w:rPr/>
            </w:pPr>
            <w:r>
              <w:rPr/>
            </w:r>
          </w:p>
        </w:tc>
      </w:tr>
      <w:tr>
        <w:trPr/>
        <w:tc>
          <w:tcPr>
            <w:tcW w:w="2719" w:type="dxa"/>
            <w:gridSpan w:val="2"/>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pPr>
            <w:r>
              <w:rPr/>
            </w:r>
          </w:p>
        </w:tc>
      </w:tr>
      <w:tr>
        <w:trPr/>
        <w:tc>
          <w:tcPr>
            <w:tcW w:w="632" w:type="dxa"/>
            <w:tcBorders/>
            <w:vAlign w:val="center"/>
          </w:tcPr>
          <w:p>
            <w:pPr>
              <w:pStyle w:val="TableContents"/>
              <w:bidi w:val="0"/>
              <w:spacing w:before="0" w:after="0"/>
              <w:jc w:val="left"/>
              <w:rPr/>
            </w:pPr>
            <w:r>
              <w:rPr/>
              <w:t>By:</w:t>
            </w:r>
          </w:p>
        </w:tc>
        <w:tc>
          <w:tcPr>
            <w:tcW w:w="2087" w:type="dxa"/>
            <w:tcBorders>
              <w:bottom w:val="single" w:sz="12" w:space="0" w:color="000000"/>
            </w:tcBorders>
            <w:tcMar>
              <w:bottom w:w="28" w:type="dxa"/>
            </w:tcMar>
            <w:vAlign w:val="center"/>
          </w:tcPr>
          <w:p>
            <w:pPr>
              <w:pStyle w:val="TableContents"/>
              <w:bidi w:val="0"/>
              <w:spacing w:before="0" w:after="0"/>
              <w:jc w:val="left"/>
              <w:rPr/>
            </w:pPr>
            <w:r>
              <w:rPr/>
              <w:t>/s/ Jon Klein</w:t>
            </w:r>
          </w:p>
        </w:tc>
        <w:tc>
          <w:tcPr>
            <w:tcW w:w="23" w:type="dxa"/>
            <w:tcBorders/>
            <w:vAlign w:val="center"/>
          </w:tcPr>
          <w:p>
            <w:pPr>
              <w:pStyle w:val="TableContents"/>
              <w:bidi w:val="0"/>
              <w:spacing w:before="0" w:after="283"/>
              <w:jc w:val="left"/>
              <w:rPr/>
            </w:pPr>
            <w:r>
              <w:rPr/>
            </w:r>
          </w:p>
        </w:tc>
      </w:tr>
    </w:tbl>
    <w:p>
      <w:pPr>
        <w:pStyle w:val="Normal"/>
        <w:bidi w:val="0"/>
        <w:spacing w:before="0" w:after="0"/>
        <w:jc w:val="left"/>
        <w:rPr>
          <w:sz w:val="4"/>
          <w:szCs w:val="4"/>
        </w:rPr>
      </w:pPr>
      <w:r>
        <w:rPr>
          <w:sz w:val="4"/>
          <w:szCs w:val="4"/>
        </w:rPr>
      </w:r>
      <w:bookmarkStart w:id="246" w:name="z22be7e5d1ca74c8fbdd94f74dd21d9b9"/>
      <w:bookmarkStart w:id="247" w:name="z22be7e5d1ca74c8fbdd94f74dd21d9b9"/>
      <w:bookmarkEnd w:id="247"/>
    </w:p>
    <w:tbl>
      <w:tblPr>
        <w:tblW w:w="2421" w:type="dxa"/>
        <w:jc w:val="left"/>
        <w:tblInd w:w="0" w:type="dxa"/>
        <w:tblLayout w:type="fixed"/>
        <w:tblCellMar>
          <w:top w:w="0" w:type="dxa"/>
          <w:left w:w="0" w:type="dxa"/>
          <w:bottom w:w="0" w:type="dxa"/>
          <w:right w:w="0" w:type="dxa"/>
        </w:tblCellMar>
      </w:tblPr>
      <w:tblGrid>
        <w:gridCol w:w="23"/>
        <w:gridCol w:w="2375"/>
        <w:gridCol w:w="23"/>
      </w:tblGrid>
      <w:tr>
        <w:trPr/>
        <w:tc>
          <w:tcPr>
            <w:tcW w:w="23" w:type="dxa"/>
            <w:tcBorders/>
            <w:vAlign w:val="center"/>
          </w:tcPr>
          <w:p>
            <w:pPr>
              <w:pStyle w:val="TableContents"/>
              <w:bidi w:val="0"/>
              <w:spacing w:before="0" w:after="0"/>
              <w:jc w:val="left"/>
              <w:rPr/>
            </w:pPr>
            <w:r>
              <w:rPr/>
            </w:r>
          </w:p>
        </w:tc>
        <w:tc>
          <w:tcPr>
            <w:tcW w:w="2375" w:type="dxa"/>
            <w:tcBorders/>
            <w:vAlign w:val="center"/>
          </w:tcPr>
          <w:p>
            <w:pPr>
              <w:pStyle w:val="TableContents"/>
              <w:bidi w:val="0"/>
              <w:spacing w:before="0" w:after="0"/>
              <w:jc w:val="left"/>
              <w:rPr/>
            </w:pPr>
            <w:r>
              <w:rPr/>
              <w:t>Name: Jon Klein</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375" w:type="dxa"/>
            <w:tcBorders/>
            <w:vAlign w:val="center"/>
          </w:tcPr>
          <w:p>
            <w:pPr>
              <w:pStyle w:val="TableContents"/>
              <w:bidi w:val="0"/>
              <w:spacing w:before="0" w:after="0"/>
              <w:jc w:val="left"/>
              <w:rPr/>
            </w:pPr>
            <w:r>
              <w:rPr/>
              <w:t>Title: Managing Director</w:t>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itself and as a Representative of the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other Initial Purchasers named in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Schedule A hereto.</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[Signature Page to Registration Rights Agreement]</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Confirmed and accepted as of</w:t>
      </w:r>
    </w:p>
    <w:p>
      <w:pPr>
        <w:pStyle w:val="TextBody"/>
        <w:bidi w:val="0"/>
        <w:spacing w:before="0" w:after="0"/>
        <w:ind w:left="0" w:right="0" w:firstLine="180"/>
        <w:jc w:val="left"/>
        <w:rPr>
          <w:rFonts w:ascii="Times New Roman" w:hAnsi="Times New Roman"/>
          <w:color w:val="000000"/>
          <w:sz w:val="20"/>
        </w:rPr>
      </w:pPr>
      <w:r>
        <w:rPr>
          <w:rFonts w:ascii="Times New Roman" w:hAnsi="Times New Roman"/>
          <w:color w:val="000000"/>
          <w:sz w:val="20"/>
        </w:rPr>
        <w:t>the date first above written: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8" w:name="z524faaae999742a2a615fe3e1f27db85"/>
      <w:bookmarkStart w:id="249" w:name="z524faaae999742a2a615fe3e1f27db85"/>
      <w:bookmarkEnd w:id="249"/>
    </w:p>
    <w:tbl>
      <w:tblPr>
        <w:tblW w:w="4212" w:type="dxa"/>
        <w:jc w:val="left"/>
        <w:tblInd w:w="0" w:type="dxa"/>
        <w:tblLayout w:type="fixed"/>
        <w:tblCellMar>
          <w:top w:w="0" w:type="dxa"/>
          <w:left w:w="0" w:type="dxa"/>
          <w:bottom w:w="0" w:type="dxa"/>
          <w:right w:w="0" w:type="dxa"/>
        </w:tblCellMar>
      </w:tblPr>
      <w:tblGrid>
        <w:gridCol w:w="662"/>
        <w:gridCol w:w="3512"/>
        <w:gridCol w:w="38"/>
      </w:tblGrid>
      <w:tr>
        <w:trPr/>
        <w:tc>
          <w:tcPr>
            <w:tcW w:w="4174" w:type="dxa"/>
            <w:gridSpan w:val="2"/>
            <w:tcBorders/>
            <w:vAlign w:val="center"/>
          </w:tcPr>
          <w:p>
            <w:pPr>
              <w:pStyle w:val="TableContents"/>
              <w:bidi w:val="0"/>
              <w:spacing w:before="0" w:after="0"/>
              <w:jc w:val="left"/>
              <w:rPr/>
            </w:pPr>
            <w:r>
              <w:rPr/>
              <w:t>CITIGROUP GLOBAL MARKETS INC.</w:t>
            </w:r>
          </w:p>
        </w:tc>
        <w:tc>
          <w:tcPr>
            <w:tcW w:w="38" w:type="dxa"/>
            <w:tcBorders/>
            <w:vAlign w:val="center"/>
          </w:tcPr>
          <w:p>
            <w:pPr>
              <w:pStyle w:val="TableContents"/>
              <w:bidi w:val="0"/>
              <w:spacing w:before="0" w:after="283"/>
              <w:jc w:val="left"/>
              <w:rPr/>
            </w:pPr>
            <w:r>
              <w:rPr/>
            </w:r>
          </w:p>
        </w:tc>
      </w:tr>
      <w:tr>
        <w:trPr/>
        <w:tc>
          <w:tcPr>
            <w:tcW w:w="4174" w:type="dxa"/>
            <w:gridSpan w:val="2"/>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pPr>
            <w:r>
              <w:rPr/>
            </w:r>
          </w:p>
        </w:tc>
      </w:tr>
      <w:tr>
        <w:trPr/>
        <w:tc>
          <w:tcPr>
            <w:tcW w:w="662" w:type="dxa"/>
            <w:tcBorders/>
            <w:vAlign w:val="center"/>
          </w:tcPr>
          <w:p>
            <w:pPr>
              <w:pStyle w:val="TableContents"/>
              <w:bidi w:val="0"/>
              <w:spacing w:before="0" w:after="0"/>
              <w:jc w:val="left"/>
              <w:rPr/>
            </w:pPr>
            <w:r>
              <w:rPr/>
              <w:t>By:</w:t>
            </w:r>
          </w:p>
        </w:tc>
        <w:tc>
          <w:tcPr>
            <w:tcW w:w="3512" w:type="dxa"/>
            <w:tcBorders>
              <w:bottom w:val="single" w:sz="12" w:space="0" w:color="000000"/>
            </w:tcBorders>
            <w:tcMar>
              <w:bottom w:w="28" w:type="dxa"/>
            </w:tcMar>
            <w:vAlign w:val="center"/>
          </w:tcPr>
          <w:p>
            <w:pPr>
              <w:pStyle w:val="TableContents"/>
              <w:bidi w:val="0"/>
              <w:spacing w:before="0" w:after="0"/>
              <w:jc w:val="left"/>
              <w:rPr/>
            </w:pPr>
            <w:r>
              <w:rPr/>
              <w:t>/s/ Adam D. Bordner</w:t>
            </w:r>
          </w:p>
        </w:tc>
        <w:tc>
          <w:tcPr>
            <w:tcW w:w="38" w:type="dxa"/>
            <w:tcBorders/>
            <w:vAlign w:val="center"/>
          </w:tcPr>
          <w:p>
            <w:pPr>
              <w:pStyle w:val="TableContents"/>
              <w:bidi w:val="0"/>
              <w:spacing w:before="0" w:after="283"/>
              <w:jc w:val="left"/>
              <w:rPr/>
            </w:pPr>
            <w:r>
              <w:rPr/>
            </w:r>
          </w:p>
        </w:tc>
      </w:tr>
    </w:tbl>
    <w:p>
      <w:pPr>
        <w:pStyle w:val="Normal"/>
        <w:bidi w:val="0"/>
        <w:spacing w:before="0" w:after="0"/>
        <w:jc w:val="left"/>
        <w:rPr>
          <w:sz w:val="4"/>
          <w:szCs w:val="4"/>
        </w:rPr>
      </w:pPr>
      <w:r>
        <w:rPr>
          <w:sz w:val="4"/>
          <w:szCs w:val="4"/>
        </w:rPr>
      </w:r>
      <w:bookmarkStart w:id="250" w:name="zebcf2040dfd54016b99a4b3d64c82c42"/>
      <w:bookmarkStart w:id="251" w:name="zebcf2040dfd54016b99a4b3d64c82c42"/>
      <w:bookmarkEnd w:id="251"/>
    </w:p>
    <w:tbl>
      <w:tblPr>
        <w:tblW w:w="2481" w:type="dxa"/>
        <w:jc w:val="left"/>
        <w:tblInd w:w="0" w:type="dxa"/>
        <w:tblLayout w:type="fixed"/>
        <w:tblCellMar>
          <w:top w:w="0" w:type="dxa"/>
          <w:left w:w="0" w:type="dxa"/>
          <w:bottom w:w="0" w:type="dxa"/>
          <w:right w:w="0" w:type="dxa"/>
        </w:tblCellMar>
      </w:tblPr>
      <w:tblGrid>
        <w:gridCol w:w="23"/>
        <w:gridCol w:w="2435"/>
        <w:gridCol w:w="23"/>
      </w:tblGrid>
      <w:tr>
        <w:trPr/>
        <w:tc>
          <w:tcPr>
            <w:tcW w:w="23" w:type="dxa"/>
            <w:tcBorders/>
            <w:vAlign w:val="center"/>
          </w:tcPr>
          <w:p>
            <w:pPr>
              <w:pStyle w:val="TableContents"/>
              <w:bidi w:val="0"/>
              <w:spacing w:before="0" w:after="0"/>
              <w:jc w:val="left"/>
              <w:rPr/>
            </w:pPr>
            <w:r>
              <w:rPr/>
            </w:r>
          </w:p>
        </w:tc>
        <w:tc>
          <w:tcPr>
            <w:tcW w:w="2435" w:type="dxa"/>
            <w:tcBorders/>
            <w:vAlign w:val="center"/>
          </w:tcPr>
          <w:p>
            <w:pPr>
              <w:pStyle w:val="TableContents"/>
              <w:bidi w:val="0"/>
              <w:spacing w:before="0" w:after="0"/>
              <w:jc w:val="left"/>
              <w:rPr/>
            </w:pPr>
            <w:r>
              <w:rPr/>
              <w:t>Name: Adam D. Bordner</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0"/>
              <w:jc w:val="left"/>
              <w:rPr/>
            </w:pPr>
            <w:r>
              <w:rPr/>
            </w:r>
          </w:p>
        </w:tc>
        <w:tc>
          <w:tcPr>
            <w:tcW w:w="2435" w:type="dxa"/>
            <w:tcBorders/>
            <w:vAlign w:val="center"/>
          </w:tcPr>
          <w:p>
            <w:pPr>
              <w:pStyle w:val="TableContents"/>
              <w:bidi w:val="0"/>
              <w:spacing w:before="0" w:after="0"/>
              <w:jc w:val="left"/>
              <w:rPr/>
            </w:pPr>
            <w:r>
              <w:rPr/>
              <w:t>Title: Managing Director</w:t>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itself and as a Representative of the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other Initial Purchasers named in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Schedule A hereto.</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[Signature Page to Registration Rights Agreement]</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Confirmed and accepted as of</w:t>
      </w:r>
    </w:p>
    <w:p>
      <w:pPr>
        <w:pStyle w:val="TextBody"/>
        <w:bidi w:val="0"/>
        <w:spacing w:before="0" w:after="0"/>
        <w:ind w:left="0" w:right="0" w:firstLine="180"/>
        <w:jc w:val="left"/>
        <w:rPr>
          <w:rFonts w:ascii="Times New Roman" w:hAnsi="Times New Roman"/>
          <w:color w:val="000000"/>
          <w:sz w:val="20"/>
        </w:rPr>
      </w:pPr>
      <w:r>
        <w:rPr>
          <w:rFonts w:ascii="Times New Roman" w:hAnsi="Times New Roman"/>
          <w:color w:val="000000"/>
          <w:sz w:val="20"/>
        </w:rPr>
        <w:t>the date first above written: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52" w:name="z8e7612b018204fa68a970463f2a416d0"/>
      <w:bookmarkStart w:id="253" w:name="z8e7612b018204fa68a970463f2a416d0"/>
      <w:bookmarkEnd w:id="253"/>
    </w:p>
    <w:tbl>
      <w:tblPr>
        <w:tblW w:w="3402" w:type="dxa"/>
        <w:jc w:val="left"/>
        <w:tblInd w:w="0" w:type="dxa"/>
        <w:tblLayout w:type="fixed"/>
        <w:tblCellMar>
          <w:top w:w="0" w:type="dxa"/>
          <w:left w:w="0" w:type="dxa"/>
          <w:bottom w:w="0" w:type="dxa"/>
          <w:right w:w="0" w:type="dxa"/>
        </w:tblCellMar>
      </w:tblPr>
      <w:tblGrid>
        <w:gridCol w:w="593"/>
        <w:gridCol w:w="2771"/>
        <w:gridCol w:w="38"/>
      </w:tblGrid>
      <w:tr>
        <w:trPr/>
        <w:tc>
          <w:tcPr>
            <w:tcW w:w="3364" w:type="dxa"/>
            <w:gridSpan w:val="2"/>
            <w:tcBorders/>
            <w:vAlign w:val="center"/>
          </w:tcPr>
          <w:p>
            <w:pPr>
              <w:pStyle w:val="TableContents"/>
              <w:bidi w:val="0"/>
              <w:spacing w:before="0" w:after="0"/>
              <w:jc w:val="left"/>
              <w:rPr/>
            </w:pPr>
            <w:r>
              <w:rPr/>
              <w:t>HSBC SECURITIES (USA) INC.</w:t>
            </w:r>
          </w:p>
        </w:tc>
        <w:tc>
          <w:tcPr>
            <w:tcW w:w="38" w:type="dxa"/>
            <w:tcBorders/>
            <w:vAlign w:val="center"/>
          </w:tcPr>
          <w:p>
            <w:pPr>
              <w:pStyle w:val="TableContents"/>
              <w:bidi w:val="0"/>
              <w:spacing w:before="0" w:after="283"/>
              <w:jc w:val="left"/>
              <w:rPr/>
            </w:pPr>
            <w:r>
              <w:rPr/>
            </w:r>
          </w:p>
        </w:tc>
      </w:tr>
      <w:tr>
        <w:trPr/>
        <w:tc>
          <w:tcPr>
            <w:tcW w:w="3364" w:type="dxa"/>
            <w:gridSpan w:val="2"/>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pPr>
            <w:r>
              <w:rPr/>
            </w:r>
          </w:p>
        </w:tc>
      </w:tr>
      <w:tr>
        <w:trPr/>
        <w:tc>
          <w:tcPr>
            <w:tcW w:w="593" w:type="dxa"/>
            <w:tcBorders/>
            <w:vAlign w:val="center"/>
          </w:tcPr>
          <w:p>
            <w:pPr>
              <w:pStyle w:val="TableContents"/>
              <w:bidi w:val="0"/>
              <w:spacing w:before="0" w:after="0"/>
              <w:jc w:val="left"/>
              <w:rPr/>
            </w:pPr>
            <w:r>
              <w:rPr/>
              <w:t>By:</w:t>
            </w:r>
          </w:p>
        </w:tc>
        <w:tc>
          <w:tcPr>
            <w:tcW w:w="2771" w:type="dxa"/>
            <w:tcBorders>
              <w:bottom w:val="single" w:sz="12" w:space="0" w:color="000000"/>
            </w:tcBorders>
            <w:tcMar>
              <w:bottom w:w="28" w:type="dxa"/>
            </w:tcMar>
            <w:vAlign w:val="center"/>
          </w:tcPr>
          <w:p>
            <w:pPr>
              <w:pStyle w:val="TableContents"/>
              <w:bidi w:val="0"/>
              <w:spacing w:before="0" w:after="0"/>
              <w:jc w:val="left"/>
              <w:rPr/>
            </w:pPr>
            <w:r>
              <w:rPr/>
              <w:t>/s/ Patrice Altongy</w:t>
            </w:r>
          </w:p>
        </w:tc>
        <w:tc>
          <w:tcPr>
            <w:tcW w:w="38" w:type="dxa"/>
            <w:tcBorders/>
            <w:vAlign w:val="center"/>
          </w:tcPr>
          <w:p>
            <w:pPr>
              <w:pStyle w:val="TableContents"/>
              <w:bidi w:val="0"/>
              <w:spacing w:before="0" w:after="283"/>
              <w:jc w:val="left"/>
              <w:rPr/>
            </w:pPr>
            <w:r>
              <w:rPr/>
            </w:r>
          </w:p>
        </w:tc>
      </w:tr>
    </w:tbl>
    <w:p>
      <w:pPr>
        <w:pStyle w:val="Normal"/>
        <w:bidi w:val="0"/>
        <w:spacing w:before="0" w:after="0"/>
        <w:jc w:val="left"/>
        <w:rPr>
          <w:sz w:val="4"/>
          <w:szCs w:val="4"/>
        </w:rPr>
      </w:pPr>
      <w:r>
        <w:rPr>
          <w:sz w:val="4"/>
          <w:szCs w:val="4"/>
        </w:rPr>
      </w:r>
      <w:bookmarkStart w:id="254" w:name="zc75adc07aca140339eaf2ab733d27e8b"/>
      <w:bookmarkStart w:id="255" w:name="zc75adc07aca140339eaf2ab733d27e8b"/>
      <w:bookmarkEnd w:id="255"/>
    </w:p>
    <w:tbl>
      <w:tblPr>
        <w:tblW w:w="2451" w:type="dxa"/>
        <w:jc w:val="left"/>
        <w:tblInd w:w="0" w:type="dxa"/>
        <w:tblLayout w:type="fixed"/>
        <w:tblCellMar>
          <w:top w:w="0" w:type="dxa"/>
          <w:left w:w="0" w:type="dxa"/>
          <w:bottom w:w="0" w:type="dxa"/>
          <w:right w:w="0" w:type="dxa"/>
        </w:tblCellMar>
      </w:tblPr>
      <w:tblGrid>
        <w:gridCol w:w="38"/>
        <w:gridCol w:w="2375"/>
        <w:gridCol w:w="38"/>
      </w:tblGrid>
      <w:tr>
        <w:trPr/>
        <w:tc>
          <w:tcPr>
            <w:tcW w:w="38" w:type="dxa"/>
            <w:tcBorders/>
            <w:vAlign w:val="center"/>
          </w:tcPr>
          <w:p>
            <w:pPr>
              <w:pStyle w:val="TableContents"/>
              <w:bidi w:val="0"/>
              <w:spacing w:before="0" w:after="283"/>
              <w:jc w:val="left"/>
              <w:rPr/>
            </w:pPr>
            <w:r>
              <w:rPr/>
            </w:r>
          </w:p>
        </w:tc>
        <w:tc>
          <w:tcPr>
            <w:tcW w:w="2375" w:type="dxa"/>
            <w:tcBorders/>
            <w:vAlign w:val="center"/>
          </w:tcPr>
          <w:p>
            <w:pPr>
              <w:pStyle w:val="TableContents"/>
              <w:bidi w:val="0"/>
              <w:spacing w:before="0" w:after="0"/>
              <w:jc w:val="left"/>
              <w:rPr/>
            </w:pPr>
            <w:r>
              <w:rPr/>
              <w:t>Name: Patrice Altongy</w:t>
            </w:r>
          </w:p>
        </w:tc>
        <w:tc>
          <w:tcPr>
            <w:tcW w:w="38" w:type="dxa"/>
            <w:tcBorders/>
            <w:vAlign w:val="center"/>
          </w:tcPr>
          <w:p>
            <w:pPr>
              <w:pStyle w:val="TableContents"/>
              <w:bidi w:val="0"/>
              <w:spacing w:before="0" w:after="283"/>
              <w:jc w:val="left"/>
              <w:rPr/>
            </w:pPr>
            <w:r>
              <w:rPr/>
            </w:r>
          </w:p>
        </w:tc>
      </w:tr>
      <w:tr>
        <w:trPr/>
        <w:tc>
          <w:tcPr>
            <w:tcW w:w="38" w:type="dxa"/>
            <w:tcBorders/>
            <w:vAlign w:val="center"/>
          </w:tcPr>
          <w:p>
            <w:pPr>
              <w:pStyle w:val="TableContents"/>
              <w:bidi w:val="0"/>
              <w:spacing w:before="0" w:after="283"/>
              <w:jc w:val="left"/>
              <w:rPr/>
            </w:pPr>
            <w:r>
              <w:rPr/>
            </w:r>
          </w:p>
        </w:tc>
        <w:tc>
          <w:tcPr>
            <w:tcW w:w="2375" w:type="dxa"/>
            <w:tcBorders/>
            <w:vAlign w:val="center"/>
          </w:tcPr>
          <w:p>
            <w:pPr>
              <w:pStyle w:val="TableContents"/>
              <w:bidi w:val="0"/>
              <w:spacing w:before="0" w:after="0"/>
              <w:jc w:val="left"/>
              <w:rPr/>
            </w:pPr>
            <w:r>
              <w:rPr/>
              <w:t>Title: Managing Director</w:t>
            </w:r>
          </w:p>
        </w:tc>
        <w:tc>
          <w:tcPr>
            <w:tcW w:w="38" w:type="dxa"/>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itself and as a Representative of the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other Initial Purchasers named in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Schedule A hereto.</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[Signature Page to Registration Rights Agreement]</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Confirmed and accepted as of</w:t>
      </w:r>
    </w:p>
    <w:p>
      <w:pPr>
        <w:pStyle w:val="TextBody"/>
        <w:bidi w:val="0"/>
        <w:spacing w:before="0" w:after="0"/>
        <w:ind w:left="0" w:right="0" w:firstLine="180"/>
        <w:jc w:val="left"/>
        <w:rPr>
          <w:rFonts w:ascii="Times New Roman" w:hAnsi="Times New Roman"/>
          <w:color w:val="000000"/>
          <w:sz w:val="20"/>
        </w:rPr>
      </w:pPr>
      <w:r>
        <w:rPr>
          <w:rFonts w:ascii="Times New Roman" w:hAnsi="Times New Roman"/>
          <w:color w:val="000000"/>
          <w:sz w:val="20"/>
        </w:rPr>
        <w:t>the date first above written: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56" w:name="zdcfce7a4e0d24debae6f01e86cc887ff"/>
      <w:bookmarkStart w:id="257" w:name="zdcfce7a4e0d24debae6f01e86cc887ff"/>
      <w:bookmarkEnd w:id="257"/>
    </w:p>
    <w:tbl>
      <w:tblPr>
        <w:tblW w:w="3537" w:type="dxa"/>
        <w:jc w:val="left"/>
        <w:tblInd w:w="0" w:type="dxa"/>
        <w:tblLayout w:type="fixed"/>
        <w:tblCellMar>
          <w:top w:w="0" w:type="dxa"/>
          <w:left w:w="0" w:type="dxa"/>
          <w:bottom w:w="0" w:type="dxa"/>
          <w:right w:w="0" w:type="dxa"/>
        </w:tblCellMar>
      </w:tblPr>
      <w:tblGrid>
        <w:gridCol w:w="525"/>
        <w:gridCol w:w="2974"/>
        <w:gridCol w:w="38"/>
      </w:tblGrid>
      <w:tr>
        <w:trPr/>
        <w:tc>
          <w:tcPr>
            <w:tcW w:w="3499" w:type="dxa"/>
            <w:gridSpan w:val="2"/>
            <w:tcBorders/>
            <w:vAlign w:val="center"/>
          </w:tcPr>
          <w:p>
            <w:pPr>
              <w:pStyle w:val="TableContents"/>
              <w:bidi w:val="0"/>
              <w:spacing w:before="0" w:after="0"/>
              <w:jc w:val="left"/>
              <w:rPr/>
            </w:pPr>
            <w:r>
              <w:rPr/>
              <w:t>J.P. MORGAN SECURITIES LLC</w:t>
            </w:r>
          </w:p>
        </w:tc>
        <w:tc>
          <w:tcPr>
            <w:tcW w:w="38" w:type="dxa"/>
            <w:tcBorders/>
            <w:vAlign w:val="center"/>
          </w:tcPr>
          <w:p>
            <w:pPr>
              <w:pStyle w:val="TableContents"/>
              <w:bidi w:val="0"/>
              <w:spacing w:before="0" w:after="283"/>
              <w:jc w:val="left"/>
              <w:rPr/>
            </w:pPr>
            <w:r>
              <w:rPr/>
            </w:r>
          </w:p>
        </w:tc>
      </w:tr>
      <w:tr>
        <w:trPr/>
        <w:tc>
          <w:tcPr>
            <w:tcW w:w="3499" w:type="dxa"/>
            <w:gridSpan w:val="2"/>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pPr>
            <w:r>
              <w:rPr/>
            </w:r>
          </w:p>
        </w:tc>
      </w:tr>
      <w:tr>
        <w:trPr/>
        <w:tc>
          <w:tcPr>
            <w:tcW w:w="525" w:type="dxa"/>
            <w:tcBorders/>
            <w:vAlign w:val="center"/>
          </w:tcPr>
          <w:p>
            <w:pPr>
              <w:pStyle w:val="TableContents"/>
              <w:bidi w:val="0"/>
              <w:spacing w:before="0" w:after="0"/>
              <w:jc w:val="left"/>
              <w:rPr/>
            </w:pPr>
            <w:r>
              <w:rPr/>
              <w:t>By:</w:t>
            </w:r>
          </w:p>
        </w:tc>
        <w:tc>
          <w:tcPr>
            <w:tcW w:w="2974" w:type="dxa"/>
            <w:tcBorders>
              <w:bottom w:val="single" w:sz="12" w:space="0" w:color="000000"/>
            </w:tcBorders>
            <w:tcMar>
              <w:bottom w:w="28" w:type="dxa"/>
            </w:tcMar>
            <w:vAlign w:val="center"/>
          </w:tcPr>
          <w:p>
            <w:pPr>
              <w:pStyle w:val="TableContents"/>
              <w:bidi w:val="0"/>
              <w:spacing w:before="0" w:after="0"/>
              <w:jc w:val="left"/>
              <w:rPr/>
            </w:pPr>
            <w:r>
              <w:rPr/>
              <w:t>/s/ Som Bhattacharyya</w:t>
            </w:r>
          </w:p>
        </w:tc>
        <w:tc>
          <w:tcPr>
            <w:tcW w:w="38" w:type="dxa"/>
            <w:tcBorders/>
            <w:vAlign w:val="center"/>
          </w:tcPr>
          <w:p>
            <w:pPr>
              <w:pStyle w:val="TableContents"/>
              <w:bidi w:val="0"/>
              <w:spacing w:before="0" w:after="283"/>
              <w:jc w:val="left"/>
              <w:rPr/>
            </w:pPr>
            <w:r>
              <w:rPr/>
            </w:r>
          </w:p>
        </w:tc>
      </w:tr>
    </w:tbl>
    <w:p>
      <w:pPr>
        <w:pStyle w:val="Normal"/>
        <w:bidi w:val="0"/>
        <w:spacing w:before="0" w:after="0"/>
        <w:jc w:val="left"/>
        <w:rPr>
          <w:sz w:val="4"/>
          <w:szCs w:val="4"/>
        </w:rPr>
      </w:pPr>
      <w:r>
        <w:rPr>
          <w:sz w:val="4"/>
          <w:szCs w:val="4"/>
        </w:rPr>
      </w:r>
      <w:bookmarkStart w:id="258" w:name="zcb0d149cc4c14d78adad1b09e2ac7ba6"/>
      <w:bookmarkStart w:id="259" w:name="zcb0d149cc4c14d78adad1b09e2ac7ba6"/>
      <w:bookmarkEnd w:id="259"/>
    </w:p>
    <w:tbl>
      <w:tblPr>
        <w:tblW w:w="2646" w:type="dxa"/>
        <w:jc w:val="left"/>
        <w:tblInd w:w="0" w:type="dxa"/>
        <w:tblLayout w:type="fixed"/>
        <w:tblCellMar>
          <w:top w:w="0" w:type="dxa"/>
          <w:left w:w="0" w:type="dxa"/>
          <w:bottom w:w="0" w:type="dxa"/>
          <w:right w:w="0" w:type="dxa"/>
        </w:tblCellMar>
      </w:tblPr>
      <w:tblGrid>
        <w:gridCol w:w="38"/>
        <w:gridCol w:w="2570"/>
        <w:gridCol w:w="38"/>
      </w:tblGrid>
      <w:tr>
        <w:trPr/>
        <w:tc>
          <w:tcPr>
            <w:tcW w:w="38" w:type="dxa"/>
            <w:tcBorders/>
            <w:vAlign w:val="center"/>
          </w:tcPr>
          <w:p>
            <w:pPr>
              <w:pStyle w:val="TableContents"/>
              <w:bidi w:val="0"/>
              <w:spacing w:before="0" w:after="0"/>
              <w:jc w:val="left"/>
              <w:rPr/>
            </w:pPr>
            <w:r>
              <w:rPr/>
            </w:r>
          </w:p>
        </w:tc>
        <w:tc>
          <w:tcPr>
            <w:tcW w:w="2570" w:type="dxa"/>
            <w:tcBorders/>
            <w:vAlign w:val="center"/>
          </w:tcPr>
          <w:p>
            <w:pPr>
              <w:pStyle w:val="TableContents"/>
              <w:bidi w:val="0"/>
              <w:spacing w:before="0" w:after="0"/>
              <w:jc w:val="left"/>
              <w:rPr/>
            </w:pPr>
            <w:r>
              <w:rPr/>
              <w:t>Name: Som Bhattacharyya</w:t>
            </w:r>
          </w:p>
        </w:tc>
        <w:tc>
          <w:tcPr>
            <w:tcW w:w="38" w:type="dxa"/>
            <w:tcBorders/>
            <w:vAlign w:val="center"/>
          </w:tcPr>
          <w:p>
            <w:pPr>
              <w:pStyle w:val="TableContents"/>
              <w:bidi w:val="0"/>
              <w:spacing w:before="0" w:after="283"/>
              <w:jc w:val="left"/>
              <w:rPr/>
            </w:pPr>
            <w:r>
              <w:rPr/>
            </w:r>
          </w:p>
        </w:tc>
      </w:tr>
      <w:tr>
        <w:trPr/>
        <w:tc>
          <w:tcPr>
            <w:tcW w:w="38" w:type="dxa"/>
            <w:tcBorders/>
            <w:vAlign w:val="center"/>
          </w:tcPr>
          <w:p>
            <w:pPr>
              <w:pStyle w:val="TableContents"/>
              <w:bidi w:val="0"/>
              <w:spacing w:before="0" w:after="0"/>
              <w:jc w:val="left"/>
              <w:rPr/>
            </w:pPr>
            <w:r>
              <w:rPr/>
            </w:r>
          </w:p>
        </w:tc>
        <w:tc>
          <w:tcPr>
            <w:tcW w:w="2570" w:type="dxa"/>
            <w:tcBorders/>
            <w:vAlign w:val="center"/>
          </w:tcPr>
          <w:p>
            <w:pPr>
              <w:pStyle w:val="TableContents"/>
              <w:bidi w:val="0"/>
              <w:spacing w:before="0" w:after="0"/>
              <w:jc w:val="left"/>
              <w:rPr/>
            </w:pPr>
            <w:r>
              <w:rPr/>
              <w:t>Title: Executive Director</w:t>
            </w:r>
          </w:p>
        </w:tc>
        <w:tc>
          <w:tcPr>
            <w:tcW w:w="38" w:type="dxa"/>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itself and as a Representative of the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other Initial Purchasers named in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Schedule A hereto.</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[Signature Page to Registration Rights Agreement]</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Confirmed and accepted as of</w:t>
      </w:r>
    </w:p>
    <w:p>
      <w:pPr>
        <w:pStyle w:val="TextBody"/>
        <w:bidi w:val="0"/>
        <w:spacing w:before="0" w:after="0"/>
        <w:ind w:left="0" w:right="0" w:firstLine="180"/>
        <w:jc w:val="left"/>
        <w:rPr>
          <w:rFonts w:ascii="Times New Roman" w:hAnsi="Times New Roman"/>
          <w:color w:val="000000"/>
          <w:sz w:val="20"/>
        </w:rPr>
      </w:pPr>
      <w:r>
        <w:rPr>
          <w:rFonts w:ascii="Times New Roman" w:hAnsi="Times New Roman"/>
          <w:color w:val="000000"/>
          <w:sz w:val="20"/>
        </w:rPr>
        <w:t>the date first above written: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0" w:name="zb5752b74bd6c42bbbbe42ee05a65516e"/>
      <w:bookmarkStart w:id="261" w:name="zb5752b74bd6c42bbbbe42ee05a65516e"/>
      <w:bookmarkEnd w:id="261"/>
    </w:p>
    <w:tbl>
      <w:tblPr>
        <w:tblW w:w="3582" w:type="dxa"/>
        <w:jc w:val="left"/>
        <w:tblInd w:w="0" w:type="dxa"/>
        <w:tblLayout w:type="fixed"/>
        <w:tblCellMar>
          <w:top w:w="0" w:type="dxa"/>
          <w:left w:w="0" w:type="dxa"/>
          <w:bottom w:w="0" w:type="dxa"/>
          <w:right w:w="0" w:type="dxa"/>
        </w:tblCellMar>
      </w:tblPr>
      <w:tblGrid>
        <w:gridCol w:w="573"/>
        <w:gridCol w:w="2971"/>
        <w:gridCol w:w="38"/>
      </w:tblGrid>
      <w:tr>
        <w:trPr/>
        <w:tc>
          <w:tcPr>
            <w:tcW w:w="3544" w:type="dxa"/>
            <w:gridSpan w:val="2"/>
            <w:tcBorders/>
            <w:vAlign w:val="center"/>
          </w:tcPr>
          <w:p>
            <w:pPr>
              <w:pStyle w:val="TableContents"/>
              <w:bidi w:val="0"/>
              <w:spacing w:before="0" w:after="0"/>
              <w:jc w:val="left"/>
              <w:rPr/>
            </w:pPr>
            <w:r>
              <w:rPr/>
              <w:t>MORGAN STANLEY &amp; CO. LLC</w:t>
            </w:r>
          </w:p>
        </w:tc>
        <w:tc>
          <w:tcPr>
            <w:tcW w:w="38" w:type="dxa"/>
            <w:tcBorders/>
            <w:vAlign w:val="center"/>
          </w:tcPr>
          <w:p>
            <w:pPr>
              <w:pStyle w:val="TableContents"/>
              <w:bidi w:val="0"/>
              <w:spacing w:before="0" w:after="283"/>
              <w:jc w:val="left"/>
              <w:rPr/>
            </w:pPr>
            <w:r>
              <w:rPr/>
            </w:r>
          </w:p>
        </w:tc>
      </w:tr>
      <w:tr>
        <w:trPr/>
        <w:tc>
          <w:tcPr>
            <w:tcW w:w="3544" w:type="dxa"/>
            <w:gridSpan w:val="2"/>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pPr>
            <w:r>
              <w:rPr/>
            </w:r>
          </w:p>
        </w:tc>
      </w:tr>
      <w:tr>
        <w:trPr/>
        <w:tc>
          <w:tcPr>
            <w:tcW w:w="573" w:type="dxa"/>
            <w:tcBorders/>
            <w:vAlign w:val="center"/>
          </w:tcPr>
          <w:p>
            <w:pPr>
              <w:pStyle w:val="TableContents"/>
              <w:bidi w:val="0"/>
              <w:spacing w:before="0" w:after="0"/>
              <w:jc w:val="left"/>
              <w:rPr/>
            </w:pPr>
            <w:r>
              <w:rPr/>
              <w:t>By:</w:t>
            </w:r>
          </w:p>
        </w:tc>
        <w:tc>
          <w:tcPr>
            <w:tcW w:w="2971" w:type="dxa"/>
            <w:tcBorders>
              <w:bottom w:val="single" w:sz="12" w:space="0" w:color="000000"/>
            </w:tcBorders>
            <w:tcMar>
              <w:bottom w:w="28" w:type="dxa"/>
            </w:tcMar>
            <w:vAlign w:val="center"/>
          </w:tcPr>
          <w:p>
            <w:pPr>
              <w:pStyle w:val="TableContents"/>
              <w:bidi w:val="0"/>
              <w:spacing w:before="0" w:after="0"/>
              <w:jc w:val="left"/>
              <w:rPr/>
            </w:pPr>
            <w:r>
              <w:rPr/>
              <w:t>/s/ Edward Hodgson</w:t>
            </w:r>
          </w:p>
        </w:tc>
        <w:tc>
          <w:tcPr>
            <w:tcW w:w="38" w:type="dxa"/>
            <w:tcBorders/>
            <w:vAlign w:val="center"/>
          </w:tcPr>
          <w:p>
            <w:pPr>
              <w:pStyle w:val="TableContents"/>
              <w:bidi w:val="0"/>
              <w:spacing w:before="0" w:after="283"/>
              <w:jc w:val="left"/>
              <w:rPr/>
            </w:pPr>
            <w:r>
              <w:rPr/>
            </w:r>
          </w:p>
        </w:tc>
      </w:tr>
    </w:tbl>
    <w:p>
      <w:pPr>
        <w:pStyle w:val="Normal"/>
        <w:bidi w:val="0"/>
        <w:spacing w:before="0" w:after="0"/>
        <w:jc w:val="left"/>
        <w:rPr>
          <w:sz w:val="4"/>
          <w:szCs w:val="4"/>
        </w:rPr>
      </w:pPr>
      <w:r>
        <w:rPr>
          <w:sz w:val="4"/>
          <w:szCs w:val="4"/>
        </w:rPr>
      </w:r>
      <w:bookmarkStart w:id="262" w:name="z432f732924874bf5b2683f77339a348e"/>
      <w:bookmarkStart w:id="263" w:name="z432f732924874bf5b2683f77339a348e"/>
      <w:bookmarkEnd w:id="263"/>
    </w:p>
    <w:tbl>
      <w:tblPr>
        <w:tblW w:w="2466" w:type="dxa"/>
        <w:jc w:val="left"/>
        <w:tblInd w:w="0" w:type="dxa"/>
        <w:tblLayout w:type="fixed"/>
        <w:tblCellMar>
          <w:top w:w="0" w:type="dxa"/>
          <w:left w:w="0" w:type="dxa"/>
          <w:bottom w:w="0" w:type="dxa"/>
          <w:right w:w="0" w:type="dxa"/>
        </w:tblCellMar>
      </w:tblPr>
      <w:tblGrid>
        <w:gridCol w:w="38"/>
        <w:gridCol w:w="2390"/>
        <w:gridCol w:w="38"/>
      </w:tblGrid>
      <w:tr>
        <w:trPr/>
        <w:tc>
          <w:tcPr>
            <w:tcW w:w="38" w:type="dxa"/>
            <w:tcBorders/>
            <w:vAlign w:val="center"/>
          </w:tcPr>
          <w:p>
            <w:pPr>
              <w:pStyle w:val="TableContents"/>
              <w:bidi w:val="0"/>
              <w:spacing w:before="0" w:after="0"/>
              <w:jc w:val="left"/>
              <w:rPr/>
            </w:pPr>
            <w:r>
              <w:rPr/>
            </w:r>
          </w:p>
        </w:tc>
        <w:tc>
          <w:tcPr>
            <w:tcW w:w="2390" w:type="dxa"/>
            <w:tcBorders/>
            <w:vAlign w:val="center"/>
          </w:tcPr>
          <w:p>
            <w:pPr>
              <w:pStyle w:val="TableContents"/>
              <w:bidi w:val="0"/>
              <w:spacing w:before="0" w:after="0"/>
              <w:jc w:val="left"/>
              <w:rPr/>
            </w:pPr>
            <w:r>
              <w:rPr/>
              <w:t>Name: Edward Hodgson</w:t>
            </w:r>
          </w:p>
        </w:tc>
        <w:tc>
          <w:tcPr>
            <w:tcW w:w="38" w:type="dxa"/>
            <w:tcBorders/>
            <w:vAlign w:val="center"/>
          </w:tcPr>
          <w:p>
            <w:pPr>
              <w:pStyle w:val="TableContents"/>
              <w:bidi w:val="0"/>
              <w:spacing w:before="0" w:after="283"/>
              <w:jc w:val="left"/>
              <w:rPr/>
            </w:pPr>
            <w:r>
              <w:rPr/>
            </w:r>
          </w:p>
        </w:tc>
      </w:tr>
      <w:tr>
        <w:trPr/>
        <w:tc>
          <w:tcPr>
            <w:tcW w:w="38" w:type="dxa"/>
            <w:tcBorders/>
            <w:vAlign w:val="center"/>
          </w:tcPr>
          <w:p>
            <w:pPr>
              <w:pStyle w:val="TableContents"/>
              <w:bidi w:val="0"/>
              <w:spacing w:before="0" w:after="283"/>
              <w:jc w:val="left"/>
              <w:rPr/>
            </w:pPr>
            <w:r>
              <w:rPr/>
            </w:r>
          </w:p>
        </w:tc>
        <w:tc>
          <w:tcPr>
            <w:tcW w:w="2390" w:type="dxa"/>
            <w:tcBorders/>
            <w:vAlign w:val="center"/>
          </w:tcPr>
          <w:p>
            <w:pPr>
              <w:pStyle w:val="TableContents"/>
              <w:bidi w:val="0"/>
              <w:spacing w:before="0" w:after="0"/>
              <w:jc w:val="left"/>
              <w:rPr/>
            </w:pPr>
            <w:r>
              <w:rPr/>
              <w:t>Title: Managing Director</w:t>
            </w:r>
          </w:p>
        </w:tc>
        <w:tc>
          <w:tcPr>
            <w:tcW w:w="38" w:type="dxa"/>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itself and as a Representative of the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other Initial Purchasers named in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Schedule A hereto.</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[Signature Page to Registration Rights Agreement]</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SCHEDULE A</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Name of Initial Purchasers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BofA Securities,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Citigroup Global Markets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HSBC Securities (USA)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J.P. Morgan Securities LLC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Morgan Stanley &amp; Co. LLC</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72295</Words>
  <Characters>369692</Characters>
  <CharactersWithSpaces>446062</CharactersWithSpaces>
  <Paragraphs>3601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