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8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112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22"/>
          <w:szCs w:val="22"/>
          <w:b w:val="1"/>
          <w:bCs w:val="1"/>
          <w:color w:val="auto"/>
        </w:rPr>
        <w:t>he Securities Exchange Act of 1934</w:t>
      </w:r>
    </w:p>
    <w:p>
      <w:pPr>
        <w:spacing w:after="0" w:line="200" w:lineRule="exact"/>
        <w:rPr>
          <w:sz w:val="24"/>
          <w:szCs w:val="24"/>
          <w:color w:val="auto"/>
        </w:rPr>
      </w:pPr>
    </w:p>
    <w:p>
      <w:pPr>
        <w:spacing w:after="0" w:line="25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color w:val="auto"/>
        </w:rPr>
        <w:t>For the month of April 2023</w:t>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3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09" w:right="1440" w:bottom="1440" w:gutter="0" w:footer="0" w:header="0"/>
        </w:sectPr>
      </w:pPr>
    </w:p>
    <w:bookmarkStart w:id="1" w:name="page2"/>
    <w:bookmarkEnd w:id="1"/>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plc Press Release issued April 26, 2023 - ICON Reports First Quarter 2023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April 26, 2023</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0" w:type="dxa"/>
            <w:vAlign w:val="bottom"/>
          </w:tcPr>
          <w:p>
            <w:pPr>
              <w:spacing w:after="0"/>
              <w:rPr>
                <w:sz w:val="1"/>
                <w:szCs w:val="1"/>
                <w:color w:val="auto"/>
              </w:rPr>
            </w:pPr>
          </w:p>
        </w:tc>
      </w:tr>
      <w:tr>
        <w:trPr>
          <w:trHeight w:val="198"/>
        </w:trPr>
        <w:tc>
          <w:tcPr>
            <w:tcW w:w="7480" w:type="dxa"/>
            <w:vAlign w:val="bottom"/>
            <w:vMerge w:val="continue"/>
          </w:tcPr>
          <w:p>
            <w:pPr>
              <w:spacing w:after="0"/>
              <w:rPr>
                <w:sz w:val="17"/>
                <w:szCs w:val="17"/>
                <w:color w:val="auto"/>
              </w:rPr>
            </w:pP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Brendan Brennan</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Reports First Quarter 2023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Net business wins in the quarter of $2,415 million; a net book to bill of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30" w:lineRule="auto"/>
        <w:rPr>
          <w:sz w:val="20"/>
          <w:szCs w:val="20"/>
          <w:color w:val="auto"/>
        </w:rPr>
      </w:pPr>
      <w:r>
        <w:rPr>
          <w:rFonts w:ascii="Times New Roman" w:cs="Times New Roman" w:eastAsia="Times New Roman" w:hAnsi="Times New Roman"/>
          <w:sz w:val="22"/>
          <w:szCs w:val="22"/>
          <w:b w:val="1"/>
          <w:bCs w:val="1"/>
          <w:color w:val="auto"/>
        </w:rPr>
        <w:t>Closing backlog of $21.2 billion, an increase of 2.4% on quarter four 2022 or an increase of 8.4% on quarter one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40"/>
        <w:spacing w:after="0" w:line="230" w:lineRule="auto"/>
        <w:rPr>
          <w:sz w:val="20"/>
          <w:szCs w:val="20"/>
          <w:color w:val="auto"/>
        </w:rPr>
      </w:pPr>
      <w:r>
        <w:rPr>
          <w:rFonts w:ascii="Times New Roman" w:cs="Times New Roman" w:eastAsia="Times New Roman" w:hAnsi="Times New Roman"/>
          <w:sz w:val="22"/>
          <w:szCs w:val="22"/>
          <w:b w:val="1"/>
          <w:bCs w:val="1"/>
          <w:color w:val="auto"/>
        </w:rPr>
        <w:t>First quarter revenue of $1,978.6 million representing an increase of 4.0% on prior year revenue and 5.3% on a constant currency organic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40"/>
        <w:spacing w:after="0" w:line="230" w:lineRule="auto"/>
        <w:rPr>
          <w:sz w:val="20"/>
          <w:szCs w:val="20"/>
          <w:color w:val="auto"/>
        </w:rPr>
      </w:pPr>
      <w:r>
        <w:rPr>
          <w:rFonts w:ascii="Times New Roman" w:cs="Times New Roman" w:eastAsia="Times New Roman" w:hAnsi="Times New Roman"/>
          <w:sz w:val="22"/>
          <w:szCs w:val="22"/>
          <w:b w:val="1"/>
          <w:bCs w:val="1"/>
          <w:color w:val="auto"/>
        </w:rPr>
        <w:t>Quarter one adjusted EBITDA of $399.1 million or 20.2% of revenue, an increase of 17.2% on quarter one 2022. GAAP net income attributable to the Group for quarter one of $116.7 million or $1.41 per diluted share. Quarter one adjusted net income attributable to the Group was $239.8 million or $2.90 per diluted share, an increase of 5.1% on quarter one 2022 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80"/>
        <w:spacing w:after="0" w:line="230" w:lineRule="auto"/>
        <w:rPr>
          <w:sz w:val="20"/>
          <w:szCs w:val="20"/>
          <w:color w:val="auto"/>
        </w:rPr>
      </w:pPr>
      <w:r>
        <w:rPr>
          <w:rFonts w:ascii="Times New Roman" w:cs="Times New Roman" w:eastAsia="Times New Roman" w:hAnsi="Times New Roman"/>
          <w:sz w:val="22"/>
          <w:szCs w:val="22"/>
          <w:b w:val="1"/>
          <w:bCs w:val="1"/>
          <w:color w:val="auto"/>
        </w:rPr>
        <w:t>$250 million repayment made on Term Loan B debt. Net debt balance of $4.2 billion with Net debt to adjusted EBITDA ratio of 2.8x.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12" w:lineRule="auto"/>
        <w:rPr>
          <w:sz w:val="20"/>
          <w:szCs w:val="20"/>
          <w:color w:val="auto"/>
        </w:rPr>
      </w:pPr>
      <w:r>
        <w:rPr>
          <w:rFonts w:ascii="Times New Roman" w:cs="Times New Roman" w:eastAsia="Times New Roman" w:hAnsi="Times New Roman"/>
          <w:sz w:val="21"/>
          <w:szCs w:val="21"/>
          <w:b w:val="1"/>
          <w:bCs w:val="1"/>
          <w:color w:val="auto"/>
        </w:rPr>
        <w:t>Full year 2023 revenue guidance reaffirmed in the range of $7,940 - $8,340 million, representing a year-on-year increase of 2.6% to 7.7%, and full year 2023 adjusted earnings per share</w:t>
      </w:r>
      <w:r>
        <w:rPr>
          <w:rFonts w:ascii="Times New Roman" w:cs="Times New Roman" w:eastAsia="Times New Roman" w:hAnsi="Times New Roman"/>
          <w:sz w:val="34"/>
          <w:szCs w:val="34"/>
          <w:b w:val="1"/>
          <w:bCs w:val="1"/>
          <w:color w:val="auto"/>
          <w:vertAlign w:val="superscript"/>
        </w:rPr>
        <w:t>1</w:t>
      </w:r>
      <w:r>
        <w:rPr>
          <w:rFonts w:ascii="Times New Roman" w:cs="Times New Roman" w:eastAsia="Times New Roman" w:hAnsi="Times New Roman"/>
          <w:sz w:val="21"/>
          <w:szCs w:val="21"/>
          <w:b w:val="1"/>
          <w:bCs w:val="1"/>
          <w:color w:val="auto"/>
        </w:rPr>
        <w:t xml:space="preserve"> guidance in the range of $12.40 - $13.05, representing a year-on-year increase of 5.5% to 11.1%. Adjusted earnings per share to exclude amortization, stock compensation, foreign exchange restructuring and transaction-related / integration-related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DUBLIN--(BUSINESS WIRE)--April 26, 2023--ICON plc (NASDAQ: ICLR), a world-leading healthcare intelligence and clinical research organization, today reported its financial results for the first quarter ended March 31, 2023.</w:t>
      </w:r>
    </w:p>
    <w:p>
      <w:pPr>
        <w:spacing w:after="0" w:line="15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auto"/>
        </w:rPr>
        <w:t xml:space="preserve">CEO, Dr. Steve Cutler commented, </w:t>
      </w:r>
      <w:r>
        <w:rPr>
          <w:rFonts w:ascii="Times New Roman" w:cs="Times New Roman" w:eastAsia="Times New Roman" w:hAnsi="Times New Roman"/>
          <w:sz w:val="21"/>
          <w:szCs w:val="21"/>
          <w:i w:val="1"/>
          <w:iCs w:val="1"/>
          <w:color w:val="auto"/>
        </w:rPr>
        <w:t>“ICON’s first quarter results reflect continued demand for our broad portfolio of services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despite the challenging macroeconomic environment. Our unique position in providing scaled full-service, functional and hybrid solutions is resonating well across customer segments, resulting in 8.4% backlog growth on quarter one 2022. Financial performance was solid with year-over-year revenue growth of 5.3% on a constant currency organic basis, along with another strong quarter of adjusted EBITDA growth, increasing 17.2% over quarter one 2022. Adjusted earnings per share increased</w:t>
      </w:r>
    </w:p>
    <w:p>
      <w:pPr>
        <w:ind w:right="120"/>
        <w:spacing w:after="0" w:line="235" w:lineRule="auto"/>
        <w:rPr>
          <w:sz w:val="20"/>
          <w:szCs w:val="20"/>
          <w:color w:val="auto"/>
        </w:rPr>
      </w:pPr>
      <w:r>
        <w:rPr>
          <w:rFonts w:ascii="Times New Roman" w:cs="Times New Roman" w:eastAsia="Times New Roman" w:hAnsi="Times New Roman"/>
          <w:sz w:val="22"/>
          <w:szCs w:val="22"/>
          <w:i w:val="1"/>
          <w:iCs w:val="1"/>
          <w:color w:val="auto"/>
        </w:rPr>
        <w:t>5.1% on a year-over-year basis, despite the anticipated substantial increase in interest expense. We are reaffirming our financial outlook for the full year 2023, with revenue guidance of $7,940 - $8,340 million and adjusted earnings per share of $12.40 – $13.05.”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2023 Results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Gross business wins in the quarter were $2,858 million and cancellations were $443 million. This resulted in net business wins of $2,415 million and a book to bill of 1.22.</w:t>
      </w:r>
    </w:p>
    <w:p>
      <w:pPr>
        <w:spacing w:after="0" w:line="158"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Revenue for the first quarter was $1,978.6 million. This represents an increase of 4.0% on prior year revenue or 5.3% on a constant currency organic basis.</w:t>
      </w:r>
    </w:p>
    <w:p>
      <w:pPr>
        <w:spacing w:after="0" w:line="158"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GAAP net income attributable to the Group was $116.7 million resulting in $1.41 diluted earnings per share in quarter one 2023 compared to $1.36 diluted earnings per share in quarter one 2022. Adjusted net income attributable to the Group for the quarter was $239.8 million resulting in an adjusted diluted earnings per share of $2.90 compared to $2.76 per share for the first quarter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EBITDA for the first quarter was $399.1 million or 20.2% of revenue, a year-on-year increase of 17.2%.</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Cash generated from operating activities for the quarter was $175.5 million. During the quarter $26.7 million was spent on capital expenditure. At March 31, 2023, the Group had cash and cash equivalents of $279.9 million, compared to cash and cash equivalents of $288.8 million at December 31, 2022 and $559.1 million at March 31, 2022. $80 million of the revolving credit facility was drawn down at March 31, 2023. Additionally, $250 million of Term Loan B payments were made during the quarter resulting in a net indebtedness of $4.2 billion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210"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2"/>
          <w:szCs w:val="22"/>
          <w:color w:val="auto"/>
        </w:rPr>
        <w:t>In addition to the financial measures prepared in accordance with generally accepted accounting principles (GAAP), this press release contains certain non-GAAP financial measures, including adjusted EBITDA, adjusted net income attributable to the Group and adjusted diluted earnings per share attributable to the Group.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8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ICON will hold a conference call on April 27, 2023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78" w:lineRule="exact"/>
        <w:rPr>
          <w:sz w:val="20"/>
          <w:szCs w:val="20"/>
          <w:color w:val="auto"/>
        </w:rPr>
      </w:pPr>
    </w:p>
    <w:p>
      <w:pPr>
        <w:ind w:right="20" w:firstLine="8"/>
        <w:spacing w:after="0" w:line="244" w:lineRule="auto"/>
        <w:tabs>
          <w:tab w:leader="none" w:pos="30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full-year 2023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173"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109 locations in 53 countries as at March 31, 2023. For further information about ICON, visit: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ICON/ICLR-F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THREE MONTHS ENDED MARCH 31, 2023 AND MARCH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20" w:type="dxa"/>
            <w:vAlign w:val="bottom"/>
          </w:tcPr>
          <w:p>
            <w:pPr>
              <w:spacing w:after="0"/>
              <w:rPr>
                <w:sz w:val="24"/>
                <w:szCs w:val="24"/>
                <w:color w:val="auto"/>
              </w:rPr>
            </w:pPr>
          </w:p>
        </w:tc>
        <w:tc>
          <w:tcPr>
            <w:tcW w:w="1940" w:type="dxa"/>
            <w:vAlign w:val="bottom"/>
          </w:tcPr>
          <w:p>
            <w:pPr>
              <w:jc w:val="right"/>
              <w:ind w:right="229"/>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4"/>
        </w:trPr>
        <w:tc>
          <w:tcPr>
            <w:tcW w:w="4720" w:type="dxa"/>
            <w:vAlign w:val="bottom"/>
          </w:tcPr>
          <w:p>
            <w:pPr>
              <w:spacing w:after="0"/>
              <w:rPr>
                <w:sz w:val="24"/>
                <w:szCs w:val="24"/>
                <w:color w:val="auto"/>
              </w:rPr>
            </w:pPr>
          </w:p>
        </w:tc>
        <w:tc>
          <w:tcPr>
            <w:tcW w:w="3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900" w:type="dxa"/>
            <w:vAlign w:val="bottom"/>
          </w:tcPr>
          <w:p>
            <w:pPr>
              <w:spacing w:after="0"/>
              <w:rPr>
                <w:sz w:val="24"/>
                <w:szCs w:val="24"/>
                <w:color w:val="auto"/>
              </w:rPr>
            </w:pPr>
          </w:p>
        </w:tc>
      </w:tr>
      <w:tr>
        <w:trPr>
          <w:trHeight w:val="243"/>
        </w:trPr>
        <w:tc>
          <w:tcPr>
            <w:tcW w:w="4720" w:type="dxa"/>
            <w:vAlign w:val="bottom"/>
          </w:tcPr>
          <w:p>
            <w:pPr>
              <w:spacing w:after="0"/>
              <w:rPr>
                <w:sz w:val="21"/>
                <w:szCs w:val="21"/>
                <w:color w:val="auto"/>
              </w:rPr>
            </w:pPr>
          </w:p>
        </w:tc>
        <w:tc>
          <w:tcPr>
            <w:tcW w:w="1940" w:type="dxa"/>
            <w:vAlign w:val="bottom"/>
          </w:tcPr>
          <w:p>
            <w:pPr>
              <w:jc w:val="right"/>
              <w:ind w:right="369"/>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900" w:type="dxa"/>
            <w:vAlign w:val="bottom"/>
          </w:tcPr>
          <w:p>
            <w:pPr>
              <w:spacing w:after="0"/>
              <w:rPr>
                <w:sz w:val="21"/>
                <w:szCs w:val="21"/>
                <w:color w:val="auto"/>
              </w:rPr>
            </w:pPr>
          </w:p>
        </w:tc>
      </w:tr>
      <w:tr>
        <w:trPr>
          <w:trHeight w:val="243"/>
        </w:trPr>
        <w:tc>
          <w:tcPr>
            <w:tcW w:w="4720" w:type="dxa"/>
            <w:vAlign w:val="bottom"/>
          </w:tcPr>
          <w:p>
            <w:pPr>
              <w:spacing w:after="0"/>
              <w:rPr>
                <w:sz w:val="21"/>
                <w:szCs w:val="21"/>
                <w:color w:val="auto"/>
              </w:rPr>
            </w:pPr>
          </w:p>
        </w:tc>
        <w:tc>
          <w:tcPr>
            <w:tcW w:w="3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900" w:type="dxa"/>
            <w:vAlign w:val="bottom"/>
          </w:tcPr>
          <w:p>
            <w:pPr>
              <w:spacing w:after="0"/>
              <w:rPr>
                <w:sz w:val="21"/>
                <w:szCs w:val="21"/>
                <w:color w:val="auto"/>
              </w:rPr>
            </w:pPr>
          </w:p>
        </w:tc>
      </w:tr>
      <w:tr>
        <w:trPr>
          <w:trHeight w:val="48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$ 1,978,578</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$ 1,901,764</w:t>
            </w:r>
          </w:p>
        </w:tc>
        <w:tc>
          <w:tcPr>
            <w:tcW w:w="2900" w:type="dxa"/>
            <w:vAlign w:val="bottom"/>
          </w:tcPr>
          <w:p>
            <w:pPr>
              <w:spacing w:after="0"/>
              <w:rPr>
                <w:sz w:val="24"/>
                <w:szCs w:val="24"/>
                <w:color w:val="auto"/>
              </w:rPr>
            </w:pPr>
          </w:p>
        </w:tc>
      </w:tr>
      <w:tr>
        <w:trPr>
          <w:trHeight w:val="48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1,395,546</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1,378,467</w:t>
            </w:r>
          </w:p>
        </w:tc>
        <w:tc>
          <w:tcPr>
            <w:tcW w:w="29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200,006</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195,261</w:t>
            </w:r>
          </w:p>
        </w:tc>
        <w:tc>
          <w:tcPr>
            <w:tcW w:w="29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145,126</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141,405</w:t>
            </w:r>
          </w:p>
        </w:tc>
        <w:tc>
          <w:tcPr>
            <w:tcW w:w="29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and integration-related expenses</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11,382</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12,085</w:t>
            </w:r>
          </w:p>
        </w:tc>
        <w:tc>
          <w:tcPr>
            <w:tcW w:w="2900" w:type="dxa"/>
            <w:vAlign w:val="bottom"/>
          </w:tcPr>
          <w:p>
            <w:pPr>
              <w:spacing w:after="0"/>
              <w:rPr>
                <w:sz w:val="21"/>
                <w:szCs w:val="21"/>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9,729</w:t>
            </w: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4,207</w:t>
            </w:r>
          </w:p>
        </w:tc>
        <w:tc>
          <w:tcPr>
            <w:tcW w:w="2900" w:type="dxa"/>
            <w:vAlign w:val="bottom"/>
          </w:tcPr>
          <w:p>
            <w:pPr>
              <w:spacing w:after="0"/>
              <w:rPr>
                <w:sz w:val="21"/>
                <w:szCs w:val="21"/>
                <w:color w:val="auto"/>
              </w:rPr>
            </w:pPr>
          </w:p>
        </w:tc>
      </w:tr>
      <w:tr>
        <w:trPr>
          <w:trHeight w:val="479"/>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1,761,789</w:t>
            </w: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1,731,425</w:t>
            </w:r>
          </w:p>
        </w:tc>
        <w:tc>
          <w:tcPr>
            <w:tcW w:w="2900" w:type="dxa"/>
            <w:vAlign w:val="bottom"/>
          </w:tcPr>
          <w:p>
            <w:pPr>
              <w:spacing w:after="0"/>
              <w:rPr>
                <w:sz w:val="24"/>
                <w:szCs w:val="24"/>
                <w:color w:val="auto"/>
              </w:rPr>
            </w:pPr>
          </w:p>
        </w:tc>
      </w:tr>
      <w:tr>
        <w:trPr>
          <w:trHeight w:val="47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216,789</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170,339</w:t>
            </w:r>
          </w:p>
        </w:tc>
        <w:tc>
          <w:tcPr>
            <w:tcW w:w="29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1,072</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900" w:type="dxa"/>
            <w:vAlign w:val="bottom"/>
          </w:tcPr>
          <w:p>
            <w:pPr>
              <w:spacing w:after="0"/>
              <w:rPr>
                <w:sz w:val="21"/>
                <w:szCs w:val="21"/>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(86,551)</w:t>
            </w: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(44,425)</w:t>
            </w:r>
          </w:p>
        </w:tc>
        <w:tc>
          <w:tcPr>
            <w:tcW w:w="2900" w:type="dxa"/>
            <w:vAlign w:val="bottom"/>
          </w:tcPr>
          <w:p>
            <w:pPr>
              <w:spacing w:after="0"/>
              <w:rPr>
                <w:sz w:val="21"/>
                <w:szCs w:val="21"/>
                <w:color w:val="auto"/>
              </w:rPr>
            </w:pPr>
          </w:p>
        </w:tc>
      </w:tr>
      <w:tr>
        <w:trPr>
          <w:trHeight w:val="47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131,310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126,041</w:t>
            </w:r>
          </w:p>
        </w:tc>
        <w:tc>
          <w:tcPr>
            <w:tcW w:w="2900" w:type="dxa"/>
            <w:vAlign w:val="bottom"/>
          </w:tcPr>
          <w:p>
            <w:pPr>
              <w:spacing w:after="0"/>
              <w:rPr>
                <w:sz w:val="24"/>
                <w:szCs w:val="24"/>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(14,273)</w:t>
            </w: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(13,286)</w:t>
            </w:r>
          </w:p>
        </w:tc>
        <w:tc>
          <w:tcPr>
            <w:tcW w:w="2900" w:type="dxa"/>
            <w:vAlign w:val="bottom"/>
          </w:tcPr>
          <w:p>
            <w:pPr>
              <w:spacing w:after="0"/>
              <w:rPr>
                <w:sz w:val="21"/>
                <w:szCs w:val="21"/>
                <w:color w:val="auto"/>
              </w:rPr>
            </w:pPr>
          </w:p>
        </w:tc>
      </w:tr>
      <w:tr>
        <w:trPr>
          <w:trHeight w:val="47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share of earnings from equity method investments</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117,037</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112,755</w:t>
            </w:r>
          </w:p>
        </w:tc>
        <w:tc>
          <w:tcPr>
            <w:tcW w:w="29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Share of equity method investments</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(383)</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2900" w:type="dxa"/>
            <w:vAlign w:val="bottom"/>
          </w:tcPr>
          <w:p>
            <w:pPr>
              <w:spacing w:after="0"/>
              <w:rPr>
                <w:sz w:val="21"/>
                <w:szCs w:val="21"/>
                <w:color w:val="auto"/>
              </w:rPr>
            </w:pPr>
          </w:p>
        </w:tc>
      </w:tr>
      <w:tr>
        <w:trPr>
          <w:trHeight w:val="256"/>
        </w:trPr>
        <w:tc>
          <w:tcPr>
            <w:tcW w:w="47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900" w:type="dxa"/>
            <w:vAlign w:val="bottom"/>
          </w:tcPr>
          <w:p>
            <w:pPr>
              <w:spacing w:after="0"/>
              <w:rPr>
                <w:sz w:val="22"/>
                <w:szCs w:val="22"/>
                <w:color w:val="auto"/>
              </w:rPr>
            </w:pPr>
          </w:p>
        </w:tc>
      </w:tr>
      <w:tr>
        <w:trPr>
          <w:trHeight w:val="2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Group</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$ 116,654</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$ 111,970</w:t>
            </w:r>
          </w:p>
        </w:tc>
        <w:tc>
          <w:tcPr>
            <w:tcW w:w="2900" w:type="dxa"/>
            <w:vAlign w:val="bottom"/>
          </w:tcPr>
          <w:p>
            <w:pPr>
              <w:spacing w:after="0"/>
              <w:rPr>
                <w:sz w:val="20"/>
                <w:szCs w:val="20"/>
                <w:color w:val="auto"/>
              </w:rPr>
            </w:pP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Ordinary Share attributable to the Group:</w:t>
            </w: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93"/>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1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$ 1.43</w:t>
            </w: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$ 1.37</w:t>
            </w:r>
          </w:p>
        </w:tc>
        <w:tc>
          <w:tcPr>
            <w:tcW w:w="2900" w:type="dxa"/>
            <w:vAlign w:val="bottom"/>
          </w:tcPr>
          <w:p>
            <w:pPr>
              <w:spacing w:after="0"/>
              <w:rPr>
                <w:sz w:val="24"/>
                <w:szCs w:val="24"/>
                <w:color w:val="auto"/>
              </w:rPr>
            </w:pP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$ 1.41</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$ 1.36</w:t>
            </w:r>
          </w:p>
        </w:tc>
        <w:tc>
          <w:tcPr>
            <w:tcW w:w="2900" w:type="dxa"/>
            <w:vAlign w:val="bottom"/>
          </w:tcPr>
          <w:p>
            <w:pPr>
              <w:spacing w:after="0"/>
              <w:rPr>
                <w:sz w:val="20"/>
                <w:szCs w:val="20"/>
                <w:color w:val="auto"/>
              </w:rPr>
            </w:pP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93"/>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1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81,784,389</w:t>
            </w: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81,463,303</w:t>
            </w:r>
          </w:p>
        </w:tc>
        <w:tc>
          <w:tcPr>
            <w:tcW w:w="2900" w:type="dxa"/>
            <w:vAlign w:val="bottom"/>
          </w:tcPr>
          <w:p>
            <w:pPr>
              <w:spacing w:after="0"/>
              <w:rPr>
                <w:sz w:val="24"/>
                <w:szCs w:val="24"/>
                <w:color w:val="auto"/>
              </w:rPr>
            </w:pPr>
          </w:p>
        </w:tc>
      </w:tr>
      <w:tr>
        <w:trPr>
          <w:trHeight w:val="20"/>
        </w:trPr>
        <w:tc>
          <w:tcPr>
            <w:tcW w:w="4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26"/>
        </w:trPr>
        <w:tc>
          <w:tcPr>
            <w:tcW w:w="4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9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82,605,659</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82,613,098</w:t>
            </w:r>
          </w:p>
        </w:tc>
        <w:tc>
          <w:tcPr>
            <w:tcW w:w="20" w:type="dxa"/>
            <w:vAlign w:val="bottom"/>
            <w:tcBorders>
              <w:bottom w:val="single" w:sz="8" w:color="auto"/>
            </w:tcBorders>
          </w:tcPr>
          <w:p>
            <w:pPr>
              <w:spacing w:after="0"/>
              <w:rPr>
                <w:sz w:val="19"/>
                <w:szCs w:val="19"/>
                <w:color w:val="auto"/>
              </w:rPr>
            </w:pPr>
          </w:p>
        </w:tc>
        <w:tc>
          <w:tcPr>
            <w:tcW w:w="2900" w:type="dxa"/>
            <w:vAlign w:val="bottom"/>
          </w:tcPr>
          <w:p>
            <w:pPr>
              <w:spacing w:after="0"/>
              <w:rPr>
                <w:sz w:val="19"/>
                <w:szCs w:val="19"/>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67"/>
        </w:trPr>
        <w:tc>
          <w:tcPr>
            <w:tcW w:w="47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20" w:type="dxa"/>
            <w:vAlign w:val="bottom"/>
          </w:tcPr>
          <w:p>
            <w:pPr>
              <w:spacing w:after="0"/>
              <w:rPr>
                <w:sz w:val="24"/>
                <w:szCs w:val="24"/>
                <w:color w:val="auto"/>
              </w:rPr>
            </w:pPr>
          </w:p>
        </w:tc>
        <w:tc>
          <w:tcPr>
            <w:tcW w:w="2400" w:type="dxa"/>
            <w:vAlign w:val="bottom"/>
          </w:tcPr>
          <w:p>
            <w:pPr>
              <w:jc w:val="center"/>
              <w:ind w:right="890"/>
              <w:spacing w:after="0"/>
              <w:rPr>
                <w:sz w:val="20"/>
                <w:szCs w:val="20"/>
                <w:color w:val="auto"/>
              </w:rPr>
            </w:pPr>
            <w:r>
              <w:rPr>
                <w:rFonts w:ascii="Times New Roman" w:cs="Times New Roman" w:eastAsia="Times New Roman" w:hAnsi="Times New Roman"/>
                <w:sz w:val="22"/>
                <w:szCs w:val="22"/>
                <w:b w:val="1"/>
                <w:bCs w:val="1"/>
                <w:color w:val="auto"/>
                <w:w w:val="98"/>
              </w:rPr>
              <w:t>ICON plc</w:t>
            </w:r>
          </w:p>
        </w:tc>
        <w:tc>
          <w:tcPr>
            <w:tcW w:w="1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59"/>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CONDENSED CONSOLIDATED BALANCE SHEETS</w:t>
            </w:r>
          </w:p>
        </w:tc>
      </w:tr>
      <w:tr>
        <w:trPr>
          <w:trHeight w:val="459"/>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AS AT MARCH 31, 2023 AND DECEMBER 31, 2022</w:t>
            </w:r>
          </w:p>
        </w:tc>
      </w:tr>
      <w:tr>
        <w:trPr>
          <w:trHeight w:val="434"/>
        </w:trPr>
        <w:tc>
          <w:tcPr>
            <w:tcW w:w="4920" w:type="dxa"/>
            <w:vAlign w:val="bottom"/>
          </w:tcPr>
          <w:p>
            <w:pPr>
              <w:spacing w:after="0"/>
              <w:rPr>
                <w:sz w:val="24"/>
                <w:szCs w:val="24"/>
                <w:color w:val="auto"/>
              </w:rPr>
            </w:pPr>
          </w:p>
        </w:tc>
        <w:tc>
          <w:tcPr>
            <w:tcW w:w="2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920" w:type="dxa"/>
            <w:vAlign w:val="bottom"/>
            <w:gridSpan w:val="2"/>
          </w:tcPr>
          <w:p>
            <w:pPr>
              <w:jc w:val="right"/>
              <w:ind w:right="2960"/>
              <w:spacing w:after="0"/>
              <w:rPr>
                <w:sz w:val="20"/>
                <w:szCs w:val="20"/>
                <w:color w:val="auto"/>
              </w:rPr>
            </w:pPr>
            <w:r>
              <w:rPr>
                <w:rFonts w:ascii="Times New Roman" w:cs="Times New Roman" w:eastAsia="Times New Roman" w:hAnsi="Times New Roman"/>
                <w:sz w:val="18"/>
                <w:szCs w:val="18"/>
                <w:b w:val="1"/>
                <w:bCs w:val="1"/>
                <w:color w:val="auto"/>
              </w:rPr>
              <w:t>(Audited)</w:t>
            </w:r>
          </w:p>
        </w:tc>
      </w:tr>
      <w:tr>
        <w:trPr>
          <w:trHeight w:val="243"/>
        </w:trPr>
        <w:tc>
          <w:tcPr>
            <w:tcW w:w="4920" w:type="dxa"/>
            <w:vAlign w:val="bottom"/>
          </w:tcPr>
          <w:p>
            <w:pPr>
              <w:spacing w:after="0"/>
              <w:rPr>
                <w:sz w:val="21"/>
                <w:szCs w:val="21"/>
                <w:color w:val="auto"/>
              </w:rPr>
            </w:pPr>
          </w:p>
        </w:tc>
        <w:tc>
          <w:tcPr>
            <w:tcW w:w="6320" w:type="dxa"/>
            <w:vAlign w:val="bottom"/>
            <w:gridSpan w:val="3"/>
          </w:tcPr>
          <w:p>
            <w:pPr>
              <w:jc w:val="right"/>
              <w:ind w:right="2600"/>
              <w:spacing w:after="0"/>
              <w:rPr>
                <w:sz w:val="20"/>
                <w:szCs w:val="20"/>
                <w:color w:val="auto"/>
              </w:rPr>
            </w:pPr>
            <w:r>
              <w:rPr>
                <w:rFonts w:ascii="Times New Roman" w:cs="Times New Roman" w:eastAsia="Times New Roman" w:hAnsi="Times New Roman"/>
                <w:sz w:val="18"/>
                <w:szCs w:val="18"/>
                <w:b w:val="1"/>
                <w:bCs w:val="1"/>
                <w:color w:val="auto"/>
              </w:rPr>
              <w:t>March 31, 2023 December 31, 2022</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320" w:type="dxa"/>
            <w:vAlign w:val="bottom"/>
            <w:gridSpan w:val="3"/>
          </w:tcPr>
          <w:p>
            <w:pPr>
              <w:jc w:val="right"/>
              <w:ind w:right="34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$ 279,880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$ 288,768</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sale investments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1,802,726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1,731,388</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974,260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957,655</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143,727</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63,658</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170,167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137,094</w:t>
            </w:r>
          </w:p>
        </w:tc>
        <w:tc>
          <w:tcPr>
            <w:tcW w:w="2600" w:type="dxa"/>
            <w:vAlign w:val="bottom"/>
          </w:tcPr>
          <w:p>
            <w:pPr>
              <w:spacing w:after="0"/>
              <w:rPr>
                <w:sz w:val="21"/>
                <w:szCs w:val="21"/>
                <w:color w:val="auto"/>
              </w:rPr>
            </w:pPr>
          </w:p>
        </w:tc>
      </w:tr>
      <w:tr>
        <w:trPr>
          <w:trHeight w:val="25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56,820</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48,790</w:t>
            </w:r>
          </w:p>
        </w:tc>
      </w:tr>
      <w:tr>
        <w:trPr>
          <w:trHeight w:val="234"/>
        </w:trPr>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3,429,233</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3,229,066</w:t>
            </w:r>
          </w:p>
        </w:tc>
        <w:tc>
          <w:tcPr>
            <w:tcW w:w="2600" w:type="dxa"/>
            <w:vAlign w:val="bottom"/>
          </w:tcPr>
          <w:p>
            <w:pPr>
              <w:spacing w:after="0"/>
              <w:rPr>
                <w:sz w:val="20"/>
                <w:szCs w:val="20"/>
                <w:color w:val="auto"/>
              </w:rPr>
            </w:pPr>
          </w:p>
        </w:tc>
      </w:tr>
      <w:tr>
        <w:trPr>
          <w:trHeight w:val="481"/>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348,106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350,320</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8,979,134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8,971,670</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4,164,410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4,278,659</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150,495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153,832</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71,612</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70,790</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22,076</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21,380</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89,406</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76,930</w:t>
            </w:r>
          </w:p>
        </w:tc>
      </w:tr>
      <w:tr>
        <w:trPr>
          <w:trHeight w:val="25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long term</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32,052</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32,631</w:t>
            </w:r>
          </w:p>
        </w:tc>
      </w:tr>
      <w:tr>
        <w:trPr>
          <w:trHeight w:val="239"/>
        </w:trPr>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$ 17,286,524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$ 17,185,278</w:t>
            </w:r>
          </w:p>
        </w:tc>
        <w:tc>
          <w:tcPr>
            <w:tcW w:w="2600" w:type="dxa"/>
            <w:vAlign w:val="bottom"/>
          </w:tcPr>
          <w:p>
            <w:pPr>
              <w:spacing w:after="0"/>
              <w:rPr>
                <w:sz w:val="20"/>
                <w:szCs w:val="20"/>
                <w:color w:val="auto"/>
              </w:rPr>
            </w:pP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$ 85,126</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$ 81,194</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1,580,235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1,507,449</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1,029,893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1,005,025</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68,676</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41,783</w:t>
            </w:r>
          </w:p>
        </w:tc>
      </w:tr>
      <w:tr>
        <w:trPr>
          <w:trHeight w:val="25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bank credit lines and loan facilities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135,150</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55,150</w:t>
            </w:r>
          </w:p>
        </w:tc>
      </w:tr>
      <w:tr>
        <w:trPr>
          <w:trHeight w:val="234"/>
        </w:trPr>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2,899,080</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2,690,601</w:t>
            </w:r>
          </w:p>
        </w:tc>
        <w:tc>
          <w:tcPr>
            <w:tcW w:w="2600" w:type="dxa"/>
            <w:vAlign w:val="bottom"/>
          </w:tcPr>
          <w:p>
            <w:pPr>
              <w:spacing w:after="0"/>
              <w:rPr>
                <w:sz w:val="20"/>
                <w:szCs w:val="20"/>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bank credit lines and loan facilities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4,353,534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4,599,037</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133,048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131,644</w:t>
            </w:r>
          </w:p>
        </w:tc>
        <w:tc>
          <w:tcPr>
            <w:tcW w:w="260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46,177</w:t>
            </w:r>
          </w:p>
        </w:tc>
        <w:tc>
          <w:tcPr>
            <w:tcW w:w="3920" w:type="dxa"/>
            <w:vAlign w:val="bottom"/>
            <w:gridSpan w:val="2"/>
          </w:tcPr>
          <w:p>
            <w:pPr>
              <w:jc w:val="right"/>
              <w:ind w:right="2600"/>
              <w:spacing w:after="0"/>
              <w:rPr>
                <w:sz w:val="20"/>
                <w:szCs w:val="20"/>
                <w:color w:val="auto"/>
              </w:rPr>
            </w:pPr>
            <w:r>
              <w:rPr>
                <w:rFonts w:ascii="Times New Roman" w:cs="Times New Roman" w:eastAsia="Times New Roman" w:hAnsi="Times New Roman"/>
                <w:sz w:val="18"/>
                <w:szCs w:val="18"/>
                <w:color w:val="auto"/>
              </w:rPr>
              <w:t>38,260</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income taxes payable</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243,813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239,188</w:t>
            </w:r>
          </w:p>
        </w:tc>
        <w:tc>
          <w:tcPr>
            <w:tcW w:w="2600" w:type="dxa"/>
            <w:vAlign w:val="bottom"/>
          </w:tcPr>
          <w:p>
            <w:pPr>
              <w:spacing w:after="0"/>
              <w:rPr>
                <w:sz w:val="21"/>
                <w:szCs w:val="21"/>
                <w:color w:val="auto"/>
              </w:rPr>
            </w:pPr>
          </w:p>
        </w:tc>
      </w:tr>
      <w:tr>
        <w:trPr>
          <w:trHeight w:val="250"/>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957,019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988,585</w:t>
            </w:r>
          </w:p>
        </w:tc>
        <w:tc>
          <w:tcPr>
            <w:tcW w:w="2600" w:type="dxa"/>
            <w:vAlign w:val="bottom"/>
          </w:tcPr>
          <w:p>
            <w:pPr>
              <w:spacing w:after="0"/>
              <w:rPr>
                <w:sz w:val="21"/>
                <w:szCs w:val="21"/>
                <w:color w:val="auto"/>
              </w:rPr>
            </w:pPr>
          </w:p>
        </w:tc>
      </w:tr>
      <w:tr>
        <w:trPr>
          <w:trHeight w:val="239"/>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8,632,671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8,687,315</w:t>
            </w:r>
          </w:p>
        </w:tc>
        <w:tc>
          <w:tcPr>
            <w:tcW w:w="2600" w:type="dxa"/>
            <w:vAlign w:val="bottom"/>
          </w:tcPr>
          <w:p>
            <w:pPr>
              <w:spacing w:after="0"/>
              <w:rPr>
                <w:sz w:val="20"/>
                <w:szCs w:val="20"/>
                <w:color w:val="auto"/>
              </w:rPr>
            </w:pPr>
          </w:p>
        </w:tc>
      </w:tr>
      <w:tr>
        <w:trPr>
          <w:trHeight w:val="4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par value 6 euro cents per share; 100,000,000 shares authorized,</w:t>
            </w:r>
          </w:p>
        </w:tc>
        <w:tc>
          <w:tcPr>
            <w:tcW w:w="13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25"/>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81,928,422 shares issued and outstanding at March 31, 2023 and</w:t>
            </w:r>
          </w:p>
        </w:tc>
        <w:tc>
          <w:tcPr>
            <w:tcW w:w="2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2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81,723,555 shares issued and outstanding at December 31, 2022.</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6,662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600" w:type="dxa"/>
            <w:vAlign w:val="bottom"/>
          </w:tcPr>
          <w:p>
            <w:pPr>
              <w:spacing w:after="0"/>
              <w:rPr>
                <w:sz w:val="18"/>
                <w:szCs w:val="18"/>
                <w:color w:val="auto"/>
              </w:rPr>
            </w:pPr>
          </w:p>
        </w:tc>
      </w:tr>
      <w:tr>
        <w:trPr>
          <w:trHeight w:val="272"/>
        </w:trPr>
        <w:tc>
          <w:tcPr>
            <w:tcW w:w="4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6,867,887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6,840,306</w:t>
            </w:r>
          </w:p>
        </w:tc>
        <w:tc>
          <w:tcPr>
            <w:tcW w:w="2600" w:type="dxa"/>
            <w:vAlign w:val="bottom"/>
          </w:tcPr>
          <w:p>
            <w:pPr>
              <w:spacing w:after="0"/>
              <w:rPr>
                <w:sz w:val="23"/>
                <w:szCs w:val="23"/>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undenominated capital</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600" w:type="dxa"/>
            <w:vAlign w:val="bottom"/>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(159,896)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(171,538)</w:t>
            </w:r>
          </w:p>
        </w:tc>
        <w:tc>
          <w:tcPr>
            <w:tcW w:w="2600" w:type="dxa"/>
            <w:vAlign w:val="bottom"/>
          </w:tcPr>
          <w:p>
            <w:pPr>
              <w:spacing w:after="0"/>
              <w:rPr>
                <w:sz w:val="21"/>
                <w:szCs w:val="21"/>
                <w:color w:val="auto"/>
              </w:rPr>
            </w:pPr>
          </w:p>
        </w:tc>
      </w:tr>
      <w:tr>
        <w:trPr>
          <w:trHeight w:val="250"/>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1,938,038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1,821,384</w:t>
            </w:r>
          </w:p>
        </w:tc>
        <w:tc>
          <w:tcPr>
            <w:tcW w:w="2600" w:type="dxa"/>
            <w:vAlign w:val="bottom"/>
          </w:tcPr>
          <w:p>
            <w:pPr>
              <w:spacing w:after="0"/>
              <w:rPr>
                <w:sz w:val="21"/>
                <w:szCs w:val="21"/>
                <w:color w:val="auto"/>
              </w:rPr>
            </w:pPr>
          </w:p>
        </w:tc>
      </w:tr>
      <w:tr>
        <w:trPr>
          <w:trHeight w:val="239"/>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8,653,853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8,497,963</w:t>
            </w:r>
          </w:p>
        </w:tc>
        <w:tc>
          <w:tcPr>
            <w:tcW w:w="2600" w:type="dxa"/>
            <w:vAlign w:val="bottom"/>
          </w:tcPr>
          <w:p>
            <w:pPr>
              <w:spacing w:after="0"/>
              <w:rPr>
                <w:sz w:val="20"/>
                <w:szCs w:val="20"/>
                <w:color w:val="auto"/>
              </w:rPr>
            </w:pPr>
          </w:p>
        </w:tc>
      </w:tr>
      <w:tr>
        <w:trPr>
          <w:trHeight w:val="236"/>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$ 17,286,524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$ 17,185,278</w:t>
            </w:r>
          </w:p>
        </w:tc>
        <w:tc>
          <w:tcPr>
            <w:tcW w:w="2600" w:type="dxa"/>
            <w:vAlign w:val="bottom"/>
          </w:tcPr>
          <w:p>
            <w:pPr>
              <w:spacing w:after="0"/>
              <w:rPr>
                <w:sz w:val="20"/>
                <w:szCs w:val="20"/>
                <w:color w:val="auto"/>
              </w:rPr>
            </w:pPr>
          </w:p>
        </w:tc>
      </w:tr>
      <w:tr>
        <w:trPr>
          <w:trHeight w:val="666"/>
        </w:trPr>
        <w:tc>
          <w:tcPr>
            <w:tcW w:w="49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THREE MONTHS ENDED MARCH 31, 2023 AND MARCH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00" w:type="dxa"/>
            <w:vAlign w:val="bottom"/>
          </w:tcPr>
          <w:p>
            <w:pPr>
              <w:spacing w:after="0"/>
              <w:rPr>
                <w:sz w:val="24"/>
                <w:szCs w:val="24"/>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33"/>
        </w:trPr>
        <w:tc>
          <w:tcPr>
            <w:tcW w:w="4600" w:type="dxa"/>
            <w:vAlign w:val="bottom"/>
          </w:tcPr>
          <w:p>
            <w:pPr>
              <w:spacing w:after="0"/>
              <w:rPr>
                <w:sz w:val="24"/>
                <w:szCs w:val="24"/>
                <w:color w:val="auto"/>
              </w:rPr>
            </w:pPr>
          </w:p>
        </w:tc>
        <w:tc>
          <w:tcPr>
            <w:tcW w:w="6640" w:type="dxa"/>
            <w:vAlign w:val="bottom"/>
            <w:gridSpan w:val="4"/>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3"/>
        </w:trPr>
        <w:tc>
          <w:tcPr>
            <w:tcW w:w="4600" w:type="dxa"/>
            <w:vAlign w:val="bottom"/>
          </w:tcPr>
          <w:p>
            <w:pPr>
              <w:spacing w:after="0"/>
              <w:rPr>
                <w:sz w:val="21"/>
                <w:szCs w:val="21"/>
                <w:color w:val="auto"/>
              </w:rPr>
            </w:pPr>
          </w:p>
        </w:tc>
        <w:tc>
          <w:tcPr>
            <w:tcW w:w="6640" w:type="dxa"/>
            <w:vAlign w:val="bottom"/>
            <w:gridSpan w:val="4"/>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March 31, 2023 March 31, 2022</w:t>
            </w:r>
          </w:p>
        </w:tc>
      </w:tr>
      <w:tr>
        <w:trPr>
          <w:trHeight w:val="243"/>
        </w:trPr>
        <w:tc>
          <w:tcPr>
            <w:tcW w:w="4600" w:type="dxa"/>
            <w:vAlign w:val="bottom"/>
          </w:tcPr>
          <w:p>
            <w:pPr>
              <w:spacing w:after="0"/>
              <w:rPr>
                <w:sz w:val="21"/>
                <w:szCs w:val="21"/>
                <w:color w:val="auto"/>
              </w:rPr>
            </w:pPr>
          </w:p>
        </w:tc>
        <w:tc>
          <w:tcPr>
            <w:tcW w:w="6640" w:type="dxa"/>
            <w:vAlign w:val="bottom"/>
            <w:gridSpan w:val="4"/>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$ 116,654</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$ 111,970</w:t>
            </w:r>
          </w:p>
        </w:tc>
      </w:tr>
      <w:tr>
        <w:trPr>
          <w:trHeight w:val="24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145,126</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141,405</w:t>
            </w: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 lived assets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6,933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3,574</w:t>
            </w: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carrying value of operating right-of-use assets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11,304</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13,077</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383</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785</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Charge on cash flow hedge</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2,253</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financing costs and debt discount</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4,497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5,781</w:t>
            </w: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14,759</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18,903</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(43,823)</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(34,702)</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movements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(1,319)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(7,323)</w:t>
            </w: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items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17,534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(2,895)</w:t>
            </w: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(93,259)</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(35,461)</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(18,346)</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(55,427)</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80,990</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(16,812)</w:t>
            </w: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net assets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(68,186)</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84,041</w:t>
            </w:r>
          </w:p>
        </w:tc>
      </w:tr>
      <w:tr>
        <w:trPr>
          <w:trHeight w:val="234"/>
        </w:trPr>
        <w:tc>
          <w:tcPr>
            <w:tcW w:w="4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175,500</w:t>
            </w: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226,916</w:t>
            </w:r>
          </w:p>
        </w:tc>
        <w:tc>
          <w:tcPr>
            <w:tcW w:w="2860" w:type="dxa"/>
            <w:vAlign w:val="bottom"/>
          </w:tcPr>
          <w:p>
            <w:pPr>
              <w:spacing w:after="0"/>
              <w:rPr>
                <w:sz w:val="20"/>
                <w:szCs w:val="20"/>
                <w:color w:val="auto"/>
              </w:rPr>
            </w:pP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(26,744)</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(19,632)</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Sale of available for sale investments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482</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available for sale investments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(422)</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Sale of investments in equity - long term</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2860" w:type="dxa"/>
            <w:vAlign w:val="bottom"/>
          </w:tcPr>
          <w:p>
            <w:pPr>
              <w:spacing w:after="0"/>
              <w:rPr>
                <w:sz w:val="21"/>
                <w:szCs w:val="21"/>
                <w:color w:val="auto"/>
              </w:rPr>
            </w:pPr>
          </w:p>
        </w:tc>
      </w:tr>
      <w:tr>
        <w:trPr>
          <w:trHeight w:val="250"/>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of investments in equity - long term</w:t>
            </w:r>
          </w:p>
        </w:tc>
        <w:tc>
          <w:tcPr>
            <w:tcW w:w="2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(1,358)</w:t>
            </w: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(28,042)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2880" w:type="dxa"/>
            <w:vAlign w:val="bottom"/>
            <w:gridSpan w:val="2"/>
          </w:tcPr>
          <w:p>
            <w:pPr>
              <w:spacing w:after="0"/>
              <w:rPr>
                <w:sz w:val="20"/>
                <w:szCs w:val="20"/>
                <w:color w:val="auto"/>
              </w:rPr>
            </w:pP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Drawdown of bank credit lines and loan facilities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180,000</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credit lines and loan facilities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(350,000)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equity compensation</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12,940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7,491</w:t>
            </w:r>
          </w:p>
        </w:tc>
        <w:tc>
          <w:tcPr>
            <w:tcW w:w="286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Share issue costs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3"/>
          </w:tcPr>
          <w:p>
            <w:pPr>
              <w:jc w:val="right"/>
              <w:ind w:right="2880"/>
              <w:spacing w:after="0"/>
              <w:rPr>
                <w:sz w:val="20"/>
                <w:szCs w:val="20"/>
                <w:color w:val="auto"/>
              </w:rPr>
            </w:pPr>
            <w:r>
              <w:rPr>
                <w:rFonts w:ascii="Times New Roman" w:cs="Times New Roman" w:eastAsia="Times New Roman" w:hAnsi="Times New Roman"/>
                <w:sz w:val="18"/>
                <w:szCs w:val="18"/>
                <w:color w:val="auto"/>
              </w:rPr>
              <w:t>(99,983)</w:t>
            </w:r>
          </w:p>
        </w:tc>
      </w:tr>
      <w:tr>
        <w:trPr>
          <w:trHeight w:val="250"/>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2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860" w:type="dxa"/>
            <w:vAlign w:val="bottom"/>
          </w:tcPr>
          <w:p>
            <w:pPr>
              <w:spacing w:after="0"/>
              <w:rPr>
                <w:sz w:val="21"/>
                <w:szCs w:val="21"/>
                <w:color w:val="auto"/>
              </w:rPr>
            </w:pP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(157,064)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(392,512)</w:t>
            </w:r>
          </w:p>
        </w:tc>
        <w:tc>
          <w:tcPr>
            <w:tcW w:w="2860" w:type="dxa"/>
            <w:vAlign w:val="bottom"/>
          </w:tcPr>
          <w:p>
            <w:pPr>
              <w:spacing w:after="0"/>
              <w:rPr>
                <w:sz w:val="20"/>
                <w:szCs w:val="20"/>
                <w:color w:val="auto"/>
              </w:rPr>
            </w:pPr>
          </w:p>
        </w:tc>
      </w:t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exchange rate movements on cash</w:t>
            </w:r>
          </w:p>
        </w:tc>
        <w:tc>
          <w:tcPr>
            <w:tcW w:w="2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718</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(7,983)</w:t>
            </w:r>
          </w:p>
        </w:tc>
        <w:tc>
          <w:tcPr>
            <w:tcW w:w="2860" w:type="dxa"/>
            <w:vAlign w:val="bottom"/>
          </w:tcPr>
          <w:p>
            <w:pPr>
              <w:spacing w:after="0"/>
              <w:rPr>
                <w:sz w:val="21"/>
                <w:szCs w:val="21"/>
                <w:color w:val="auto"/>
              </w:rPr>
            </w:pP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(8,888)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(193,115)</w:t>
            </w:r>
          </w:p>
        </w:tc>
        <w:tc>
          <w:tcPr>
            <w:tcW w:w="2860" w:type="dxa"/>
            <w:vAlign w:val="bottom"/>
          </w:tcPr>
          <w:p>
            <w:pPr>
              <w:spacing w:after="0"/>
              <w:rPr>
                <w:sz w:val="20"/>
                <w:szCs w:val="20"/>
                <w:color w:val="auto"/>
              </w:rPr>
            </w:pPr>
          </w:p>
        </w:tc>
      </w:tr>
      <w:tr>
        <w:trPr>
          <w:trHeight w:val="241"/>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288,768</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752,213</w:t>
            </w:r>
          </w:p>
        </w:tc>
        <w:tc>
          <w:tcPr>
            <w:tcW w:w="2860" w:type="dxa"/>
            <w:vAlign w:val="bottom"/>
          </w:tcPr>
          <w:p>
            <w:pPr>
              <w:spacing w:after="0"/>
              <w:rPr>
                <w:sz w:val="20"/>
                <w:szCs w:val="20"/>
                <w:color w:val="auto"/>
              </w:rPr>
            </w:pPr>
          </w:p>
        </w:tc>
      </w:tr>
      <w:tr>
        <w:trPr>
          <w:trHeight w:val="241"/>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$ 279,880</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$ 559,098</w:t>
            </w:r>
          </w:p>
        </w:tc>
        <w:tc>
          <w:tcPr>
            <w:tcW w:w="2860" w:type="dxa"/>
            <w:vAlign w:val="bottom"/>
          </w:tcPr>
          <w:p>
            <w:pPr>
              <w:spacing w:after="0"/>
              <w:rPr>
                <w:sz w:val="20"/>
                <w:szCs w:val="20"/>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65"/>
        </w:trPr>
        <w:tc>
          <w:tcPr>
            <w:tcW w:w="46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NON-GAAP MEASURES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THREE MONTHS ENDED MARCH 31, 2023 AND MARCH 31, 2022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2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3"/>
        </w:trPr>
        <w:tc>
          <w:tcPr>
            <w:tcW w:w="798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21"/>
        </w:trPr>
        <w:tc>
          <w:tcPr>
            <w:tcW w:w="7980" w:type="dxa"/>
            <w:vAlign w:val="bottom"/>
          </w:tcPr>
          <w:p>
            <w:pPr>
              <w:spacing w:after="0"/>
              <w:rPr>
                <w:sz w:val="19"/>
                <w:szCs w:val="19"/>
                <w:color w:val="auto"/>
              </w:rPr>
            </w:pPr>
          </w:p>
        </w:tc>
        <w:tc>
          <w:tcPr>
            <w:tcW w:w="3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 except share and per</w:t>
            </w:r>
          </w:p>
        </w:tc>
      </w:tr>
      <w:tr>
        <w:trPr>
          <w:trHeight w:val="238"/>
        </w:trPr>
        <w:tc>
          <w:tcPr>
            <w:tcW w:w="7980" w:type="dxa"/>
            <w:vAlign w:val="bottom"/>
          </w:tcPr>
          <w:p>
            <w:pPr>
              <w:spacing w:after="0"/>
              <w:rPr>
                <w:sz w:val="20"/>
                <w:szCs w:val="20"/>
                <w:color w:val="auto"/>
              </w:rPr>
            </w:pPr>
          </w:p>
        </w:tc>
        <w:tc>
          <w:tcPr>
            <w:tcW w:w="326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share data)</w:t>
            </w:r>
          </w:p>
        </w:tc>
      </w:tr>
      <w:tr>
        <w:trPr>
          <w:trHeight w:val="48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Group</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$ 116,654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$ 111,970</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Share of equity method investments</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85,479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44,298</w:t>
            </w:r>
          </w:p>
        </w:tc>
      </w:tr>
      <w:tr>
        <w:trPr>
          <w:trHeight w:val="242"/>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145,126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141,405</w:t>
            </w:r>
          </w:p>
        </w:tc>
      </w:tr>
      <w:tr>
        <w:trPr>
          <w:trHeight w:val="243"/>
        </w:trPr>
        <w:tc>
          <w:tcPr>
            <w:tcW w:w="7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Stock-based compensation expense </w:t>
            </w:r>
            <w:r>
              <w:rPr>
                <w:rFonts w:ascii="Times New Roman" w:cs="Times New Roman" w:eastAsia="Times New Roman" w:hAnsi="Times New Roman"/>
                <w:sz w:val="28"/>
                <w:szCs w:val="28"/>
                <w:color w:val="auto"/>
                <w:vertAlign w:val="superscript"/>
              </w:rPr>
              <w:t>(a)</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w:t>
            </w:r>
          </w:p>
        </w:tc>
      </w:tr>
      <w:tr>
        <w:trPr>
          <w:trHeight w:val="243"/>
        </w:trPr>
        <w:tc>
          <w:tcPr>
            <w:tcW w:w="7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Foreign currency losses (gains), net </w:t>
            </w:r>
            <w:r>
              <w:rPr>
                <w:rFonts w:ascii="Times New Roman" w:cs="Times New Roman" w:eastAsia="Times New Roman" w:hAnsi="Times New Roman"/>
                <w:sz w:val="28"/>
                <w:szCs w:val="28"/>
                <w:color w:val="auto"/>
                <w:vertAlign w:val="superscript"/>
              </w:rPr>
              <w:t>(b)</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43"/>
        </w:trPr>
        <w:tc>
          <w:tcPr>
            <w:tcW w:w="7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Restructuring </w:t>
            </w:r>
            <w:r>
              <w:rPr>
                <w:rFonts w:ascii="Times New Roman" w:cs="Times New Roman" w:eastAsia="Times New Roman" w:hAnsi="Times New Roman"/>
                <w:sz w:val="28"/>
                <w:szCs w:val="28"/>
                <w:color w:val="auto"/>
                <w:vertAlign w:val="superscript"/>
              </w:rPr>
              <w:t>(c)</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58"/>
        </w:trPr>
        <w:tc>
          <w:tcPr>
            <w:tcW w:w="7980" w:type="dxa"/>
            <w:vAlign w:val="bottom"/>
            <w:tcBorders>
              <w:bottom w:val="single" w:sz="8" w:color="auto"/>
            </w:tcBorders>
          </w:tcPr>
          <w:p>
            <w:pPr>
              <w:spacing w:after="0" w:line="258" w:lineRule="exact"/>
              <w:rPr>
                <w:sz w:val="20"/>
                <w:szCs w:val="20"/>
                <w:color w:val="auto"/>
              </w:rPr>
            </w:pPr>
            <w:r>
              <w:rPr>
                <w:rFonts w:ascii="Times New Roman" w:cs="Times New Roman" w:eastAsia="Times New Roman" w:hAnsi="Times New Roman"/>
                <w:sz w:val="18"/>
                <w:szCs w:val="18"/>
                <w:color w:val="auto"/>
              </w:rPr>
              <w:t xml:space="preserve">Transaction-related / integration-related costs </w:t>
            </w:r>
            <w:r>
              <w:rPr>
                <w:rFonts w:ascii="Times New Roman" w:cs="Times New Roman" w:eastAsia="Times New Roman" w:hAnsi="Times New Roman"/>
                <w:sz w:val="29"/>
                <w:szCs w:val="29"/>
                <w:color w:val="auto"/>
                <w:vertAlign w:val="superscript"/>
              </w:rPr>
              <w:t>(d)</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11,382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w:t>
            </w:r>
          </w:p>
        </w:tc>
      </w:tr>
      <w:tr>
        <w:trPr>
          <w:trHeight w:val="234"/>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$ 399,123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$ 340,610</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3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the Group and adjusted diluted net income per Ordinary Share</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the Group</w:t>
            </w:r>
          </w:p>
        </w:tc>
        <w:tc>
          <w:tcPr>
            <w:tcW w:w="17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Group</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$ 116,654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$ 111,970</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r>
      <w:tr>
        <w:trPr>
          <w:trHeight w:val="242"/>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114,678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114,802</w:t>
            </w:r>
          </w:p>
        </w:tc>
      </w:tr>
      <w:tr>
        <w:trPr>
          <w:trHeight w:val="243"/>
        </w:trPr>
        <w:tc>
          <w:tcPr>
            <w:tcW w:w="7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Stock-based compensation expense </w:t>
            </w:r>
            <w:r>
              <w:rPr>
                <w:rFonts w:ascii="Times New Roman" w:cs="Times New Roman" w:eastAsia="Times New Roman" w:hAnsi="Times New Roman"/>
                <w:sz w:val="28"/>
                <w:szCs w:val="28"/>
                <w:color w:val="auto"/>
                <w:vertAlign w:val="superscript"/>
              </w:rPr>
              <w:t>(a)</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w:t>
            </w:r>
          </w:p>
        </w:tc>
      </w:tr>
      <w:tr>
        <w:trPr>
          <w:trHeight w:val="243"/>
        </w:trPr>
        <w:tc>
          <w:tcPr>
            <w:tcW w:w="7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Foreign currency losses (gains), net </w:t>
            </w:r>
            <w:r>
              <w:rPr>
                <w:rFonts w:ascii="Times New Roman" w:cs="Times New Roman" w:eastAsia="Times New Roman" w:hAnsi="Times New Roman"/>
                <w:sz w:val="28"/>
                <w:szCs w:val="28"/>
                <w:color w:val="auto"/>
                <w:vertAlign w:val="superscript"/>
              </w:rPr>
              <w:t>(b)</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43"/>
        </w:trPr>
        <w:tc>
          <w:tcPr>
            <w:tcW w:w="7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Restructuring </w:t>
            </w:r>
            <w:r>
              <w:rPr>
                <w:rFonts w:ascii="Times New Roman" w:cs="Times New Roman" w:eastAsia="Times New Roman" w:hAnsi="Times New Roman"/>
                <w:sz w:val="28"/>
                <w:szCs w:val="28"/>
                <w:color w:val="auto"/>
                <w:vertAlign w:val="superscript"/>
              </w:rPr>
              <w:t>(c)</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43"/>
        </w:trPr>
        <w:tc>
          <w:tcPr>
            <w:tcW w:w="7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Transaction-related / integration-related costs </w:t>
            </w:r>
            <w:r>
              <w:rPr>
                <w:rFonts w:ascii="Times New Roman" w:cs="Times New Roman" w:eastAsia="Times New Roman" w:hAnsi="Times New Roman"/>
                <w:sz w:val="28"/>
                <w:szCs w:val="28"/>
                <w:color w:val="auto"/>
                <w:vertAlign w:val="superscript"/>
              </w:rPr>
              <w:t>(d)</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w:t>
            </w:r>
          </w:p>
        </w:tc>
      </w:tr>
      <w:tr>
        <w:trPr>
          <w:trHeight w:val="243"/>
        </w:trPr>
        <w:tc>
          <w:tcPr>
            <w:tcW w:w="7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Transaction-related financing costs </w:t>
            </w:r>
            <w:r>
              <w:rPr>
                <w:rFonts w:ascii="Times New Roman" w:cs="Times New Roman" w:eastAsia="Times New Roman" w:hAnsi="Times New Roman"/>
                <w:sz w:val="28"/>
                <w:szCs w:val="28"/>
                <w:color w:val="auto"/>
                <w:vertAlign w:val="superscript"/>
              </w:rPr>
              <w:t>(e)</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58"/>
        </w:trPr>
        <w:tc>
          <w:tcPr>
            <w:tcW w:w="7980" w:type="dxa"/>
            <w:vAlign w:val="bottom"/>
            <w:tcBorders>
              <w:bottom w:val="single" w:sz="8" w:color="auto"/>
            </w:tcBorders>
          </w:tcPr>
          <w:p>
            <w:pPr>
              <w:spacing w:after="0" w:line="258" w:lineRule="exact"/>
              <w:rPr>
                <w:sz w:val="20"/>
                <w:szCs w:val="20"/>
                <w:color w:val="auto"/>
              </w:rPr>
            </w:pPr>
            <w:r>
              <w:rPr>
                <w:rFonts w:ascii="Times New Roman" w:cs="Times New Roman" w:eastAsia="Times New Roman" w:hAnsi="Times New Roman"/>
                <w:sz w:val="18"/>
                <w:szCs w:val="18"/>
                <w:color w:val="auto"/>
              </w:rPr>
              <w:t xml:space="preserve">Adjusted tax expense </w:t>
            </w:r>
            <w:r>
              <w:rPr>
                <w:rFonts w:ascii="Times New Roman" w:cs="Times New Roman" w:eastAsia="Times New Roman" w:hAnsi="Times New Roman"/>
                <w:sz w:val="29"/>
                <w:szCs w:val="29"/>
                <w:color w:val="auto"/>
                <w:vertAlign w:val="superscript"/>
              </w:rPr>
              <w:t>(f)</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(47,469)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(46,744)</w:t>
            </w:r>
          </w:p>
        </w:tc>
      </w:tr>
      <w:tr>
        <w:trPr>
          <w:trHeight w:val="234"/>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the Group</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$ 239,842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$ 227,961</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55"/>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number of Ordinary Shares outstanding</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82,605,659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82,613,098</w:t>
            </w:r>
          </w:p>
        </w:tc>
      </w:tr>
      <w:tr>
        <w:trPr>
          <w:trHeight w:val="256"/>
        </w:trPr>
        <w:tc>
          <w:tcPr>
            <w:tcW w:w="7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r>
      <w:tr>
        <w:trPr>
          <w:trHeight w:val="234"/>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diluted net income per Ordinary Share attributable to the Group</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$ 2.90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$ 2.76</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08"/>
        </w:trPr>
        <w:tc>
          <w:tcPr>
            <w:tcW w:w="7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9" w:name="page10"/>
    <w:bookmarkEnd w:id="9"/>
    <w:p>
      <w:pPr>
        <w:ind w:right="400" w:firstLine="8"/>
        <w:spacing w:after="0" w:line="258" w:lineRule="auto"/>
        <w:tabs>
          <w:tab w:leader="none" w:pos="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Stock-based compensation expense represents the amount of recurring non-cash expense related to the Company’s equity compensation programs (inclusive of employer related taxes).</w:t>
      </w:r>
    </w:p>
    <w:p>
      <w:pPr>
        <w:spacing w:after="0" w:line="158" w:lineRule="exact"/>
        <w:rPr>
          <w:rFonts w:ascii="Times New Roman" w:cs="Times New Roman" w:eastAsia="Times New Roman" w:hAnsi="Times New Roman"/>
          <w:sz w:val="22"/>
          <w:szCs w:val="22"/>
          <w:color w:val="auto"/>
        </w:rPr>
      </w:pPr>
    </w:p>
    <w:p>
      <w:pPr>
        <w:jc w:val="both"/>
        <w:ind w:right="240" w:firstLine="8"/>
        <w:spacing w:after="0" w:line="244"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173" w:lineRule="exact"/>
        <w:rPr>
          <w:rFonts w:ascii="Times New Roman" w:cs="Times New Roman" w:eastAsia="Times New Roman" w:hAnsi="Times New Roman"/>
          <w:sz w:val="22"/>
          <w:szCs w:val="22"/>
          <w:color w:val="auto"/>
        </w:rPr>
      </w:pPr>
    </w:p>
    <w:p>
      <w:pPr>
        <w:ind w:right="140" w:firstLine="8"/>
        <w:spacing w:after="0" w:line="282" w:lineRule="auto"/>
        <w:tabs>
          <w:tab w:leader="none" w:pos="294"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Restructuring charges incurred relate to charges incurred in connection with the termination of leases at locations that are no longer being used and amounts incurred in connection with the elimination of redundant positions within the organization.</w:t>
      </w:r>
    </w:p>
    <w:p>
      <w:pPr>
        <w:spacing w:after="0" w:line="134" w:lineRule="exact"/>
        <w:rPr>
          <w:rFonts w:ascii="Times New Roman" w:cs="Times New Roman" w:eastAsia="Times New Roman" w:hAnsi="Times New Roman"/>
          <w:sz w:val="21"/>
          <w:szCs w:val="21"/>
          <w:color w:val="auto"/>
        </w:rPr>
      </w:pPr>
    </w:p>
    <w:p>
      <w:pPr>
        <w:ind w:right="260" w:firstLine="8"/>
        <w:spacing w:after="0" w:line="258"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Transaction-related / integration-related costs include expenses/credits associated with our acquisitions and any other costs incurred directly related to the integration of these acquisitions.</w:t>
      </w:r>
    </w:p>
    <w:p>
      <w:pPr>
        <w:spacing w:after="0" w:line="158" w:lineRule="exact"/>
        <w:rPr>
          <w:rFonts w:ascii="Times New Roman" w:cs="Times New Roman" w:eastAsia="Times New Roman" w:hAnsi="Times New Roman"/>
          <w:sz w:val="22"/>
          <w:szCs w:val="22"/>
          <w:color w:val="auto"/>
        </w:rPr>
      </w:pPr>
    </w:p>
    <w:p>
      <w:pPr>
        <w:ind w:firstLine="8"/>
        <w:spacing w:after="0" w:line="244" w:lineRule="auto"/>
        <w:tabs>
          <w:tab w:leader="none" w:pos="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173" w:lineRule="exact"/>
        <w:rPr>
          <w:rFonts w:ascii="Times New Roman" w:cs="Times New Roman" w:eastAsia="Times New Roman" w:hAnsi="Times New Roman"/>
          <w:sz w:val="22"/>
          <w:szCs w:val="22"/>
          <w:color w:val="auto"/>
        </w:rPr>
      </w:pPr>
    </w:p>
    <w:p>
      <w:pPr>
        <w:ind w:left="280" w:hanging="272"/>
        <w:spacing w:after="0"/>
        <w:tabs>
          <w:tab w:leader="none" w:pos="2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tax effect of adjusted pre-tax income at our estimated effective tax 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http://www.iconplc.com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+1 888 381 7923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Brendan Brennan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rPr>
          <w:sz w:val="20"/>
          <w:szCs w:val="20"/>
          <w:color w:val="auto"/>
        </w:rPr>
      </w:pPr>
      <w:r>
        <w:rPr>
          <w:rFonts w:ascii="Times New Roman" w:cs="Times New Roman" w:eastAsia="Times New Roman" w:hAnsi="Times New Roman"/>
          <w:sz w:val="22"/>
          <w:szCs w:val="22"/>
          <w:color w:val="auto"/>
        </w:rPr>
        <w:t>+353 1 291 2000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Kate Haven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+1 888 381 7923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at ICON</w:t>
      </w:r>
    </w:p>
    <w:sectPr>
      <w:pgSz w:w="11900" w:h="16838" w:orient="portrait"/>
      <w:cols w:equalWidth="0" w:num="1">
        <w:col w:w="11180"/>
      </w:cols>
      <w:pgMar w:left="320" w:top="32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2023-04-26T15:52:30Z</dcterms:created>
  <dcterms:modified xsi:type="dcterms:W3CDTF">2023-04-26T15:52:30Z</dcterms:modified>
</cp:coreProperties>
</file>