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42"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2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the month ended October, 2016</w:t>
      </w:r>
    </w:p>
    <w:p>
      <w:pPr>
        <w:spacing w:after="0" w:line="214"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44"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75"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333-08704</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Brendan Brennan, CFO</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600" w:val="left"/>
        </w:tabs>
        <w:rPr>
          <w:sz w:val="20"/>
          <w:szCs w:val="20"/>
          <w:color w:val="auto"/>
        </w:rPr>
      </w:pPr>
      <w:r>
        <w:rPr>
          <w:rFonts w:ascii="Times New Roman" w:cs="Times New Roman" w:eastAsia="Times New Roman" w:hAnsi="Times New Roman"/>
          <w:sz w:val="18"/>
          <w:szCs w:val="18"/>
          <w:color w:val="auto"/>
        </w:rPr>
        <w:t>Yes___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_</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6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6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6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12g3-2(b):82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696" w:right="10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Rider A</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2016 we had approximately 12,592 employees, in 88 locations in 37 countries. During the nine months ended September 30, 2016 we derived approximately 47.2%, 42.7% and 10.1% of our net revenue in the United States, Europe and Rest of World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2016, the Company announced that it has completed the acquisition of Clinical Research Management, Inc. (ClinicalRM) resulting in initial net cash outflows of $52.4 million (including certain payments made on behalf of ClinicalRM totaling $9.2 million). Further consideration of up to $12 million is payable if certain performance milestones are met in respect of the periods to December 2017. The acquisition agreement provides for working capital targets to be achieved by ClinicalRM within 120 days of acquisition (</w:t>
      </w:r>
      <w:r>
        <w:rPr>
          <w:rFonts w:ascii="Times New Roman" w:cs="Times New Roman" w:eastAsia="Times New Roman" w:hAnsi="Times New Roman"/>
          <w:sz w:val="18"/>
          <w:szCs w:val="18"/>
          <w:i w:val="1"/>
          <w:iCs w:val="1"/>
          <w:color w:val="auto"/>
        </w:rPr>
        <w:t>see note 3 Business Combinations for further information)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4, 2015, Inclinix-PMG Holdings, Inc (‘PMG’) was acquired by ICON Clinical Research LLC a subsidiary of the Company, resulting in initial net cash outflows of $63.5 million (including certain payments made on behalf of PMG totaling $9.9 million). PMG is an integrated network of clinical research sites operating from 14 metropolitan areas throughout the US. PMG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also has access to over 2 million active patient lives via electronic health records through their unique partnerships with healthcare systems and community physician practices. The acquisition agreement provides for working capital targets to be achieved by PMG within 90 days of acquisition. In March 2016, the Company agreed to pay an additional $1.6 million on completion of this working capital review (</w:t>
      </w:r>
      <w:r>
        <w:rPr>
          <w:rFonts w:ascii="Times New Roman" w:cs="Times New Roman" w:eastAsia="Times New Roman" w:hAnsi="Times New Roman"/>
          <w:sz w:val="18"/>
          <w:szCs w:val="18"/>
          <w:i w:val="1"/>
          <w:iCs w:val="1"/>
          <w:color w:val="auto"/>
        </w:rPr>
        <w:t>see note 3 Business Combinations for further information)</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a share repurchase program in December 2015. During the year ended December 31, 2015, the Company redeemed a total of 6,198,481 ordinary shares for a total consideration of $457.9 million. A resolution was passed at the Company’s Annual General Meeting (“AGM”) on July 22, 2016 which authorizes the Directors to purchase (buy-back) up to 10% of the outstanding shares in the Company. This share repurchase program commenced on October 3, 2016.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 In September 2016, $53 million was drawn under the five year committed muti-currency Revolving Credit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Board composition and executive leadership transition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2016, the Company announced that Mr. Thomas Lynch, non-executive Chairman of the Board of Directors, had notified ICON that he would retire as Chairman on March 31, 2016. Mr Lynch did not stand for re-election to the Board at the Company's AGM and retired from the Board on July 22, 2016. Mr. Lynch was a non-executive Director of ICON since 1994 and served as senior independent Director from 2010 to 2012 and as Chairman from January 2013 to March 2016. ICON's senior independent Director, Mr. Declan McKeon, continues to serve as acting Chairman from Mr. Lynch's retirement as Chairman.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20, 2016, the Company announced that as part of its planned succession of executive leadership, Mr. Ciaran Murray will transition to the role of Chairman of the Board of Directors and Dr. Steve Cutler will be appointed as Chief Executive Officer, with both changes effective as of March 1,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2016, the Company announced the appointment of Mr. Ronan Murphy as a non-executive director to the Board of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Standards Update (‘ASU’) 2015-03 ‘Interest – Imputation of Interest (Subtopic 835-30) – Simplifying the Presentation of Debt Issuance Costs’ was issued in April 2015 to simplify the presentation of debt issuance costs. The guidance requires debt issuance costs related to term loans to be presented as a direct deduction from the carrying amount of the associated debt liability. The standard is effective for financial statements issued for fiscal years beginning after December 15, 2015 and interim periods within those fiscal years. The new guidance is reflected in the Condensed Consolidated Financial Statements (unaudited) presented. The new guidance is also required to be applied on a retrospective basis. The Condensed Consolidated Balance Sheet at December 31, 2015 has therefore been restated to reflect the accounting standards update.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SEPTEMBER 30, 2016 AND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20"/>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219,308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 term investments - available for sale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84,412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403,667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Unbilled revenue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196,863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receivables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42,718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39,339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22,443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1,008,750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151,375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626,657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other assets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13,667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income taxes receivable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12,577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deferred tax asset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23,895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Intangible assets</w:t>
            </w:r>
          </w:p>
        </w:tc>
        <w:tc>
          <w:tcPr>
            <w:tcW w:w="1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63,557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66,127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1,900,478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on account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250,833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188,207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1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13,868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457,961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bank credit lines and loan facilities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401,417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22,317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government grants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income taxes payable</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20,939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5,026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Ordinary shares, par value 6 euro cents per share; 100,000,000 shares authorized,</w:t>
            </w:r>
          </w:p>
        </w:tc>
        <w:tc>
          <w:tcPr>
            <w:tcW w:w="1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55,827,713 shares issued and outstanding at September 30, 2016 and</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54,958,912 shares issued and outstanding at December 31, 2015</w:t>
            </w:r>
          </w:p>
        </w:tc>
        <w:tc>
          <w:tcPr>
            <w:tcW w:w="14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4,697</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427,120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1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623,860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991,860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763,096</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7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1,900,478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1,717,209</w:t>
            </w:r>
          </w:p>
        </w:tc>
        <w:tc>
          <w:tcPr>
            <w:tcW w:w="0" w:type="dxa"/>
            <w:vAlign w:val="bottom"/>
          </w:tcPr>
          <w:p>
            <w:pPr>
              <w:spacing w:after="0"/>
              <w:rPr>
                <w:sz w:val="1"/>
                <w:szCs w:val="1"/>
                <w:color w:val="auto"/>
              </w:rPr>
            </w:pPr>
          </w:p>
        </w:tc>
      </w:tr>
    </w:tbl>
    <w:p>
      <w:pPr>
        <w:ind w:right="20" w:firstLine="8"/>
        <w:spacing w:after="0" w:line="261" w:lineRule="auto"/>
        <w:tabs>
          <w:tab w:leader="none" w:pos="173"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December 31, 2015 Balance Sheet has been retrospectively restated as required to reflect the requirements of new guidance in respect of the presentation of debt issue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2016 AND SEPTEMBER 30, 2015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gridSpan w:val="11"/>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gridSpan w:val="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5"/>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5"/>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gridSpan w:val="1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revenue</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622,261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557,095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1,754,491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Reimbursable expenses</w:t>
            </w:r>
          </w:p>
        </w:tc>
        <w:tc>
          <w:tcPr>
            <w:tcW w:w="1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(202,060)</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(162,354)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(523,138)</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(412,930)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11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420,201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394,741</w:t>
            </w:r>
          </w:p>
        </w:tc>
        <w:tc>
          <w:tcPr>
            <w:tcW w:w="340" w:type="dxa"/>
            <w:vAlign w:val="bottom"/>
          </w:tcPr>
          <w:p>
            <w:pPr>
              <w:spacing w:after="0"/>
              <w:rPr>
                <w:sz w:val="18"/>
                <w:szCs w:val="18"/>
                <w:color w:val="auto"/>
              </w:rPr>
            </w:pPr>
          </w:p>
        </w:tc>
        <w:tc>
          <w:tcPr>
            <w:tcW w:w="10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1,231,353</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1,171,629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costs</w:t>
            </w:r>
          </w:p>
        </w:tc>
        <w:tc>
          <w:tcPr>
            <w:tcW w:w="1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226,555</w:t>
            </w: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709,831</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120" w:type="dxa"/>
            <w:vAlign w:val="bottom"/>
          </w:tcPr>
          <w:p>
            <w:pPr>
              <w:spacing w:after="0"/>
              <w:rPr>
                <w:sz w:val="18"/>
                <w:szCs w:val="18"/>
                <w:color w:val="auto"/>
              </w:rPr>
            </w:pPr>
          </w:p>
        </w:tc>
        <w:tc>
          <w:tcPr>
            <w:tcW w:w="11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81,235</w:t>
            </w: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82,435</w:t>
            </w:r>
          </w:p>
        </w:tc>
        <w:tc>
          <w:tcPr>
            <w:tcW w:w="340" w:type="dxa"/>
            <w:vAlign w:val="bottom"/>
          </w:tcPr>
          <w:p>
            <w:pPr>
              <w:spacing w:after="0"/>
              <w:rPr>
                <w:sz w:val="18"/>
                <w:szCs w:val="18"/>
                <w:color w:val="auto"/>
              </w:rPr>
            </w:pPr>
          </w:p>
        </w:tc>
        <w:tc>
          <w:tcPr>
            <w:tcW w:w="10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242,192</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243,310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14,543</w:t>
            </w: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14,366</w:t>
            </w: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44,120</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8,159</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343,087</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323,356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1,004,302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965,438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77,114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71,385</w:t>
            </w:r>
          </w:p>
        </w:tc>
        <w:tc>
          <w:tcPr>
            <w:tcW w:w="340" w:type="dxa"/>
            <w:vAlign w:val="bottom"/>
          </w:tcPr>
          <w:p>
            <w:pPr>
              <w:spacing w:after="0"/>
              <w:rPr>
                <w:sz w:val="18"/>
                <w:szCs w:val="18"/>
                <w:color w:val="auto"/>
              </w:rPr>
            </w:pPr>
          </w:p>
        </w:tc>
        <w:tc>
          <w:tcPr>
            <w:tcW w:w="10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227,051</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206,191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1,155</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(3,227)</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(1,178)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(9,640)</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20" w:type="dxa"/>
            <w:vAlign w:val="bottom"/>
          </w:tcPr>
          <w:p>
            <w:pPr>
              <w:spacing w:after="0"/>
              <w:rPr>
                <w:sz w:val="18"/>
                <w:szCs w:val="18"/>
                <w:color w:val="auto"/>
              </w:rPr>
            </w:pPr>
          </w:p>
        </w:tc>
        <w:tc>
          <w:tcPr>
            <w:tcW w:w="11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74,349</w:t>
            </w: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70,738</w:t>
            </w:r>
          </w:p>
        </w:tc>
        <w:tc>
          <w:tcPr>
            <w:tcW w:w="340" w:type="dxa"/>
            <w:vAlign w:val="bottom"/>
          </w:tcPr>
          <w:p>
            <w:pPr>
              <w:spacing w:after="0"/>
              <w:rPr>
                <w:sz w:val="18"/>
                <w:szCs w:val="18"/>
                <w:color w:val="auto"/>
              </w:rPr>
            </w:pPr>
          </w:p>
        </w:tc>
        <w:tc>
          <w:tcPr>
            <w:tcW w:w="10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218,566</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205,531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(10,470)</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(30,649)</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63,879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61,542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187,917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55,734,773</w:t>
            </w:r>
          </w:p>
        </w:tc>
        <w:tc>
          <w:tcPr>
            <w:tcW w:w="1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58,659,782</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55,355,020</w:t>
            </w: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59,728,608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56,645,239</w:t>
            </w:r>
          </w:p>
        </w:tc>
        <w:tc>
          <w:tcPr>
            <w:tcW w:w="1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60,369,898</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56,475,319</w:t>
            </w: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61,785,849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2016 AND SEPTEMBER 30, 2015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tcPr>
          <w:p>
            <w:pPr>
              <w:spacing w:after="0"/>
              <w:rPr>
                <w:sz w:val="20"/>
                <w:szCs w:val="20"/>
                <w:color w:val="auto"/>
              </w:rPr>
            </w:pPr>
          </w:p>
        </w:tc>
        <w:tc>
          <w:tcPr>
            <w:tcW w:w="24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187,917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175,997</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31,374</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30,037</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12,746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12,498</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grants</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 on short term investments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Realised gain on sale of short term investments</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compensation expense</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31,135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24,043</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gain on interest rate hedge</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taxes</w:t>
            </w: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3,262</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17,825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unbilled revenue</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(50,707)</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other receivables</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prepayments and other current assets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(Increase)/decrease in other non-current assets</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(Decrease)/increase in payments on account</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10,615</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other current liabilities</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(20,363)</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other non-current liabilities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1,843</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income taxes payable</w:t>
            </w: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4,163</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9,097</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(Decrease)/increase in accounts payable</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Change in deferred tax liability</w:t>
            </w: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135,665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163,427</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(36,255)</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subsidiary undertakings</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(102,756)</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acquired with subsidiary undertaking</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1,842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short term investments</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w:t>
            </w: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 of short term investments</w:t>
            </w:r>
          </w:p>
        </w:tc>
        <w:tc>
          <w:tcPr>
            <w:tcW w:w="10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21,484</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25,170</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(123,493)</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share options &amp; restricted share units</w:t>
            </w: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7,243</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18,375</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issuance costs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benefit from the exercise of share options</w:t>
            </w: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5,381</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3,014</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(286,923)</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repurchase costs</w:t>
            </w: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Drawdown of bank credit lines and loan facilities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73,000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bank credit lines and loan facilities</w:t>
            </w:r>
          </w:p>
        </w:tc>
        <w:tc>
          <w:tcPr>
            <w:tcW w:w="10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costs</w:t>
            </w:r>
          </w:p>
        </w:tc>
        <w:tc>
          <w:tcPr>
            <w:tcW w:w="10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58,982</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83,658</w:t>
            </w: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movements on cash</w:t>
            </w:r>
          </w:p>
        </w:tc>
        <w:tc>
          <w:tcPr>
            <w:tcW w:w="10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115,397</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116,348</w:t>
            </w: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103,911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118,900</w:t>
            </w:r>
          </w:p>
        </w:tc>
      </w:tr>
      <w:tr>
        <w:trPr>
          <w:trHeight w:val="250"/>
        </w:trPr>
        <w:tc>
          <w:tcPr>
            <w:tcW w:w="20" w:type="dxa"/>
            <w:vAlign w:val="bottom"/>
            <w:tcBorders>
              <w:bottom w:val="single" w:sz="8" w:color="auto"/>
            </w:tcBorders>
          </w:tcPr>
          <w:p>
            <w:pPr>
              <w:spacing w:after="0"/>
              <w:rPr>
                <w:sz w:val="21"/>
                <w:szCs w:val="21"/>
                <w:color w:val="auto"/>
              </w:rPr>
            </w:pPr>
          </w:p>
        </w:tc>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219,308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235,248</w:t>
            </w:r>
          </w:p>
        </w:tc>
      </w:tr>
      <w:tr>
        <w:trPr>
          <w:trHeight w:val="234"/>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16"/>
        </w:trPr>
        <w:tc>
          <w:tcPr>
            <w:tcW w:w="796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7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5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AND COMPREHENSIVE INCOME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3"/>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Other</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44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6"/>
              </w:rPr>
              <w:t>Paid-in</w:t>
            </w:r>
          </w:p>
        </w:tc>
        <w:tc>
          <w:tcPr>
            <w:tcW w:w="120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Redemption</w:t>
            </w:r>
          </w:p>
        </w:tc>
        <w:tc>
          <w:tcPr>
            <w:tcW w:w="160" w:type="dxa"/>
            <w:vAlign w:val="bottom"/>
          </w:tcPr>
          <w:p>
            <w:pPr>
              <w:spacing w:after="0"/>
              <w:rPr>
                <w:sz w:val="17"/>
                <w:szCs w:val="17"/>
                <w:color w:val="auto"/>
              </w:rPr>
            </w:pPr>
          </w:p>
        </w:tc>
        <w:tc>
          <w:tcPr>
            <w:tcW w:w="1400" w:type="dxa"/>
            <w:vAlign w:val="bottom"/>
            <w:gridSpan w:val="5"/>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4"/>
              </w:rPr>
              <w:t>Capital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Reserve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4"/>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17"/>
                <w:szCs w:val="17"/>
                <w:color w:val="auto"/>
              </w:rPr>
            </w:pPr>
          </w:p>
        </w:tc>
        <w:tc>
          <w:tcPr>
            <w:tcW w:w="86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80" w:type="dxa"/>
            <w:vAlign w:val="bottom"/>
            <w:gridSpan w:val="17"/>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data)</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1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54,958,912</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383,395</w:t>
            </w: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c>
          <w:tcPr>
            <w:tcW w:w="3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435,943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187,917</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(3,664)</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Currency impact of long term funding</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on currency impact of long term</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Unrealized capital gain – investments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interest rate hedge</w:t>
            </w:r>
          </w:p>
        </w:tc>
        <w:tc>
          <w:tcPr>
            <w:tcW w:w="11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(2,896)</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187,917</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268,713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Issue of restricted share units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600,088</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on exercise of options</w:t>
            </w:r>
          </w:p>
        </w:tc>
        <w:tc>
          <w:tcPr>
            <w:tcW w:w="11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2016</w:t>
            </w:r>
          </w:p>
        </w:tc>
        <w:tc>
          <w:tcPr>
            <w:tcW w:w="11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55,827,713</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427,120</w:t>
            </w:r>
          </w:p>
        </w:tc>
        <w:tc>
          <w:tcPr>
            <w:tcW w:w="1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c>
          <w:tcPr>
            <w:tcW w:w="3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623,860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991,860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60" w:type="dxa"/>
            <w:vAlign w:val="bottom"/>
            <w:gridSpan w:val="22"/>
          </w:tcPr>
          <w:p>
            <w:pPr>
              <w:jc w:val="center"/>
              <w:ind w:left="203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accounting policies and notes to the consolidated financial statements included in ICON’s Form 20-F for the year ended December 31, 2015. Operating results for the three and nine months ended September 30, 2016 are not necessarily indicative of the results that may be expected for the fiscal period ending December 31,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Goodwill</w:t>
            </w:r>
          </w:p>
        </w:tc>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4"/>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00" w:type="dxa"/>
            <w:vAlign w:val="bottom"/>
          </w:tcPr>
          <w:p>
            <w:pPr>
              <w:spacing w:after="0"/>
              <w:rPr>
                <w:sz w:val="17"/>
                <w:szCs w:val="17"/>
                <w:color w:val="auto"/>
              </w:rPr>
            </w:pPr>
          </w:p>
        </w:tc>
        <w:tc>
          <w:tcPr>
            <w:tcW w:w="1160" w:type="dxa"/>
            <w:vAlign w:val="bottom"/>
            <w:gridSpan w:val="4"/>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top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00" w:type="dxa"/>
            <w:vAlign w:val="bottom"/>
            <w:gridSpan w:val="9"/>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4380" w:type="dxa"/>
            <w:vAlign w:val="bottom"/>
            <w:gridSpan w:val="2"/>
            <w:shd w:val="clear" w:color="auto" w:fill="CCEEFF"/>
          </w:tcPr>
          <w:p>
            <w:pPr>
              <w:ind w:left="3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acquisitions (Note 3)</w:t>
            </w:r>
          </w:p>
        </w:tc>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39,376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period acquisitions (Note 3)</w:t>
            </w:r>
          </w:p>
        </w:tc>
        <w:tc>
          <w:tcPr>
            <w:tcW w:w="4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4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(6,556)</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(12,431)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Closing balance</w:t>
            </w:r>
          </w:p>
        </w:tc>
        <w:tc>
          <w:tcPr>
            <w:tcW w:w="4380" w:type="dxa"/>
            <w:vAlign w:val="bottom"/>
            <w:tcBorders>
              <w:bottom w:val="single" w:sz="8" w:color="auto"/>
            </w:tcBorders>
            <w:gridSpan w:val="2"/>
          </w:tcPr>
          <w:p>
            <w:pPr>
              <w:ind w:left="3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626,657</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588,434</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40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 Clinical Research Management, Inc.</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2016 the Company acquired ClinicalRM resulting in an initial net cash outflow of $52.4 million inclusive of certain payments made on behalf of ClinicalRM totaling $9.2 million.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and testing and the response to bio-threats. They have worked in collaboration with government and commercial customers to respond to the threat of global viral epidemics. Further consideration of up to $12.0 million is payable if certain performance milestones are achieved in respect of periods up to December 31, 2017.</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ClinicalRM has been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38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8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3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64,396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preclinical through Phase IV support of clinical research and clinical trial services for biologics, drugs and devices.</w:t>
      </w: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has made an initial estimate of separate intangible assets acquired of $9.8 million. This assessment is under review and will be finalized within 12 months of the date of acquisition.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i w:val="1"/>
          <w:iCs w:val="1"/>
          <w:color w:val="auto"/>
        </w:rPr>
        <w:t>Acquisitions - PMG</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4, 2015 the Company acquired PMG, resulting in an initial net cash outflow of $63.5 million, including certain payments made on behalf of PMG totaling $9.9 million. PMG is an integrated network of 48 clinical research sites in North Carolina, South Carolina, Tennessee and Illinois.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 The acquisition agreement provides for working capital targets to be achieved by PMG within 90 days of acquisition. In March 2016, the Company agreed to pay an additional $1.6 million on completion of this working capital review. This amount was paid in April 2016.</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PMG has been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38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8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3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38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cash outflows</w:t>
            </w:r>
          </w:p>
        </w:tc>
        <w:tc>
          <w:tcPr>
            <w:tcW w:w="38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280"/>
        <w:spacing w:after="0" w:line="255"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made an initial estimate of separate intangible assets acquired, being customer lists and order backlog, of $10.6 million. This assessment is under review and will be finalized within 12 months of the date of acquisition.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Acquisitions - MediMedia Pharma Solutions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27, 2015 the Company acquired MediMedia Pharma Solutions for cash consideration of $104.7 million (net of working capital adjustments of $4 million). In addition to the cash consideration, certain payments were made on behalf of MediMedia Pharma Solutions on completion totaling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provided for certain working capital targets to be achieved by MediMedia Pharma Solutions.</w:t>
      </w:r>
    </w:p>
    <w:p>
      <w:pPr>
        <w:spacing w:after="0" w:line="200" w:lineRule="exact"/>
        <w:rPr>
          <w:sz w:val="20"/>
          <w:szCs w:val="20"/>
          <w:color w:val="auto"/>
        </w:rPr>
      </w:pPr>
    </w:p>
    <w:p>
      <w:pPr>
        <w:spacing w:after="0" w:line="2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MediMedia Pharma Solutions has been accounted for as a business combination in accordance with FASB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following table summarizes the Company’s estimate of the fair values of the assets acquired and liabilities assumed: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February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8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3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38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w:t>
            </w:r>
          </w:p>
        </w:tc>
        <w:tc>
          <w:tcPr>
            <w:tcW w:w="38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8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8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account</w:t>
            </w:r>
          </w:p>
        </w:tc>
        <w:tc>
          <w:tcPr>
            <w:tcW w:w="3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38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Gross cash outflows</w:t>
            </w:r>
          </w:p>
        </w:tc>
        <w:tc>
          <w:tcPr>
            <w:tcW w:w="38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38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outflows</w:t>
            </w: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116,002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0" w:hanging="412"/>
        <w:spacing w:after="0" w:line="257"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 with medical affairs, commercial and brand development teams within the life science industry.</w:t>
      </w:r>
    </w:p>
    <w:p>
      <w:pPr>
        <w:spacing w:after="0" w:line="2"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at acquisition date of $11.3 million were in respect of certain one-time liabilities which have subsequently been discharged.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Acquisitions - Aptiv Solutions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7, 2014 the Company acquired 100% of the common stock of Aptiv Solutions (“Aptiv”), a global biopharmaceutical and medical device development services company and leader in adaptive clinical trials for cash consideration of $143.5 million, including certain payments to be made on behalf of the company on completion totaling $22.4 million. The acquisition agreement provided for working capital targets to be achieved. On March 25, 2015, the Company received $2.0 million in respect of these targets on completion of the working capital review. Aptiv offers full-service clinical trial consulting and regulatory support for drugs, medical devices and diagnostics with a specific focus on strategies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Aptiv has been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following table summarizes the fair values of the assets acquired and the liabilities assumed: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account</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 notes payable**</w:t>
            </w:r>
          </w:p>
        </w:tc>
        <w:tc>
          <w:tcPr>
            <w:tcW w:w="4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4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4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40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cash consideration**</w:t>
            </w:r>
          </w:p>
        </w:tc>
        <w:tc>
          <w:tcPr>
            <w:tcW w:w="40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(22,399)</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4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119,137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Goodwill related to the US portion of the business acquired is tax deductible.</w:t>
      </w:r>
    </w:p>
    <w:p>
      <w:pPr>
        <w:spacing w:after="0" w:line="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**Adjustments to cash consideration represent certain one-time liabilities (including loan notes) identified at the acquisition date which have subsequently been paid.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Restructuring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restructuring charge of $4.1 million was recognized during the three months ended September 30, 2016 ($8.2 million for the nine months ended September 30, 2016) under a restructuring plan adopted following a review by the company of its operations. The restructuring plan includes resource rationalizations in certain areas of the business to improve resource utilization, resulting in a charge of $2.1 million, and office consolidation which results in the recognition of an onerous lease obligation of $2.0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restructuring charge recognized in the three and nine months ended September 30, 2016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6"/>
          </w:tcPr>
          <w:p>
            <w:pPr>
              <w:jc w:val="right"/>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0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5"/>
          </w:tcPr>
          <w:p>
            <w:pPr>
              <w:jc w:val="right"/>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1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7"/>
                <w:szCs w:val="17"/>
                <w:color w:val="auto"/>
              </w:rPr>
            </w:pPr>
          </w:p>
        </w:tc>
        <w:tc>
          <w:tcPr>
            <w:tcW w:w="11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6"/>
          </w:tcPr>
          <w:p>
            <w:pPr>
              <w:jc w:val="right"/>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1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11"/>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8,159</w:t>
            </w:r>
          </w:p>
        </w:tc>
        <w:tc>
          <w:tcPr>
            <w:tcW w:w="11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8,159</w:t>
            </w:r>
          </w:p>
        </w:tc>
        <w:tc>
          <w:tcPr>
            <w:tcW w:w="1140" w:type="dxa"/>
            <w:vAlign w:val="bottom"/>
            <w:tcBorders>
              <w:top w:val="single" w:sz="8" w:color="auto"/>
              <w:bottom w:val="single" w:sz="8" w:color="auto"/>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Details of the movement in the restructuring charge recognized in the three and nine months ended 30 September 2016 are as follows;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Workforce</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200" w:type="dxa"/>
            <w:vAlign w:val="bottom"/>
          </w:tcPr>
          <w:p>
            <w:pPr>
              <w:spacing w:after="0"/>
              <w:rPr>
                <w:sz w:val="18"/>
                <w:szCs w:val="18"/>
                <w:color w:val="auto"/>
              </w:rPr>
            </w:pPr>
          </w:p>
        </w:tc>
        <w:tc>
          <w:tcPr>
            <w:tcW w:w="130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consolidation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6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30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Q2 initial restructuring charge recorded</w:t>
            </w:r>
          </w:p>
        </w:tc>
        <w:tc>
          <w:tcPr>
            <w:tcW w:w="20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4,094</w:t>
            </w:r>
          </w:p>
        </w:tc>
        <w:tc>
          <w:tcPr>
            <w:tcW w:w="20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tcPr>
          <w:p>
            <w:pPr>
              <w:spacing w:after="0"/>
              <w:rPr>
                <w:sz w:val="19"/>
                <w:szCs w:val="19"/>
                <w:color w:val="auto"/>
              </w:rPr>
            </w:pPr>
          </w:p>
        </w:tc>
        <w:tc>
          <w:tcPr>
            <w:tcW w:w="130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June 30, 2016</w:t>
            </w:r>
          </w:p>
        </w:tc>
        <w:tc>
          <w:tcPr>
            <w:tcW w:w="1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3,193</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Q3 restructuring charge recorded</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2,096</w:t>
            </w:r>
          </w:p>
        </w:tc>
        <w:tc>
          <w:tcPr>
            <w:tcW w:w="200" w:type="dxa"/>
            <w:vAlign w:val="bottom"/>
          </w:tcPr>
          <w:p>
            <w:pPr>
              <w:spacing w:after="0"/>
              <w:rPr>
                <w:sz w:val="18"/>
                <w:szCs w:val="18"/>
                <w:color w:val="auto"/>
              </w:rPr>
            </w:pPr>
          </w:p>
        </w:tc>
        <w:tc>
          <w:tcPr>
            <w:tcW w:w="130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4,065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5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at September 30, 2016</w:t>
            </w:r>
          </w:p>
        </w:tc>
        <w:tc>
          <w:tcPr>
            <w:tcW w:w="20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3,046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1,969</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5,015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Income Taxes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Income taxes recognized during the three and nine months ended September 30, 2016 comprise:</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38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10"/>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before restructuring and other items</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10,979</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31,669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29,534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Tax impact of restructuring and other items</w:t>
            </w: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(1,020)</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 after restructuring and other items</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10,470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9,196</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30,649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29,534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at September 30, 2016 the Company maintains a $34.1 million liability (December 31, 2015: $31.4 million) for unrecognized tax benefit, which is comprised of $30.4 million (December 31, 2015: $28.1 million) related to items generating unrecognized tax benefits and $3.7 million (December 31, 2015: $3.3 million) for interest and related penalties to such items. The Company recognizes interest accrued on unrecognized tax benefits as an additional income tax expense.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2011 through 2015 tax years. The Company does not believe that the outcome of any examination will have a material impact on its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income per ordinary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number of shares used in the computation of basic and diluted net income per ordinary share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72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260" w:type="dxa"/>
            <w:vAlign w:val="bottom"/>
          </w:tcPr>
          <w:p>
            <w:pPr>
              <w:spacing w:after="0"/>
              <w:rPr>
                <w:sz w:val="17"/>
                <w:szCs w:val="17"/>
                <w:color w:val="auto"/>
              </w:rPr>
            </w:pPr>
          </w:p>
        </w:tc>
        <w:tc>
          <w:tcPr>
            <w:tcW w:w="1600" w:type="dxa"/>
            <w:vAlign w:val="bottom"/>
            <w:gridSpan w:val="6"/>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5"/>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3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17"/>
                <w:szCs w:val="17"/>
                <w:color w:val="auto"/>
              </w:rPr>
            </w:pPr>
          </w:p>
        </w:tc>
        <w:tc>
          <w:tcPr>
            <w:tcW w:w="1600" w:type="dxa"/>
            <w:vAlign w:val="bottom"/>
            <w:gridSpan w:val="6"/>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w:t>
            </w: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for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ordinary share</w:t>
            </w:r>
          </w:p>
        </w:tc>
        <w:tc>
          <w:tcPr>
            <w:tcW w:w="3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55,734,773</w:t>
            </w:r>
          </w:p>
        </w:tc>
        <w:tc>
          <w:tcPr>
            <w:tcW w:w="164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58,659,782</w:t>
            </w:r>
          </w:p>
        </w:tc>
        <w:tc>
          <w:tcPr>
            <w:tcW w:w="1600" w:type="dxa"/>
            <w:vAlign w:val="bottom"/>
            <w:gridSpan w:val="6"/>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55,355,020</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59,728,608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dilutive share options</w:t>
            </w: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3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910,466</w:t>
            </w:r>
          </w:p>
        </w:tc>
        <w:tc>
          <w:tcPr>
            <w:tcW w:w="164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1,710,116</w:t>
            </w:r>
          </w:p>
        </w:tc>
        <w:tc>
          <w:tcPr>
            <w:tcW w:w="160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color w:val="auto"/>
              </w:rPr>
              <w:t>1,120,299</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2,057,241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w:t>
            </w: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for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ordinary</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314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56,645,239</w:t>
            </w:r>
          </w:p>
        </w:tc>
        <w:tc>
          <w:tcPr>
            <w:tcW w:w="1640" w:type="dxa"/>
            <w:vAlign w:val="bottom"/>
            <w:tcBorders>
              <w:bottom w:val="single" w:sz="8" w:color="auto"/>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60,369,898</w:t>
            </w:r>
          </w:p>
        </w:tc>
        <w:tc>
          <w:tcPr>
            <w:tcW w:w="1600" w:type="dxa"/>
            <w:vAlign w:val="bottom"/>
            <w:tcBorders>
              <w:bottom w:val="single" w:sz="8" w:color="auto"/>
            </w:tcBorders>
            <w:gridSpan w:val="6"/>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56,475,319</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61,785,849</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3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Share-based Awards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option granted under the 2008 Employee Plan or the 2008 Consultants Plan (together the “2008 Option Plans”) will be an employee stock option, or Non-qualifying Stock Options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2016 is eight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option activity for the nine months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8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8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8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3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1,626,582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34.87</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11.94</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256,191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20.10</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(268,713)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26.81</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11.47</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2016</w:t>
            </w:r>
          </w:p>
        </w:tc>
        <w:tc>
          <w:tcPr>
            <w:tcW w:w="3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1,594,235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13.57</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2016</w:t>
            </w:r>
          </w:p>
        </w:tc>
        <w:tc>
          <w:tcPr>
            <w:tcW w:w="3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739,901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10.63</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1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outstanding options with fair values ranging from $6.19 to $20.78 per option or a weighted average fair value of $10.62 per option. The Company issues ordinary shares for all options exercised. The total amount of fully vested share options which remained outstanding at September 30, 2016, was 739,901. Fully vested share options at September 30, 2016, have an average remaining contractual term of 3.38 years, an average exercise price of $29.35 and a total intrinsic value of $35.5 million. The total intrinsic value of options exercised during the nine months ended September 30, 2016 was $12.5 million (September 30, 2015: $30.5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movement in non-vested share options for the nine months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4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vested outstanding at December 31, 2015</w:t>
            </w:r>
          </w:p>
        </w:tc>
        <w:tc>
          <w:tcPr>
            <w:tcW w:w="3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968,853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42.14</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256,191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69.61</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(353,888)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37.04</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(16,822)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32.27</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vested outstanding at September 30, 2016</w:t>
            </w:r>
          </w:p>
        </w:tc>
        <w:tc>
          <w:tcPr>
            <w:tcW w:w="3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854,334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52.69</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Stock Options Assumptions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fair value of options granted during the nine months ended September 30, 2016 and September 30, 2015 was calculated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 The weighted average fair values and assumptions used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6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00" w:type="dxa"/>
            <w:vAlign w:val="bottom"/>
            <w:gridSpan w:val="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5"/>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5"/>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3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Assumptions:</w:t>
            </w:r>
          </w:p>
        </w:tc>
        <w:tc>
          <w:tcPr>
            <w:tcW w:w="438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40" w:type="dxa"/>
            <w:vAlign w:val="bottom"/>
          </w:tcPr>
          <w:p>
            <w:pPr>
              <w:spacing w:after="0"/>
              <w:rPr>
                <w:sz w:val="18"/>
                <w:szCs w:val="18"/>
                <w:color w:val="auto"/>
              </w:rPr>
            </w:pPr>
          </w:p>
        </w:tc>
        <w:tc>
          <w:tcPr>
            <w:tcW w:w="11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54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40" w:type="dxa"/>
            <w:vAlign w:val="bottom"/>
          </w:tcPr>
          <w:p>
            <w:pPr>
              <w:spacing w:after="0"/>
              <w:rPr>
                <w:sz w:val="18"/>
                <w:szCs w:val="18"/>
                <w:color w:val="auto"/>
              </w:rPr>
            </w:pPr>
          </w:p>
        </w:tc>
        <w:tc>
          <w:tcPr>
            <w:tcW w:w="11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5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 years</w:t>
            </w: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Restricted Share Units and Performance Share Units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1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awarded RSUs and PSUs to certain key individuals of the Group. The following table summarizes RSU and PSU activity for the nine months ended September 30,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PSU</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PSU</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RSU</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901,773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48.33</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1,067,613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48.30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247,992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71.58</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373,630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66.93</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(311,492)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33.09</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35.92</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56.58</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51.96</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2016</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830,523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60.73</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1.36</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1,040,510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58.09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RSUs vested for the nine months ended September 30, 2016 totaled $10.5 million (full year 2015: $7.0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PSUs vested for the nine months ended September 30, 2016 totaled $10.3 million (the fair value of PSUs vested for the full year 2015 was $0.3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PSUs vest based on service and specified EPS targets over the period 2013 – 2016, 2014 – 2017, 2015 – 2018 and 2016 - 2019. Since 2013, 421,079 PSUs (net of forfeitures) have been granted. Depending on the actual amount of EPS from 2013 to 2019, up to an additional 409,444 PSUs may also be granted.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6"/>
        </w:trPr>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stock compensation expense</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Non-cash stock compensation expense for the three and nine months ended September 30, 2016 has been allocated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10"/>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12,942</w:t>
            </w:r>
          </w:p>
        </w:tc>
      </w:tr>
      <w:tr>
        <w:trPr>
          <w:trHeight w:val="25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4,055</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14,305</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11,101</w:t>
            </w:r>
          </w:p>
        </w:tc>
      </w:tr>
      <w:tr>
        <w:trPr>
          <w:trHeight w:val="216"/>
        </w:trPr>
        <w:tc>
          <w:tcPr>
            <w:tcW w:w="4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0"/>
        </w:trPr>
        <w:tc>
          <w:tcPr>
            <w:tcW w:w="44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10,445</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9,031</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31,135</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24,043</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non-cash stock compensation expense not yet recognized at September 30, 2016 amounted to $76.1 million. The weighted average period over which this is expected to be recognized is 2.2 years . Total tax benefit recognized in additional paid in capital related to the non-cash compensation expense amounted to $5.4 million for the nine months ended September 30, 2016 (September 30, 2015: $3.0 million).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8. Business Segment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determines and presents operating segments based on the information that is internally provided to the Chief Executive Officer, Chief Financial Officer and Chief Operating Officer, who together are considered the Company’s chief operating decision maker, in accordance with FASB ASC 280-10 </w:t>
      </w:r>
      <w:r>
        <w:rPr>
          <w:rFonts w:ascii="Times New Roman" w:cs="Times New Roman" w:eastAsia="Times New Roman" w:hAnsi="Times New Roman"/>
          <w:sz w:val="18"/>
          <w:szCs w:val="18"/>
          <w:i w:val="1"/>
          <w:iCs w:val="1"/>
          <w:color w:val="auto"/>
        </w:rPr>
        <w:t>Disclosures about Segments of an Enterprises and Related Information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As such it enters into the majority of the Company’s customer contracts.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net revenues of the Group after deducting the cost plus revenues attributable to the activities performed outside Ireland.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areas of operation outside of Ireland include the United States, United Kingdom,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information as at September 30, 2016 and December 31, 2015 and for the three and nine months ended September 30, 2016 and September 30, 2015 is as follows: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The distribution of net revenue by geographical area was as follows: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97,299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113,060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293,787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680" w:type="dxa"/>
            <w:vAlign w:val="bottom"/>
          </w:tcPr>
          <w:p>
            <w:pPr>
              <w:spacing w:after="0"/>
              <w:rPr>
                <w:sz w:val="18"/>
                <w:szCs w:val="18"/>
                <w:color w:val="auto"/>
              </w:rPr>
            </w:pPr>
          </w:p>
        </w:tc>
        <w:tc>
          <w:tcPr>
            <w:tcW w:w="108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76,427</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79,077</w:t>
            </w:r>
          </w:p>
        </w:tc>
        <w:tc>
          <w:tcPr>
            <w:tcW w:w="300" w:type="dxa"/>
            <w:vAlign w:val="bottom"/>
          </w:tcPr>
          <w:p>
            <w:pPr>
              <w:spacing w:after="0"/>
              <w:rPr>
                <w:sz w:val="18"/>
                <w:szCs w:val="18"/>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231,505</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241,705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161,144</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581,732</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475,508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42,210</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41,460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124,329</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121,853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420,201</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394,741</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1,231,353</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1,171,629</w:t>
            </w:r>
          </w:p>
        </w:tc>
        <w:tc>
          <w:tcPr>
            <w:tcW w:w="0" w:type="dxa"/>
            <w:vAlign w:val="bottom"/>
          </w:tcPr>
          <w:p>
            <w:pPr>
              <w:spacing w:after="0"/>
              <w:rPr>
                <w:sz w:val="1"/>
                <w:szCs w:val="1"/>
                <w:color w:val="auto"/>
              </w:rPr>
            </w:pPr>
          </w:p>
        </w:tc>
      </w:tr>
    </w:tbl>
    <w:p>
      <w:pPr>
        <w:ind w:left="660" w:hanging="142"/>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shown for Ireland are export sales.</w:t>
      </w:r>
    </w:p>
    <w:p>
      <w:pPr>
        <w:spacing w:after="0" w:line="233"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income from operations, including restructuring,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2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63,933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56,612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178,081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270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3,871</w:t>
            </w:r>
          </w:p>
        </w:tc>
        <w:tc>
          <w:tcPr>
            <w:tcW w:w="300" w:type="dxa"/>
            <w:vAlign w:val="bottom"/>
          </w:tcPr>
          <w:p>
            <w:pPr>
              <w:spacing w:after="0"/>
              <w:rPr>
                <w:sz w:val="18"/>
                <w:szCs w:val="18"/>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9,144</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7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8,129</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34,081</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2,773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5,745</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77,114</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71,385</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227,051</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206,191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The distribution of income from operations, excluding restructuring,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2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64,821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56,612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182,698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29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3,871</w:t>
            </w:r>
          </w:p>
        </w:tc>
        <w:tc>
          <w:tcPr>
            <w:tcW w:w="300" w:type="dxa"/>
            <w:vAlign w:val="bottom"/>
          </w:tcPr>
          <w:p>
            <w:pPr>
              <w:spacing w:after="0"/>
              <w:rPr>
                <w:sz w:val="18"/>
                <w:szCs w:val="18"/>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9,979</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92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13,813</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8,129</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36,423</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9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2,773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81,179</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71,385</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235,210</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206,191</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d) The distribution of property, plant and equipment, net,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6"/>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Borders>
              <w:left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106,945</w:t>
            </w: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101,736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7,334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31,185</w:t>
            </w:r>
          </w:p>
        </w:tc>
        <w:tc>
          <w:tcPr>
            <w:tcW w:w="42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6,628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151,375</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150,218</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 The distribution of depreciation and amortization by geographical area was as follows: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2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7"/>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gridSpan w:val="3"/>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auto"/>
            </w:tcBorders>
            <w:gridSpan w:val="3"/>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top w:val="single" w:sz="8" w:color="auto"/>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6"/>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7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2,003</w:t>
            </w:r>
          </w:p>
        </w:tc>
        <w:tc>
          <w:tcPr>
            <w:tcW w:w="3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6,217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6,277</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17,154</w:t>
            </w:r>
          </w:p>
        </w:tc>
        <w:tc>
          <w:tcPr>
            <w:tcW w:w="42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2,934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14,543</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14,366</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44,120</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42,535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 The distribution of total assets by geographical area was as follows: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24"/>
                <w:szCs w:val="24"/>
                <w:color w:val="auto"/>
              </w:rPr>
            </w:pPr>
          </w:p>
        </w:tc>
        <w:tc>
          <w:tcPr>
            <w:tcW w:w="9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right w:val="single" w:sz="8" w:color="auto"/>
            </w:tcBorders>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7"/>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5"/>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822,071</w:t>
            </w: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352,394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343,733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658,016</w:t>
            </w: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641,769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67,997</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68,647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1,900,478</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1,717,209</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ind w:left="520" w:hanging="2"/>
        <w:spacing w:after="0" w:line="261" w:lineRule="auto"/>
        <w:tabs>
          <w:tab w:leader="none" w:pos="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December 31, 2015 Balance Sheet has been retrospectively restated as required to reflect the requirements of new guidance in respect of the presentation of debt issue costs.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2015. The Consolidated Financial Statements have been prepared in accordance with accounting principles generally accepted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2016, we employed approximately 12,592 employees, in 88 locations in 37 countries. During the nine months ended September 30, 2016 we derived approximately 47.2%, 42.7% and 10.1% of our net revenue in the United States, Europe and Rest of World respectively.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consists of potential net revenue yet to be earned from projects awarded by clients. At September 30, 2016 we had a backlog of approximately $4.2 billion, compared with approximately $3.9 billion at December 31, 2015.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2016 compared with Three Months Ended September 30, 2015</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gridSpan w:val="4"/>
          </w:tcPr>
          <w:p>
            <w:pPr>
              <w:spacing w:after="0"/>
              <w:rPr>
                <w:sz w:val="17"/>
                <w:szCs w:val="17"/>
                <w:color w:val="auto"/>
              </w:rPr>
            </w:pPr>
          </w:p>
        </w:tc>
        <w:tc>
          <w:tcPr>
            <w:tcW w:w="680" w:type="dxa"/>
            <w:vAlign w:val="bottom"/>
            <w:gridSpan w:val="5"/>
            <w:vMerge w:val="restart"/>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360" w:type="dxa"/>
            <w:vAlign w:val="bottom"/>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1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360" w:type="dxa"/>
            <w:vAlign w:val="bottom"/>
          </w:tcPr>
          <w:p>
            <w:pPr>
              <w:spacing w:after="0"/>
              <w:rPr>
                <w:sz w:val="17"/>
                <w:szCs w:val="17"/>
                <w:color w:val="auto"/>
              </w:rPr>
            </w:pPr>
          </w:p>
        </w:tc>
        <w:tc>
          <w:tcPr>
            <w:tcW w:w="1400" w:type="dxa"/>
            <w:vAlign w:val="bottom"/>
            <w:gridSpan w:val="6"/>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2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17"/>
                <w:szCs w:val="17"/>
                <w:color w:val="auto"/>
              </w:rPr>
            </w:pPr>
          </w:p>
        </w:tc>
        <w:tc>
          <w:tcPr>
            <w:tcW w:w="1400" w:type="dxa"/>
            <w:vAlign w:val="bottom"/>
            <w:gridSpan w:val="6"/>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260" w:type="dxa"/>
            <w:vAlign w:val="bottom"/>
            <w:gridSpan w:val="8"/>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60" w:type="dxa"/>
            <w:vAlign w:val="bottom"/>
            <w:vMerge w:val="restart"/>
          </w:tcPr>
          <w:p>
            <w:pPr>
              <w:spacing w:after="0"/>
              <w:rPr>
                <w:sz w:val="17"/>
                <w:szCs w:val="17"/>
                <w:color w:val="auto"/>
              </w:rPr>
            </w:pPr>
          </w:p>
        </w:tc>
        <w:tc>
          <w:tcPr>
            <w:tcW w:w="2720" w:type="dxa"/>
            <w:vAlign w:val="bottom"/>
            <w:gridSpan w:val="12"/>
            <w:vMerge w:val="restart"/>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Percentage of Net Revenue</w:t>
            </w:r>
          </w:p>
        </w:tc>
        <w:tc>
          <w:tcPr>
            <w:tcW w:w="126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60" w:type="dxa"/>
            <w:vAlign w:val="bottom"/>
            <w:vMerge w:val="continue"/>
          </w:tcPr>
          <w:p>
            <w:pPr>
              <w:spacing w:after="0"/>
              <w:rPr>
                <w:sz w:val="17"/>
                <w:szCs w:val="17"/>
                <w:color w:val="auto"/>
              </w:rPr>
            </w:pPr>
          </w:p>
        </w:tc>
        <w:tc>
          <w:tcPr>
            <w:tcW w:w="2720" w:type="dxa"/>
            <w:vAlign w:val="bottom"/>
            <w:gridSpan w:val="12"/>
            <w:vMerge w:val="continue"/>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780" w:type="dxa"/>
            <w:vAlign w:val="bottom"/>
            <w:tcBorders>
              <w:bottom w:val="single" w:sz="8" w:color="auto"/>
            </w:tcBorders>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tcBorders>
              <w:bottom w:val="single" w:sz="8" w:color="auto"/>
            </w:tcBorders>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Costs and expenses:</w:t>
            </w:r>
          </w:p>
        </w:tc>
        <w:tc>
          <w:tcPr>
            <w:tcW w:w="35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378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14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12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8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4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2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78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78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4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7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780" w:type="dxa"/>
            <w:vAlign w:val="bottom"/>
            <w:tcBorders>
              <w:bottom w:val="single" w:sz="8" w:color="auto"/>
            </w:tcBorders>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400" w:type="dxa"/>
            <w:vAlign w:val="bottom"/>
            <w:tcBorders>
              <w:bottom w:val="single" w:sz="8" w:color="auto"/>
            </w:tcBorders>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revenue for the period increased by $25.5 million, or 6.4%, from $394.7 million for the three months ended September 30, 2015 to $420.2 million for the three months ended September 30, 2016. Net revenue increased by 6.8% in constant currency and by 4.3% in constant dollar organic terms. The increase in revenues in the three months ended September 30, 2016 can be explained by both continued growth and the additional net revenues from the acquisition of PMG which was acquired on December 4, 2015 and ClinicalRM which was acquired on September 15, 2016. During the three months ended September 30, 2016 we derived approximately 48.6%, 41.3% and 10.1% of our net revenue in the United States, Europe and Rest of World respectively. During the three months ended September 30, 2016 $185.4 million or 44.1% of our net revenues were derived from our top 5 customers compared to $192.6 million or 48.8% of net revenues derived from our top 5 customers during the three months ended September 30, 2015. The largest of these customers related to a Strategic Partnership with a large global pharmaceutical company. Net revenue from this customer contributed 25.2% of net revenue for the quarter, compared to 30.7% of net revenue in respect of the three months ended September 30, 2015. The addition of new customer accounts, particularly mid-tier pharma customers and biotech customers continues to result in a reduction in concentration of revenues from our top five customers.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Net revenue in Ireland decreased from $113.1 million for the three months ended September 30, 2015 to $97.3 million for the three months ended September 30, 2016. Net revenue in Ireland is principally a function of the Company’s global transfer pricing model (</w:t>
      </w:r>
      <w:r>
        <w:rPr>
          <w:rFonts w:ascii="Times New Roman" w:cs="Times New Roman" w:eastAsia="Times New Roman" w:hAnsi="Times New Roman"/>
          <w:sz w:val="18"/>
          <w:szCs w:val="18"/>
          <w:i w:val="1"/>
          <w:iCs w:val="1"/>
          <w:color w:val="auto"/>
        </w:rPr>
        <w:t>see note 8 Business Segmental Information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details</w:t>
      </w:r>
      <w:r>
        <w:rPr>
          <w:rFonts w:ascii="Times New Roman" w:cs="Times New Roman" w:eastAsia="Times New Roman" w:hAnsi="Times New Roman"/>
          <w:sz w:val="18"/>
          <w:szCs w:val="18"/>
          <w:color w:val="auto"/>
        </w:rPr>
        <w:t>). Net revenue in our Rest of Europe region decreased from $79.1 million for the three months ended September 30, 2015 to $76.4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2016, while net revenue in our Rest of World region increased from $41.5 million for the three months ended September 30, 2015 to $42.2 million for the three months ended September 30, 2016. Net revenues in non-U.S. dollar operations in this region were impacted by foreign currency translation and the movement in local rates to the U.S. dollar over the comparative quarter. Net revenue in the U.S. region increased from $161.1 million for the three months ended September 30, 2015 to $204.3 million for the three months ended September 30, 2016. Net revenues in the U.S. region for the three months ended September 30, 2016 was impacted positively by the acquisition of PMG, which was acquired on December 4, 2015 and the acquisition of ClinicalRM which was acquired on September 15, 2016.</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 costs for the period increased by $16.7 million, or 7.4%, from $226.5 million for the three months ended September 30, 2015 to $243.2 million for the three months ended September 30, 2016.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$19.2 million and laboratory costs of $2.1 million. This increase was offset by a decrease in travel related costs of $1.4 million and a decrease in other direct project related costs of $3.2 million. As a percentage of net revenue, direct costs have increased from 57.4% for the three months ended September 30, 2015 to 57.9% for the three months ended September 30, 2016.</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for the period decreased by $1.2 million, or 1.5%, from $82.4 million for the three months ended September 30, 2015 to $81.2 million for the three months ended September 30, 2016.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decrease in selling, general and administration expenses for the period reflects continued focus on personnel related expenditure and facilities and related costs, offset by net foreign exchange movements of $1.2 million. As a percentage of net revenue, selling, general and administrative expenses, decreased from 20.9% for the three months ended September 30, 2015 to 19.3% for the three months ended September 30, 2016.</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Depreciation expense for the period increased by $0.3 million, or 3.0%, from $10.4 million for three months ended September 30, 2015 to $10.7 million for three months ended September 30, 2016. Depreciation expense arises principally from continued investment in facilities, information systems and equipment to support the Company’s growth. As a percentage of net revenue (2.5%), the depreciation expense for the three months ended September 2016 remained in line with the percentage of net revenue charge for the three months ended September 30, 2015 (2.6%). Amortization expense for the period decreased by $0.1 million, or 3.3%, from $4.0 million for the three months ended September 30, 2015 to $3.9 million for the three months ended September 30, 2016. Amortization expense represents the amortization of intangible assets acquired on business combinations. The main reason for the decrease in the amortization expense for the period relates to the finalisation of the amortization charge in respect of the MediMedia order backlog asset, this was offset in part by the additional amortization for the period related to the PMG acquisition. As a percentage of net revenue, amortization expense decreased from 1.0% for the three months ended September 30, 2015 to 0.9% for the three months ended September 30, 2016.</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2016, a restructuring charge of $4.1 million was recognized under a restructuring plan adopted following a review by the company of its operations. The restructuring plan includes resource rationalizations in certain areas of the business to improve resource utilization and an onerous lease charge arising on office consolidation (</w:t>
      </w:r>
      <w:r>
        <w:rPr>
          <w:rFonts w:ascii="Times New Roman" w:cs="Times New Roman" w:eastAsia="Times New Roman" w:hAnsi="Times New Roman"/>
          <w:sz w:val="18"/>
          <w:szCs w:val="18"/>
          <w:i w:val="1"/>
          <w:iCs w:val="1"/>
          <w:color w:val="auto"/>
        </w:rPr>
        <w:t>see note 4 Restructuring for further information).</w:t>
      </w:r>
      <w:r>
        <w:rPr>
          <w:rFonts w:ascii="Times New Roman" w:cs="Times New Roman" w:eastAsia="Times New Roman" w:hAnsi="Times New Roman"/>
          <w:sz w:val="18"/>
          <w:szCs w:val="18"/>
          <w:color w:val="auto"/>
        </w:rPr>
        <w:t xml:space="preserve"> During the three months ended September 30, 2015, there was no restructuring charge incurred.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above, income from operations for the three months increased by $5.7 million, or 8.0%, from $71.4 million for the three months ended September 30, 2015 to $77.1 million for the three months ended September 30, 2016 ($81.2 million excluding restructuring charges). As a percentage of net revenue, income from operations increased from 18.1% of net revenues for the three months ended September 30, 2015 to 18.4% of net revenues for the three months ended September 30, 2016 (19.3% excluding restructuring charges).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from operations in Ireland increased from $56.6 million for the three months ended September 30, 2015 to $63.9 million for the three months ended September 30, 2016 ($64.8 million excluding restructuring charges). Income from operations in Ireland is impacted by the Group’s global transfer pricing model </w:t>
      </w:r>
      <w:r>
        <w:rPr>
          <w:rFonts w:ascii="Times New Roman" w:cs="Times New Roman" w:eastAsia="Times New Roman" w:hAnsi="Times New Roman"/>
          <w:sz w:val="18"/>
          <w:szCs w:val="18"/>
          <w:i w:val="1"/>
          <w:iCs w:val="1"/>
          <w:color w:val="auto"/>
        </w:rPr>
        <w:t>(see note 8 Business Segmental Information for further details).</w:t>
      </w:r>
      <w:r>
        <w:rPr>
          <w:rFonts w:ascii="Times New Roman" w:cs="Times New Roman" w:eastAsia="Times New Roman" w:hAnsi="Times New Roman"/>
          <w:sz w:val="18"/>
          <w:szCs w:val="18"/>
          <w:color w:val="auto"/>
        </w:rPr>
        <w:t xml:space="preserve"> Income from operations in our Rest of Europe region decreased from $3.9 million for the three months ended September 30, 2015 to $0.8 million for the three months ended September 30, 2016 ($1.4 million excluding restructuring charges), while income from operations in our Rest of World region decreased from $2.8 million for the three months ended September 30, 2015 to $0.9 million for the three months ended September 30, 2016 ($1.2 million excluding restructuring charges). Income from operations in these regions was impacted by foreign currency translation and the movement in local rates to the U.S. dollar over the comparative quarter. Income from operations in the U.S. region increased from $8.1 million for the three months ended September 30, 2015 to $11.5 million for the three months ended September 30, 2016 ($13.8 million excluding restructuring charges). Income from operations in this region was positively impacted by the acquisition of PMG, which was acquired on December 4, 2015 and ClinicalRM which was acquired on September 15, 2016.</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period increased by $2.0 million or 174.0%, from $1.2 million for the three months ended September 30, 2015 to $3.2 million for the three months ended September 30, 2016. Interest income decreased by $0.07 million or 13.0%, from $0.53 million for the three months ended September 30, 2015 to $0.46 million for the three months ended September 30, 2016.</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income taxes for the period increased from $9.2 million for the three months ended September 30, 2015 to $10.5 million ($11.0 million excluding restructuring) for the three months ended September 30, 2016. The Company’s effective tax rate for the three months ended September 30, 2016 was 14.1% (14.0% excluding restructuring) compared with 13.0% for the three months ended September 30, 2015. The Company’s effective tax rate is principally a function of the distribution of pre-tax profits amongst the territories in which it operates.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2016 compared with Nine Months Ended September 30, 2015</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60" w:type="dxa"/>
            <w:vAlign w:val="bottom"/>
            <w:gridSpan w:val="5"/>
          </w:tcPr>
          <w:p>
            <w:pPr>
              <w:spacing w:after="0"/>
              <w:rPr>
                <w:sz w:val="17"/>
                <w:szCs w:val="17"/>
                <w:color w:val="auto"/>
              </w:rPr>
            </w:pPr>
          </w:p>
        </w:tc>
        <w:tc>
          <w:tcPr>
            <w:tcW w:w="680" w:type="dxa"/>
            <w:vAlign w:val="bottom"/>
            <w:gridSpan w:val="5"/>
            <w:vMerge w:val="restart"/>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8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89"/>
              </w:rPr>
              <w:t>September</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360" w:type="dxa"/>
            <w:vAlign w:val="bottom"/>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160" w:type="dxa"/>
            <w:vAlign w:val="bottom"/>
            <w:gridSpan w:val="4"/>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420" w:type="dxa"/>
            <w:vAlign w:val="bottom"/>
          </w:tcPr>
          <w:p>
            <w:pPr>
              <w:spacing w:after="0"/>
              <w:rPr>
                <w:sz w:val="17"/>
                <w:szCs w:val="17"/>
                <w:color w:val="auto"/>
              </w:rPr>
            </w:pPr>
          </w:p>
        </w:tc>
        <w:tc>
          <w:tcPr>
            <w:tcW w:w="1400" w:type="dxa"/>
            <w:vAlign w:val="bottom"/>
            <w:gridSpan w:val="7"/>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3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17"/>
                <w:szCs w:val="17"/>
                <w:color w:val="auto"/>
              </w:rPr>
            </w:pPr>
          </w:p>
        </w:tc>
        <w:tc>
          <w:tcPr>
            <w:tcW w:w="1400" w:type="dxa"/>
            <w:vAlign w:val="bottom"/>
            <w:gridSpan w:val="7"/>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2015</w:t>
            </w:r>
          </w:p>
        </w:tc>
        <w:tc>
          <w:tcPr>
            <w:tcW w:w="1260" w:type="dxa"/>
            <w:vAlign w:val="bottom"/>
            <w:gridSpan w:val="8"/>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160" w:type="dxa"/>
            <w:vAlign w:val="bottom"/>
            <w:gridSpan w:val="13"/>
            <w:vMerge w:val="restart"/>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Percentage of Net Revenue</w:t>
            </w:r>
          </w:p>
        </w:tc>
        <w:tc>
          <w:tcPr>
            <w:tcW w:w="126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160" w:type="dxa"/>
            <w:vAlign w:val="bottom"/>
            <w:gridSpan w:val="13"/>
            <w:vMerge w:val="continue"/>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760" w:type="dxa"/>
            <w:vAlign w:val="bottom"/>
            <w:tcBorders>
              <w:bottom w:val="single" w:sz="8" w:color="auto"/>
            </w:tcBorders>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tcBorders>
              <w:bottom w:val="single" w:sz="8" w:color="auto"/>
            </w:tcBorders>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Costs and expenses:</w:t>
            </w:r>
          </w:p>
        </w:tc>
        <w:tc>
          <w:tcPr>
            <w:tcW w:w="35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left w:val="single" w:sz="8" w:color="CCEEFF"/>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37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14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2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4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2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7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7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7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vMerge w:val="continue"/>
          </w:tcPr>
          <w:p>
            <w:pPr>
              <w:spacing w:after="0"/>
              <w:rPr>
                <w:sz w:val="21"/>
                <w:szCs w:val="21"/>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7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40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2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 for the period increased by $59.7 million, or 5.1%, from $1,171.6 million for the nine months ended September 30, 2015 to $1,231.4 million for the six months ended September 30, 2016. Net revenue increased by 5.6% in constant currency and by 2.8% in constant dollar organic terms. The increase in revenues in the nine months ended September 30, 2016 can be explained by both continued growth and the additional net revenues from the acquisition of PMG which was acquired on December 4, 2015 and ClinicalRM which was acquired on September 15, 2016. During the nine months ended September 30, 2016 we derived approximately 47.2%, 42.7% and 10.1% of our net revenue in the United States, Europe and Rest of World respectively.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2016 $552.3 million or 44.9% of our net revenues were derived from our top 5 customers compared to $591.6 million or 50.5% of net revenues derived from our top 5 customers during the nine months ended September 30, 2015. The largest of these customers related to a Strategic Partnership with a large global pharmaceutical company. Net revenue from this customer contributed 27.4% of net revenue for the nine months ended September 30, 2016, compared to 31.6% of net revenue in respect of the nine months ended September 30, 2015. The addition of new customer accounts, particularly mid-tier pharma customers and biotech customers continues to result in a reduction in concentration of revenues from our top five customers.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revenue in Ireland decreased from $332.6 million for the nine months ended September 30, 2015 to $293.8 million for the nine months ended September 30, 2016. Net revenue in Ireland is principally a function of the Company’s global transfer pricing model (</w:t>
      </w:r>
      <w:r>
        <w:rPr>
          <w:rFonts w:ascii="Times New Roman" w:cs="Times New Roman" w:eastAsia="Times New Roman" w:hAnsi="Times New Roman"/>
          <w:sz w:val="18"/>
          <w:szCs w:val="18"/>
          <w:i w:val="1"/>
          <w:iCs w:val="1"/>
          <w:color w:val="auto"/>
        </w:rPr>
        <w:t>see note 8 Business Segmental Information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details</w:t>
      </w:r>
      <w:r>
        <w:rPr>
          <w:rFonts w:ascii="Times New Roman" w:cs="Times New Roman" w:eastAsia="Times New Roman" w:hAnsi="Times New Roman"/>
          <w:sz w:val="18"/>
          <w:szCs w:val="18"/>
          <w:color w:val="auto"/>
        </w:rPr>
        <w:t>). Net revenue in our Rest of Europe region decreased from $241.7 million for the nine months ended September 30, 2015 to $231.5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2016, while net revenue in our Rest of World region increased from $121.9 million for the nine months ended September 30, 2015 to $124.3 million for the nine months ended September 30, 2016. Net revenues in non-U.S. dollar operations in this region were impacted by foreign currency translation and the movement in local rates to the U.S. dollar over the comparative quarter. Net revenue in the U.S. region increased from $475.5 million for the nine months ended September 30, 2015 to $581.7 million for the nine months ended September 30, 2016. Net revenues in the U.S. region for the nine months ended September 30, 2016 were impacted positively by the acquisitions of MediMedia, which was acquired on February 27, 2015, PMG, which was acquired on December 4, 2015 and Clinical Research Management, Inc. (ClinicalRM) which was acquired on September 15, 2016.</w:t>
      </w: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 costs for the period increased by $30.2 million, or 4.5%, from $679.6 million for the nine months ended September 30, 2015 to $709.8 million for the nine months ended September 30, 2016. Direct costs consist primarily of compensation, associated fringe benefits and share based compensation expense for project-related employees and other direct project driven costs. The increase in direct costs during the period reflects an increase in headcount with a corresponding increase in personnel related expenditure of $38.8 million, an increase in laboratory costs of $4.7 million which was offset by a decrease in travel related costs of $2.0 million and a decrease in other direct project related costs of $11.3 million. As a percentage of net revenue, direct costs have decreased from 58.0% for the nine months ended September 30, 2015 to 57.7% for the nine months ended September 30, 2016.</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for the period decreased by $1.1 million, or 0.5%, from $243.3 million for the nine months ended September 30, 2015 to $242.2 million for the nine months ended September 30, 2016. Selling, general and administrative expenses are primarily comprised of compensation, related fringe benefits and share based compensation expense for non-project-related employees, recruitment expenditure, professional service costs, advertising costs and all costs related to facilities and information systems. The movement in selling, general and administration expenses for the period arose primarily from an increase in personnel related expenditure of $5.0 million, a decrease in facilities and related costs expenditure of $2.0 million and a decrease in general and administrative expenses net of foreign exchange movements of $4.1 million. As a percentage of net revenue, selling, general and administrative expenses, decreased from 20.8% for the nine months ended September 30, 2015 to 19.7% for the nine months ended September 30, 2016.</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expense for the period increased by $1.4 million, or 4.5%, from $30.0 million for the nine months ended September 30, 2015 to $31.4 million for the nine months ended September 30, 2016. Depreciation expense arises principally from an investment in facilities, information systems and equipment to support the Company’s growth. As a percentage of net revenue (2.5%), the depreciation expense for the nine months ended September 30, 2016 remained in line with the percentage of net revenue for the nine months ended September 30, 2015. Amortization expense for the period increased by $0.2 million, or 2.0%, from $12.5 million for the nine months ended September 30, 2015 to $12.7 million for the nine months ended September 30, 2016. Amortization expense represents the amortization of intangible assets acquired on business combinations. The increase in the amortization expense for the period relates to the PMG acquisition, offset in part by the cessation of amortization on other assets. As a percentage of net revenue, amortization expense decreased from 1.1% for the nine months ended September 30, 2015 to 1.0% for the nine months ended September 30, 2016.</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2016 the Company implemented a restructuring plan which contains Company resource rationalizations in order to improve operating efficiencies and reduce expenses. A restructuring charge of $8.2 million was recognized during the nine months ended September 30, 2016. (S</w:t>
      </w:r>
      <w:r>
        <w:rPr>
          <w:rFonts w:ascii="Times New Roman" w:cs="Times New Roman" w:eastAsia="Times New Roman" w:hAnsi="Times New Roman"/>
          <w:sz w:val="18"/>
          <w:szCs w:val="18"/>
          <w:i w:val="1"/>
          <w:iCs w:val="1"/>
          <w:color w:val="auto"/>
        </w:rPr>
        <w:t>ee note 4 Restructuring for further information).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above, income from operations for the nine months ended September 30, 2016 increased by $20.9 million, or 10.1%, from $206.2 million for the nine months ended September 30, 2015 to $227.1 million for the nine months ended September 30, 2016 ($235.2 million excluding restructuring charges). As a percentage of net revenue, income from operations increased from 17.6% of net revenues for the nine months ended September 30, 2015 to 18.4% of net revenues for the nine months ended September 30, 2016 (19.1% excluding restructuring charges).</w:t>
      </w:r>
    </w:p>
    <w:p>
      <w:pPr>
        <w:spacing w:after="0" w:line="19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Income from operations in Ireland increased from $135.9 million for the nine months ended September 30, 2015 to $178.1 million for the nine months ended September 30, 2016 ($182.7 million excluding restructuring charges). Income from operations in Ireland is impacted by the Group’s global transfer pricing model </w:t>
      </w:r>
      <w:r>
        <w:rPr>
          <w:rFonts w:ascii="Times New Roman" w:cs="Times New Roman" w:eastAsia="Times New Roman" w:hAnsi="Times New Roman"/>
          <w:sz w:val="18"/>
          <w:szCs w:val="18"/>
          <w:i w:val="1"/>
          <w:iCs w:val="1"/>
          <w:color w:val="auto"/>
        </w:rPr>
        <w:t>(see note 8 Business Segmental Information for further details).</w:t>
      </w:r>
      <w:r>
        <w:rPr>
          <w:rFonts w:ascii="Times New Roman" w:cs="Times New Roman" w:eastAsia="Times New Roman" w:hAnsi="Times New Roman"/>
          <w:sz w:val="22"/>
          <w:szCs w:val="22"/>
          <w:color w:val="auto"/>
        </w:rPr>
        <w:t xml:space="preserve"> Income from operations in our Rest of Europe region decreased from $14.2 million for the nine months ended September 30, 2015 to $9.1 million for the nine months ended September 30, 2016 ($10.0 million excluding restructuring charges), while income from operations in our Rest of World region decreased from $7.8 million for the nine months ended September 30, 2015 to $5.8 million for the nine months ended September 30, 2016 ($6.1 million excluding restructuring charges). Income from operations in these regions was impacted by foreign currency translation and the movement in local rates to the U.S. dollar over the comparative period. Income from operations in the U.S. region increased from $30.6 million for the nine months ended September 30, 2015 to $34.1 million for the nine months ended September 30, 2016 ($36.4 million excluding restructuring charges). Income from operations in this region was impacted positively by the acquisitions of MediMedia Pharma Solutions, which was acquired on February 27, 2015, PMG, which was acquired on December 4, 2015 and Clinical Research Management, Inc. (ClinicalRM) which was acquired on September 15, 2016.</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for the period increased from $1.7 million for the nine months ended September 30, 2015 to $9.6 million for the nine months ended September 30, 2016. This increase is reflective of the drawdown of the Senior Notes issued in December 2015 and the bridge facility of $350 million in place from September 2015, which are discussed in the Liquidity and Capital Resources section below. Interest income increased from $1.0 million for the nine months ended September 30, 2015 to $1.2 million for the nine months ended September 30, 2016.</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income taxes for the period increased from $29.5 million for the nine months ended September 30, 2015 to $30.6 million ($31.7 million excluding restructuring) for the nine months ended September 30, 2016. The Company’s effective tax rate for the nine months ended September 30, 2016 was 14.0% (13.9% excluding restructuring) compared with 14.4% for the nine months ended September 30, 2015. The Company’s effective tax rate is principally a function of the distribution of pre-tax profits amongst the territories in which it operates.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and short term investment balances at September 30, 2016 amounted to $303.7 million compared with cash and short term investment balances of $189.9 million at December 31, 2015. The Company’s cash and short term investment balances at September 30, 2016 comprised of cash and cash equivalents of $219.3 million and short-term investments of $84.4 million. The Company’s cash and short term investment balances at December 31, 2015 comprised of cash and cash equivalents of $103.9 million and short-term investments of $86.0 million.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cash proceeds, representing the realized gain on the interest rate hedge were received on maturity in November 2015.</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27, 2015 the Company entered into a 364 day bridge facility for $350.0 million with two financial institutions. The facility bore interest at LIBOR plus a margin and included certain guarantees and indemnities in favor of the two financial institutions. The bridge facility was repaid in full in December 2015.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30, 2014 the Company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all institutions. In December 2015 the Revolving Credit Facility was amended to remove certain guarantees. The facility is guaranteed by ICON plc. The facility bears interest at LIBOR plus a margin. In respect of the Revolving Credit Facility at September 30, 2016, $53.0 million was drawn down, compared to $nil at December 31, 2015.</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$135.7 million for the nine months ended September 30, 2016 compared with cash provided by operating activities of $163.4 million for the nine months ended September 30, 2015. The positive cash flow impact of the increase in revenues and underlying profitability of the Company was offset in part by an increase in revenue outstanding which comprises of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achievement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2016 was 50 days compared to 41 days at December 31, 2015. The number of days revenue outstanding at September 30, 2015 was 46 days compared to 40 days at December 31, 2014.</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$79.1 million for the nine months ended September 30, 2016 compared to net cash used in investing activities of $123.5 million for the nine months ended September 30, 2015. Net cash used in the nine months ended September 30, 2016 relates to capital expenditure of $29.3 million, $54.0 million for cash paid for acquisitions, which is inclusive of $52.4 million being the cash consideration for the ClinicalRM acquisition offset by $1.8 million acquired with Clinical RM and a further $1.6 million for a working capital adjustment in relation to the PMG acquisition (</w:t>
      </w:r>
      <w:r>
        <w:rPr>
          <w:rFonts w:ascii="Times New Roman" w:cs="Times New Roman" w:eastAsia="Times New Roman" w:hAnsi="Times New Roman"/>
          <w:sz w:val="18"/>
          <w:szCs w:val="18"/>
          <w:i w:val="1"/>
          <w:iCs w:val="1"/>
          <w:color w:val="auto"/>
        </w:rPr>
        <w:t>see 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 for further details</w:t>
      </w:r>
      <w:r>
        <w:rPr>
          <w:rFonts w:ascii="Times New Roman" w:cs="Times New Roman" w:eastAsia="Times New Roman" w:hAnsi="Times New Roman"/>
          <w:sz w:val="18"/>
          <w:szCs w:val="18"/>
          <w:color w:val="auto"/>
        </w:rPr>
        <w:t>). During the nine months ended September 30, 2016 $19.0 million was used for the purchase of short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offset by the sale of short term investments of $21.5 million. Net cash used in investing activities during the nine months ended September 30, 2015 arose primarily from cash paid of $102.8 million to acquire MediMedia Pharma Solutions together with $36.3 million paid to fund capital expenditure.</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2016 amounted to $59.0 million compared to net cash provided by financing activities of $83.7 million for the nine months ended September 30, 2015. During the nine months ended September 30, 2016, $5.4 million was recognized in relation to the tax benefit from the exercise of share options. In addition, $7.2 million was received by the Company from the exercise of share options. During the nine months ended September 30, 2016, there was $53.0 million drawn down from the five year committed multi-currency Revolving Credit Facility. There was also $20.0 million drawn down and subsequently repaid by the Company under a one year uncommitted short term revolving credit facility (of $30.0 million) with Santander UK plc. The facility bears interest at LIBOR plus a margin. No amounts were drawn under this facility at September 30, 2016. The Company also paid interest of $6.6 million during the nine months ended September 30, 2016 on the $350.0 million private placement debt. During the nine months ended September 30, 2015, the Company received $350.0 million from the drawdown of amounts under its negotiated banking facility, with $286.9 million used to repurchase shares under the share repurchase program and $0.8 million incurred for share repurchase costs. A further $18.4 million was received from the exercise of share options and $3.0 million was recognized in relation to the tax benefit from the exercise of share options.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October 24, 2016</w:t>
            </w:r>
          </w:p>
        </w:tc>
        <w:tc>
          <w:tcPr>
            <w:tcW w:w="388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30</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2019-12-06T22:09:32Z</dcterms:created>
  <dcterms:modified xsi:type="dcterms:W3CDTF">2019-12-06T22:09:32Z</dcterms:modified>
</cp:coreProperties>
</file>