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4 )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G4705A100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3,656,679</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3,989,007</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3,989,007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7.56%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3,656,679</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3,989,007</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3,989,007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7.56%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3,656,679</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3,989,007</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3,989,007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7.56%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48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3,238,757</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480" w:type="dxa"/>
            <w:vAlign w:val="bottom"/>
          </w:tcPr>
          <w:p>
            <w:pPr>
              <w:spacing w:after="0"/>
              <w:rPr>
                <w:sz w:val="15"/>
                <w:szCs w:val="15"/>
                <w:color w:val="auto"/>
              </w:rPr>
            </w:pPr>
          </w:p>
        </w:tc>
        <w:tc>
          <w:tcPr>
            <w:tcW w:w="634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3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480" w:type="dxa"/>
            <w:vAlign w:val="bottom"/>
          </w:tcPr>
          <w:p>
            <w:pPr>
              <w:spacing w:after="0"/>
              <w:rPr>
                <w:sz w:val="24"/>
                <w:szCs w:val="24"/>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3,293,016</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3,293,016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6.24%</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ICON PLC</w:t>
      </w:r>
    </w:p>
    <w:p>
      <w:pPr>
        <w:spacing w:after="0" w:line="97" w:lineRule="exact"/>
        <w:rPr>
          <w:rFonts w:ascii="Times New Roman" w:cs="Times New Roman" w:eastAsia="Times New Roman" w:hAnsi="Times New Roman"/>
          <w:sz w:val="22"/>
          <w:szCs w:val="22"/>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South County Business Park</w:t>
      </w:r>
    </w:p>
    <w:p>
      <w:pPr>
        <w:spacing w:after="0" w:line="1" w:lineRule="exact"/>
        <w:rPr>
          <w:rFonts w:ascii="Times New Roman" w:cs="Times New Roman" w:eastAsia="Times New Roman" w:hAnsi="Times New Roman"/>
          <w:sz w:val="22"/>
          <w:szCs w:val="22"/>
          <w:b w:val="1"/>
          <w:bCs w:val="1"/>
          <w:color w:val="auto"/>
        </w:rPr>
      </w:pPr>
    </w:p>
    <w:p>
      <w:pPr>
        <w:ind w:left="1760" w:right="746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Leopardstown Dublin 18, L2 00000</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G4705A100</w:t>
      </w:r>
    </w:p>
    <w:p>
      <w:pPr>
        <w:spacing w:after="0" w:line="45" w:lineRule="exact"/>
        <w:rPr>
          <w:sz w:val="20"/>
          <w:szCs w:val="20"/>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Rule 240.13d-1(b)(1)(ii)(E); *</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Group LLP - HC</w:t>
      </w:r>
    </w:p>
    <w:p>
      <w:pPr>
        <w:spacing w:after="0" w:line="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Group Holdings LLP - HC</w:t>
      </w:r>
    </w:p>
    <w:p>
      <w:pPr>
        <w:ind w:left="1360"/>
        <w:spacing w:after="0" w:line="230" w:lineRule="auto"/>
        <w:rPr>
          <w:sz w:val="20"/>
          <w:szCs w:val="20"/>
          <w:color w:val="auto"/>
        </w:rPr>
      </w:pPr>
      <w:r>
        <w:rPr>
          <w:rFonts w:ascii="Times New Roman" w:cs="Times New Roman" w:eastAsia="Times New Roman" w:hAnsi="Times New Roman"/>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9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40"/>
          </w:cols>
          <w:pgMar w:left="400" w:top="405" w:right="459" w:bottom="0" w:gutter="0" w:footer="0" w:header="0"/>
        </w:sectPr>
      </w:pPr>
    </w:p>
    <w:bookmarkStart w:id="6" w:name="page7"/>
    <w:bookmarkEnd w:id="6"/>
    <w:p>
      <w:pPr>
        <w:ind w:left="1760"/>
        <w:spacing w:after="0"/>
        <w:rPr>
          <w:sz w:val="20"/>
          <w:szCs w:val="20"/>
          <w:color w:val="auto"/>
        </w:rPr>
      </w:pPr>
      <w:r>
        <w:rPr>
          <w:rFonts w:ascii="Times New Roman" w:cs="Times New Roman" w:eastAsia="Times New Roman" w:hAnsi="Times New Roman"/>
          <w:sz w:val="21"/>
          <w:szCs w:val="21"/>
          <w:color w:val="auto"/>
        </w:rPr>
        <w:t>See the responses to Item 11 on the attached cover pages.</w:t>
      </w:r>
    </w:p>
    <w:p>
      <w:pPr>
        <w:sectPr>
          <w:pgSz w:w="11900" w:h="16838" w:orient="portrait"/>
          <w:cols w:equalWidth="0" w:num="1">
            <w:col w:w="10940"/>
          </w:cols>
          <w:pgMar w:left="400" w:top="111" w:right="559" w:bottom="0" w:gutter="0" w:footer="0" w:header="0"/>
        </w:sectPr>
      </w:pPr>
    </w:p>
    <w:p>
      <w:pPr>
        <w:spacing w:after="0" w:line="137" w:lineRule="exact"/>
        <w:rPr>
          <w:sz w:val="20"/>
          <w:szCs w:val="20"/>
          <w:color w:val="auto"/>
        </w:rPr>
      </w:pPr>
    </w:p>
    <w:p>
      <w:pPr>
        <w:ind w:left="1760" w:hanging="401"/>
        <w:spacing w:after="0"/>
        <w:tabs>
          <w:tab w:leader="none" w:pos="17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220" w:hanging="456"/>
        <w:spacing w:after="0"/>
        <w:tabs>
          <w:tab w:leader="none" w:pos="22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46" w:lineRule="exact"/>
        <w:rPr>
          <w:rFonts w:ascii="Times New Roman" w:cs="Times New Roman" w:eastAsia="Times New Roman" w:hAnsi="Times New Roman"/>
          <w:sz w:val="22"/>
          <w:szCs w:val="22"/>
          <w:color w:val="auto"/>
        </w:rPr>
      </w:pPr>
    </w:p>
    <w:p>
      <w:pPr>
        <w:ind w:left="2220" w:hanging="456"/>
        <w:spacing w:after="0"/>
        <w:tabs>
          <w:tab w:leader="none" w:pos="22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00" w:lineRule="exact"/>
        <w:rPr>
          <w:rFonts w:ascii="Times New Roman" w:cs="Times New Roman" w:eastAsia="Times New Roman" w:hAnsi="Times New Roman"/>
          <w:sz w:val="22"/>
          <w:szCs w:val="22"/>
          <w:color w:val="auto"/>
        </w:rPr>
      </w:pPr>
    </w:p>
    <w:p>
      <w:pPr>
        <w:ind w:left="2220" w:hanging="456"/>
        <w:spacing w:after="0"/>
        <w:tabs>
          <w:tab w:leader="none" w:pos="2220" w:val="left"/>
        </w:tabs>
        <w:numPr>
          <w:ilvl w:val="1"/>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1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28" w:lineRule="exact"/>
        <w:rPr>
          <w:sz w:val="20"/>
          <w:szCs w:val="20"/>
          <w:color w:val="auto"/>
        </w:rPr>
      </w:pPr>
    </w:p>
    <w:p>
      <w:pPr>
        <w:sectPr>
          <w:pgSz w:w="11900" w:h="16838" w:orient="portrait"/>
          <w:cols w:equalWidth="0" w:num="2">
            <w:col w:w="6420" w:space="200"/>
            <w:col w:w="4320"/>
          </w:cols>
          <w:pgMar w:left="400" w:top="111" w:right="559" w:bottom="0" w:gutter="0" w:footer="0" w:header="0"/>
          <w:type w:val="continuous"/>
        </w:sectPr>
      </w:pPr>
    </w:p>
    <w:p>
      <w:pPr>
        <w:spacing w:after="0" w:line="18" w:lineRule="exact"/>
        <w:rPr>
          <w:sz w:val="20"/>
          <w:szCs w:val="20"/>
          <w:color w:val="auto"/>
        </w:rPr>
      </w:pPr>
    </w:p>
    <w:p>
      <w:pPr>
        <w:ind w:left="2220" w:right="280" w:hanging="456"/>
        <w:spacing w:after="0" w:line="185" w:lineRule="auto"/>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ind w:right="8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838" w:orient="portrait"/>
          <w:cols w:equalWidth="0" w:num="2">
            <w:col w:w="5900" w:space="720"/>
            <w:col w:w="4320"/>
          </w:cols>
          <w:pgMar w:left="400" w:top="111" w:right="559" w:bottom="0"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sale of, such securities. No such client is known to have such right or power with respect to more than five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of or with the effect of changing or influencing the control of the issuer of the securities and were not acquired</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15, 2021</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15, 2021</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bl>
    <w:p>
      <w:pPr>
        <w:sectPr>
          <w:pgSz w:w="11900" w:h="16838" w:orient="portrait"/>
          <w:cols w:equalWidth="0" w:num="1">
            <w:col w:w="10940"/>
          </w:cols>
          <w:pgMar w:left="400" w:top="111" w:right="559" w:bottom="0" w:gutter="0" w:footer="0" w:header="0"/>
          <w:type w:val="continuous"/>
        </w:sectPr>
      </w:pPr>
    </w:p>
    <w:bookmarkStart w:id="7" w:name="page8"/>
    <w:bookmarkEnd w:id="7"/>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18" w:lineRule="exact"/>
        <w:rPr>
          <w:sz w:val="20"/>
          <w:szCs w:val="20"/>
          <w:color w:val="auto"/>
        </w:rPr>
      </w:pPr>
    </w:p>
    <w:p>
      <w:pPr>
        <w:ind w:left="60" w:right="219"/>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4" w:lineRule="exact"/>
        <w:rPr>
          <w:sz w:val="20"/>
          <w:szCs w:val="20"/>
          <w:color w:val="auto"/>
        </w:rPr>
      </w:pPr>
    </w:p>
    <w:p>
      <w:pPr>
        <w:ind w:left="60" w:right="4399"/>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ICON PLC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ectPr>
          <w:pgSz w:w="11900" w:h="16838" w:orient="portrait"/>
          <w:cols w:equalWidth="0" w:num="1">
            <w:col w:w="9019"/>
          </w:cols>
          <w:pgMar w:left="1440" w:top="111" w:right="1440" w:bottom="0" w:gutter="0" w:footer="0" w:header="0"/>
        </w:sectPr>
      </w:pP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By: Wellington Management Group LLP</w:t>
      </w:r>
    </w:p>
    <w:p>
      <w:pPr>
        <w:sectPr>
          <w:pgSz w:w="11900" w:h="16838" w:orient="portrait"/>
          <w:cols w:equalWidth="0" w:num="1">
            <w:col w:w="9019"/>
          </w:cols>
          <w:pgMar w:left="1440" w:top="111" w:right="1440" w:bottom="0" w:gutter="0" w:footer="0" w:header="0"/>
          <w:type w:val="continuous"/>
        </w:sectPr>
      </w:pPr>
    </w:p>
    <w:bookmarkStart w:id="8" w:name="page9"/>
    <w:bookmarkEnd w:id="8"/>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By: Wellington Investment Advisors Holdings LLP</w:t>
      </w:r>
    </w:p>
    <w:p>
      <w:pPr>
        <w:spacing w:after="0" w:line="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2021-02-03T12:14:54Z</dcterms:created>
  <dcterms:modified xsi:type="dcterms:W3CDTF">2021-02-03T12:14:54Z</dcterms:modified>
</cp:coreProperties>
</file>