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2009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right="336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 xml:space="preserve">February 23, 2009 </w:t>
      </w:r>
      <w:r>
        <w:rPr>
          <w:rFonts w:ascii="Arial" w:cs="Arial" w:eastAsia="Arial" w:hAnsi="Arial"/>
          <w:sz w:val="18"/>
          <w:szCs w:val="18"/>
          <w:u w:val="single" w:color="auto"/>
          <w:color w:val="auto"/>
        </w:rPr>
        <w:t>/s/ Peter Gray</w:t>
      </w:r>
      <w:r>
        <w:rPr>
          <w:rFonts w:ascii="Arial" w:cs="Arial" w:eastAsia="Arial" w:hAnsi="Arial"/>
          <w:sz w:val="18"/>
          <w:szCs w:val="18"/>
          <w:color w:val="auto"/>
        </w:rPr>
        <w:t xml:space="preserve"> Peter Gray</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1120"/>
        <w:spacing w:after="0" w:line="256" w:lineRule="auto"/>
        <w:rPr>
          <w:sz w:val="20"/>
          <w:szCs w:val="20"/>
          <w:color w:val="auto"/>
        </w:rPr>
      </w:pPr>
      <w:r>
        <w:rPr>
          <w:rFonts w:ascii="Arial" w:cs="Arial" w:eastAsia="Arial" w:hAnsi="Arial"/>
          <w:sz w:val="22"/>
          <w:szCs w:val="22"/>
          <w:b w:val="1"/>
          <w:bCs w:val="1"/>
          <w:color w:val="auto"/>
        </w:rPr>
        <w:t>ICON reports Full-Year 2008 revenue growth of 37% operating income growth of 44% and EPS growth of 38% (NASDAQ:ICLR) (ISIN:IE0005711209)</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Full Year Fiscal 2008 and Fourth Quarter</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Full year net revenues increased 37% to $865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b w:val="1"/>
          <w:bCs w:val="1"/>
          <w:color w:val="auto"/>
        </w:rPr>
        <w:t>Fourth quarter net revenues increased 22% over the comparative quarter, to $220 million.</w:t>
      </w:r>
    </w:p>
    <w:p>
      <w:pPr>
        <w:spacing w:after="0" w:line="101" w:lineRule="exact"/>
        <w:rPr>
          <w:sz w:val="20"/>
          <w:szCs w:val="20"/>
          <w:color w:val="auto"/>
        </w:rPr>
      </w:pPr>
    </w:p>
    <w:p>
      <w:pPr>
        <w:ind w:left="540" w:right="180"/>
        <w:spacing w:after="0" w:line="194" w:lineRule="auto"/>
        <w:rPr>
          <w:sz w:val="20"/>
          <w:szCs w:val="20"/>
          <w:color w:val="auto"/>
        </w:rPr>
      </w:pPr>
      <w:r>
        <w:rPr>
          <w:rFonts w:ascii="Arial" w:cs="Arial" w:eastAsia="Arial" w:hAnsi="Arial"/>
          <w:sz w:val="22"/>
          <w:szCs w:val="22"/>
          <w:b w:val="1"/>
          <w:bCs w:val="1"/>
          <w:color w:val="auto"/>
        </w:rPr>
        <w:t>Full year operating income increased by 44% to $99.5 million. Income from operations for the 4</w:t>
      </w:r>
      <w:r>
        <w:rPr>
          <w:rFonts w:ascii="Arial" w:cs="Arial" w:eastAsia="Arial" w:hAnsi="Arial"/>
          <w:sz w:val="43"/>
          <w:szCs w:val="43"/>
          <w:b w:val="1"/>
          <w:bCs w:val="1"/>
          <w:color w:val="auto"/>
          <w:vertAlign w:val="superscript"/>
        </w:rPr>
        <w:t>th</w:t>
      </w:r>
      <w:r>
        <w:rPr>
          <w:rFonts w:ascii="Arial" w:cs="Arial" w:eastAsia="Arial" w:hAnsi="Arial"/>
          <w:sz w:val="22"/>
          <w:szCs w:val="22"/>
          <w:b w:val="1"/>
          <w:bCs w:val="1"/>
          <w:color w:val="auto"/>
        </w:rPr>
        <w:t xml:space="preserve"> quarter increased by 34% to $26.5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-266700</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Full year diluted earnings per share increased to $1.30, a 38% increase over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b w:val="1"/>
          <w:bCs w:val="1"/>
          <w:color w:val="auto"/>
        </w:rPr>
        <w:t>Diluted earnings per share, increased by 35% for the fourth quarter to 35 cents.</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Full year net business awards totalled $1.3 billion, a 28% increase on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b w:val="1"/>
          <w:bCs w:val="1"/>
          <w:color w:val="auto"/>
        </w:rPr>
        <w:t>Fourth quarter net business awards were $261 million, a book to bill of 1.2.</w:t>
      </w:r>
    </w:p>
    <w:p>
      <w:pPr>
        <w:spacing w:after="0" w:line="188" w:lineRule="exact"/>
        <w:rPr>
          <w:sz w:val="20"/>
          <w:szCs w:val="20"/>
          <w:color w:val="auto"/>
        </w:rPr>
      </w:pPr>
    </w:p>
    <w:p>
      <w:pPr>
        <w:jc w:val="both"/>
        <w:ind w:right="140"/>
        <w:spacing w:after="0"/>
        <w:rPr>
          <w:sz w:val="20"/>
          <w:szCs w:val="20"/>
          <w:color w:val="auto"/>
        </w:rPr>
      </w:pPr>
      <w:r>
        <w:rPr>
          <w:rFonts w:ascii="Arial" w:cs="Arial" w:eastAsia="Arial" w:hAnsi="Arial"/>
          <w:sz w:val="22"/>
          <w:szCs w:val="22"/>
          <w:color w:val="auto"/>
        </w:rPr>
        <w:t>DUBLIN, Ireland--(BUSINESS WIRE)--February 23, 2009--ICON (NASDAQ:ICLR) (ISIN:IE0005711209), a global provider of outsourced development services to the pharmaceutical, biotechnology and medical device industries, today reported its financial results for the fourth quarter ended December 31, 2008.</w:t>
      </w:r>
    </w:p>
    <w:p>
      <w:pPr>
        <w:spacing w:after="0" w:line="186" w:lineRule="exact"/>
        <w:rPr>
          <w:sz w:val="20"/>
          <w:szCs w:val="20"/>
          <w:color w:val="auto"/>
        </w:rPr>
      </w:pPr>
    </w:p>
    <w:p>
      <w:pPr>
        <w:jc w:val="both"/>
        <w:ind w:right="180"/>
        <w:spacing w:after="0" w:line="297" w:lineRule="auto"/>
        <w:rPr>
          <w:sz w:val="20"/>
          <w:szCs w:val="20"/>
          <w:color w:val="auto"/>
        </w:rPr>
      </w:pPr>
      <w:r>
        <w:rPr>
          <w:rFonts w:ascii="Arial" w:cs="Arial" w:eastAsia="Arial" w:hAnsi="Arial"/>
          <w:sz w:val="19"/>
          <w:szCs w:val="19"/>
          <w:color w:val="auto"/>
        </w:rPr>
        <w:t>Full year, net revenues were $865 million, representing a 37.2% increase over last year. Income from operations, after taking non-cash stock compensation charge of $6.1 million, was $99.5 million or 11.5% of revenue, compared to $69.2 million or 11.0% last year. Net income was $78.1 million or $1.30 per share, compared with $56.0 million or $0.94 per share, last year.</w:t>
      </w:r>
    </w:p>
    <w:p>
      <w:pPr>
        <w:spacing w:after="0" w:line="134"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Net revenues for the quarter were $220.1 million, representing a 21.8% increase over net revenues of $180.7 million for the same quarter last year. Income from operations, after taking non-cash stock compensation charge of $1.6 million, was $26.5 million or 12.0% of revenue, compared to $19.8 million or 11.0% for the same quarter last year. Net income was $21.0 million or 35 cents per share on a diluted basis, compared with $15.9 million or 26 cents per share last year.</w:t>
      </w:r>
    </w:p>
    <w:p>
      <w:pPr>
        <w:spacing w:after="0" w:line="174"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69 days at December 31, 2008, on a like for like basis compared to 66 days at December 31, 2007.</w:t>
      </w:r>
    </w:p>
    <w:p>
      <w:pPr>
        <w:spacing w:after="0" w:line="17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For the quarter ended December 31, 2008, cash used in operating activities was $4.8 million and capital expenditure was $14.3 million. Full year 2008 cash flow from operating activities was $81.3 million and capital expenditure was $67.9 million. In addition, Healthcare Discoveries was acquired in February 2008 for consideration of $11.8 million and Prevalere Life Sciences was acquired in November for a consideration of $37.6 million. As a result, net debt amounted to $4.3 million at December 31, 2008, compared to $23.8 million of net cash at December 31, 2007.</w:t>
      </w:r>
    </w:p>
    <w:p>
      <w:pPr>
        <w:spacing w:after="0" w:line="188" w:lineRule="exact"/>
        <w:rPr>
          <w:sz w:val="20"/>
          <w:szCs w:val="20"/>
          <w:color w:val="auto"/>
        </w:rPr>
      </w:pPr>
    </w:p>
    <w:p>
      <w:pPr>
        <w:ind w:right="20"/>
        <w:spacing w:after="0" w:line="328" w:lineRule="auto"/>
        <w:rPr>
          <w:sz w:val="20"/>
          <w:szCs w:val="20"/>
          <w:color w:val="auto"/>
        </w:rPr>
      </w:pPr>
      <w:r>
        <w:rPr>
          <w:rFonts w:ascii="Arial" w:cs="Arial" w:eastAsia="Arial" w:hAnsi="Arial"/>
          <w:sz w:val="19"/>
          <w:szCs w:val="19"/>
          <w:color w:val="auto"/>
        </w:rPr>
        <w:t>“2008 has been another outstanding year for ICON,” commented Chairman Dr. John Climax. “With year on year revenue growth of 37% and operating income growth of 44%, 2008 represents the second consecutive year of such exceptional performance.”</w:t>
      </w:r>
    </w:p>
    <w:p>
      <w:pPr>
        <w:spacing w:after="0" w:line="105"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Commenting on the quarter, CEO Peter Gray said “We are very satisfied with our performance in quarter four. Revenues were up 22%, margins held strong at 12% and EPS was up 35%. With our backlog at $1.74bn we have entered 2009 in a good position, although the difficult economic climate has put some customers under pressure and has created a degree of uncertainty. We remain positive, though cautious, as 2009 commences.”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52" w:lineRule="auto"/>
        <w:rPr>
          <w:sz w:val="20"/>
          <w:szCs w:val="20"/>
          <w:color w:val="auto"/>
        </w:rPr>
      </w:pPr>
      <w:r>
        <w:rPr>
          <w:rFonts w:ascii="Arial" w:cs="Arial" w:eastAsia="Arial" w:hAnsi="Arial"/>
          <w:sz w:val="21"/>
          <w:szCs w:val="21"/>
          <w:color w:val="auto"/>
        </w:rPr>
        <w:t xml:space="preserve">The company will hold its fourth quarter conference call today, February 23, 2009 at 9:00 EST [14:00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The financial information presented herein has been prepared in accordance with U.S. GAAP.</w:t>
      </w:r>
    </w:p>
    <w:p>
      <w:pPr>
        <w:spacing w:after="0" w:line="206"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71 locations in 38 countries and has approximately 7,000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Income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Twelve Months ended December 31, 2008 and December 31, 2007</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2340" w:type="dxa"/>
            <w:vAlign w:val="bottom"/>
            <w:gridSpan w:val="4"/>
          </w:tcPr>
          <w:p>
            <w:pPr>
              <w:ind w:left="980"/>
              <w:spacing w:after="0"/>
              <w:rPr>
                <w:sz w:val="20"/>
                <w:szCs w:val="20"/>
                <w:color w:val="auto"/>
              </w:rPr>
            </w:pPr>
            <w:r>
              <w:rPr>
                <w:rFonts w:ascii="Arial" w:cs="Arial" w:eastAsia="Arial" w:hAnsi="Arial"/>
                <w:sz w:val="14"/>
                <w:szCs w:val="14"/>
                <w:b w:val="1"/>
                <w:bCs w:val="1"/>
                <w:color w:val="auto"/>
                <w:w w:val="96"/>
              </w:rPr>
              <w:t>Three Months Ended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3"/>
          </w:tcPr>
          <w:p>
            <w:pPr>
              <w:ind w:left="960"/>
              <w:spacing w:after="0"/>
              <w:rPr>
                <w:sz w:val="20"/>
                <w:szCs w:val="20"/>
                <w:color w:val="auto"/>
              </w:rPr>
            </w:pPr>
            <w:r>
              <w:rPr>
                <w:rFonts w:ascii="Arial" w:cs="Arial" w:eastAsia="Arial" w:hAnsi="Arial"/>
                <w:sz w:val="14"/>
                <w:szCs w:val="14"/>
                <w:b w:val="1"/>
                <w:bCs w:val="1"/>
                <w:color w:val="auto"/>
                <w:w w:val="95"/>
              </w:rPr>
              <w:t>Twelve Months Ended</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234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December 31,</w:t>
            </w:r>
          </w:p>
        </w:tc>
        <w:tc>
          <w:tcPr>
            <w:tcW w:w="2380" w:type="dxa"/>
            <w:vAlign w:val="bottom"/>
            <w:gridSpan w:val="3"/>
          </w:tcPr>
          <w:p>
            <w:pPr>
              <w:ind w:left="74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6"/>
        </w:trPr>
        <w:tc>
          <w:tcPr>
            <w:tcW w:w="47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351"/>
        </w:trPr>
        <w:tc>
          <w:tcPr>
            <w:tcW w:w="4740" w:type="dxa"/>
            <w:vAlign w:val="bottom"/>
          </w:tcPr>
          <w:p>
            <w:pPr>
              <w:spacing w:after="0"/>
              <w:rPr>
                <w:sz w:val="20"/>
                <w:szCs w:val="20"/>
                <w:color w:val="auto"/>
              </w:rPr>
            </w:pPr>
            <w:r>
              <w:rPr>
                <w:rFonts w:ascii="Arial" w:cs="Arial" w:eastAsia="Arial" w:hAnsi="Arial"/>
                <w:sz w:val="14"/>
                <w:szCs w:val="14"/>
                <w:color w:val="auto"/>
              </w:rPr>
              <w:t>Gross Revenue</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295,370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241,531</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1,209,451</w:t>
            </w:r>
          </w:p>
        </w:tc>
        <w:tc>
          <w:tcPr>
            <w:tcW w:w="6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867,473</w:t>
            </w:r>
          </w:p>
        </w:tc>
        <w:tc>
          <w:tcPr>
            <w:tcW w:w="0" w:type="dxa"/>
            <w:vAlign w:val="bottom"/>
          </w:tcPr>
          <w:p>
            <w:pPr>
              <w:spacing w:after="0"/>
              <w:rPr>
                <w:sz w:val="1"/>
                <w:szCs w:val="1"/>
                <w:color w:val="auto"/>
              </w:rPr>
            </w:pPr>
          </w:p>
        </w:tc>
      </w:tr>
      <w:tr>
        <w:trPr>
          <w:trHeight w:val="351"/>
        </w:trPr>
        <w:tc>
          <w:tcPr>
            <w:tcW w:w="4740" w:type="dxa"/>
            <w:vAlign w:val="bottom"/>
          </w:tcPr>
          <w:p>
            <w:pPr>
              <w:spacing w:after="0"/>
              <w:rPr>
                <w:sz w:val="20"/>
                <w:szCs w:val="20"/>
                <w:color w:val="auto"/>
              </w:rPr>
            </w:pPr>
            <w:r>
              <w:rPr>
                <w:rFonts w:ascii="Arial" w:cs="Arial" w:eastAsia="Arial" w:hAnsi="Arial"/>
                <w:sz w:val="14"/>
                <w:szCs w:val="14"/>
                <w:color w:val="auto"/>
              </w:rPr>
              <w:t>Reimbursable expenses</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75,277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60,861</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344,203</w:t>
            </w:r>
          </w:p>
        </w:tc>
        <w:tc>
          <w:tcPr>
            <w:tcW w:w="6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236,751</w:t>
            </w:r>
          </w:p>
        </w:tc>
        <w:tc>
          <w:tcPr>
            <w:tcW w:w="0" w:type="dxa"/>
            <w:vAlign w:val="bottom"/>
          </w:tcPr>
          <w:p>
            <w:pPr>
              <w:spacing w:after="0"/>
              <w:rPr>
                <w:sz w:val="1"/>
                <w:szCs w:val="1"/>
                <w:color w:val="auto"/>
              </w:rPr>
            </w:pPr>
          </w:p>
        </w:tc>
      </w:tr>
      <w:tr>
        <w:trPr>
          <w:trHeight w:val="174"/>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220,093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180,670</w:t>
            </w:r>
          </w:p>
        </w:tc>
        <w:tc>
          <w:tcPr>
            <w:tcW w:w="1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865,248</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630,722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7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Arial" w:cs="Arial" w:eastAsia="Arial" w:hAnsi="Arial"/>
                <w:sz w:val="14"/>
                <w:szCs w:val="14"/>
                <w:color w:val="auto"/>
              </w:rPr>
              <w:t>Direct costs</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125,125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100,372</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489,238</w:t>
            </w:r>
          </w:p>
        </w:tc>
        <w:tc>
          <w:tcPr>
            <w:tcW w:w="6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354,479</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61,450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55,129</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248,778</w:t>
            </w:r>
          </w:p>
        </w:tc>
        <w:tc>
          <w:tcPr>
            <w:tcW w:w="6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187,993</w:t>
            </w: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7,052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5,382</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27,728</w:t>
            </w:r>
          </w:p>
        </w:tc>
        <w:tc>
          <w:tcPr>
            <w:tcW w:w="6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19,008</w:t>
            </w:r>
          </w:p>
        </w:tc>
        <w:tc>
          <w:tcPr>
            <w:tcW w:w="0" w:type="dxa"/>
            <w:vAlign w:val="bottom"/>
          </w:tcPr>
          <w:p>
            <w:pPr>
              <w:spacing w:after="0"/>
              <w:rPr>
                <w:sz w:val="1"/>
                <w:szCs w:val="1"/>
                <w:color w:val="auto"/>
              </w:rPr>
            </w:pPr>
          </w:p>
        </w:tc>
      </w:tr>
      <w:tr>
        <w:trPr>
          <w:trHeight w:val="174"/>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7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193,627</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160,883</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765,744</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561,480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7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26,466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19,787</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99,504</w:t>
            </w:r>
          </w:p>
        </w:tc>
        <w:tc>
          <w:tcPr>
            <w:tcW w:w="6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69,242</w:t>
            </w:r>
          </w:p>
        </w:tc>
        <w:tc>
          <w:tcPr>
            <w:tcW w:w="0" w:type="dxa"/>
            <w:vAlign w:val="bottom"/>
          </w:tcPr>
          <w:p>
            <w:pPr>
              <w:spacing w:after="0"/>
              <w:rPr>
                <w:sz w:val="1"/>
                <w:szCs w:val="1"/>
                <w:color w:val="auto"/>
              </w:rPr>
            </w:pPr>
          </w:p>
        </w:tc>
      </w:tr>
      <w:tr>
        <w:trPr>
          <w:trHeight w:val="351"/>
        </w:trPr>
        <w:tc>
          <w:tcPr>
            <w:tcW w:w="4740" w:type="dxa"/>
            <w:vAlign w:val="bottom"/>
          </w:tcPr>
          <w:p>
            <w:pPr>
              <w:spacing w:after="0"/>
              <w:rPr>
                <w:sz w:val="20"/>
                <w:szCs w:val="20"/>
                <w:color w:val="auto"/>
              </w:rPr>
            </w:pPr>
            <w:r>
              <w:rPr>
                <w:rFonts w:ascii="Arial" w:cs="Arial" w:eastAsia="Arial" w:hAnsi="Arial"/>
                <w:sz w:val="14"/>
                <w:szCs w:val="14"/>
                <w:color w:val="auto"/>
              </w:rPr>
              <w:t>Interest (expense)/income</w:t>
            </w:r>
          </w:p>
        </w:tc>
        <w:tc>
          <w:tcPr>
            <w:tcW w:w="1580" w:type="dxa"/>
            <w:vAlign w:val="bottom"/>
          </w:tcPr>
          <w:p>
            <w:pPr>
              <w:jc w:val="right"/>
              <w:spacing w:after="0"/>
              <w:rPr>
                <w:sz w:val="20"/>
                <w:szCs w:val="20"/>
                <w:color w:val="auto"/>
              </w:rPr>
            </w:pPr>
            <w:r>
              <w:rPr>
                <w:rFonts w:ascii="Arial" w:cs="Arial" w:eastAsia="Arial" w:hAnsi="Arial"/>
                <w:sz w:val="14"/>
                <w:szCs w:val="14"/>
                <w:color w:val="auto"/>
              </w:rPr>
              <w:t>(481)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659</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(1,224)</w:t>
            </w:r>
          </w:p>
        </w:tc>
        <w:tc>
          <w:tcPr>
            <w:tcW w:w="6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174"/>
        </w:trPr>
        <w:tc>
          <w:tcPr>
            <w:tcW w:w="4740" w:type="dxa"/>
            <w:vAlign w:val="bottom"/>
            <w:vMerge w:val="restart"/>
          </w:tcPr>
          <w:p>
            <w:pPr>
              <w:spacing w:after="0"/>
              <w:rPr>
                <w:sz w:val="20"/>
                <w:szCs w:val="20"/>
                <w:color w:val="auto"/>
              </w:rPr>
            </w:pPr>
            <w:r>
              <w:rPr>
                <w:rFonts w:ascii="Arial" w:cs="Arial" w:eastAsia="Arial" w:hAnsi="Arial"/>
                <w:sz w:val="14"/>
                <w:szCs w:val="14"/>
                <w:color w:val="auto"/>
              </w:rPr>
              <w:t>Income before provision of income taxes</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17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40" w:type="dxa"/>
            <w:vAlign w:val="bottom"/>
            <w:vMerge w:val="continue"/>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25,985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20,446</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98,280</w:t>
            </w:r>
          </w:p>
        </w:tc>
        <w:tc>
          <w:tcPr>
            <w:tcW w:w="1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71,980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74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5,474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4,486</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19,967</w:t>
            </w:r>
          </w:p>
        </w:tc>
        <w:tc>
          <w:tcPr>
            <w:tcW w:w="6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15,830</w:t>
            </w:r>
          </w:p>
        </w:tc>
        <w:tc>
          <w:tcPr>
            <w:tcW w:w="0" w:type="dxa"/>
            <w:vAlign w:val="bottom"/>
          </w:tcPr>
          <w:p>
            <w:pPr>
              <w:spacing w:after="0"/>
              <w:rPr>
                <w:sz w:val="1"/>
                <w:szCs w:val="1"/>
                <w:color w:val="auto"/>
              </w:rPr>
            </w:pPr>
          </w:p>
        </w:tc>
      </w:tr>
      <w:tr>
        <w:trPr>
          <w:trHeight w:val="181"/>
        </w:trPr>
        <w:tc>
          <w:tcPr>
            <w:tcW w:w="4740" w:type="dxa"/>
            <w:vAlign w:val="bottom"/>
          </w:tcPr>
          <w:p>
            <w:pPr>
              <w:spacing w:after="0"/>
              <w:rPr>
                <w:sz w:val="20"/>
                <w:szCs w:val="20"/>
                <w:color w:val="auto"/>
              </w:rPr>
            </w:pPr>
            <w:r>
              <w:rPr>
                <w:rFonts w:ascii="Arial" w:cs="Arial" w:eastAsia="Arial" w:hAnsi="Arial"/>
                <w:sz w:val="14"/>
                <w:szCs w:val="14"/>
                <w:color w:val="auto"/>
              </w:rPr>
              <w:t>Minority Interest</w:t>
            </w:r>
          </w:p>
        </w:tc>
        <w:tc>
          <w:tcPr>
            <w:tcW w:w="1580" w:type="dxa"/>
            <w:vAlign w:val="bottom"/>
          </w:tcPr>
          <w:p>
            <w:pPr>
              <w:jc w:val="right"/>
              <w:spacing w:after="0"/>
              <w:rPr>
                <w:sz w:val="20"/>
                <w:szCs w:val="20"/>
                <w:color w:val="auto"/>
              </w:rPr>
            </w:pPr>
            <w:r>
              <w:rPr>
                <w:rFonts w:ascii="Arial" w:cs="Arial" w:eastAsia="Arial" w:hAnsi="Arial"/>
                <w:sz w:val="14"/>
                <w:szCs w:val="14"/>
                <w:color w:val="auto"/>
              </w:rPr>
              <w:t>(514)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79</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193</w:t>
            </w:r>
          </w:p>
        </w:tc>
        <w:tc>
          <w:tcPr>
            <w:tcW w:w="6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1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40" w:type="dxa"/>
            <w:vAlign w:val="bottom"/>
            <w:vMerge w:val="continue"/>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21,025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15,881</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78,120</w:t>
            </w:r>
          </w:p>
        </w:tc>
        <w:tc>
          <w:tcPr>
            <w:tcW w:w="6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55,963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7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40" w:type="dxa"/>
            <w:vAlign w:val="bottom"/>
          </w:tcPr>
          <w:p>
            <w:pPr>
              <w:spacing w:after="0"/>
              <w:rPr>
                <w:sz w:val="20"/>
                <w:szCs w:val="20"/>
                <w:color w:val="auto"/>
              </w:rPr>
            </w:pPr>
            <w:r>
              <w:rPr>
                <w:rFonts w:ascii="Arial" w:cs="Arial" w:eastAsia="Arial" w:hAnsi="Arial"/>
                <w:sz w:val="14"/>
                <w:szCs w:val="14"/>
                <w:color w:val="auto"/>
              </w:rPr>
              <w:t>Basic</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$0.36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$0.28</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$1.34</w:t>
            </w:r>
          </w:p>
        </w:tc>
        <w:tc>
          <w:tcPr>
            <w:tcW w:w="6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40" w:type="dxa"/>
            <w:vAlign w:val="bottom"/>
          </w:tcPr>
          <w:p>
            <w:pPr>
              <w:spacing w:after="0"/>
              <w:rPr>
                <w:sz w:val="20"/>
                <w:szCs w:val="20"/>
                <w:color w:val="auto"/>
              </w:rPr>
            </w:pPr>
            <w:r>
              <w:rPr>
                <w:rFonts w:ascii="Arial" w:cs="Arial" w:eastAsia="Arial" w:hAnsi="Arial"/>
                <w:sz w:val="14"/>
                <w:szCs w:val="14"/>
                <w:color w:val="auto"/>
              </w:rPr>
              <w:t>Diluted</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$0.26</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$1.30</w:t>
            </w:r>
          </w:p>
        </w:tc>
        <w:tc>
          <w:tcPr>
            <w:tcW w:w="6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r>
        <w:trPr>
          <w:trHeight w:val="339"/>
        </w:trPr>
        <w:tc>
          <w:tcPr>
            <w:tcW w:w="474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40" w:type="dxa"/>
            <w:vAlign w:val="bottom"/>
          </w:tcPr>
          <w:p>
            <w:pPr>
              <w:spacing w:after="0"/>
              <w:rPr>
                <w:sz w:val="20"/>
                <w:szCs w:val="20"/>
                <w:color w:val="auto"/>
              </w:rPr>
            </w:pPr>
            <w:r>
              <w:rPr>
                <w:rFonts w:ascii="Arial" w:cs="Arial" w:eastAsia="Arial" w:hAnsi="Arial"/>
                <w:sz w:val="14"/>
                <w:szCs w:val="14"/>
                <w:color w:val="auto"/>
              </w:rPr>
              <w:t>Basic</w:t>
            </w:r>
          </w:p>
        </w:tc>
        <w:tc>
          <w:tcPr>
            <w:tcW w:w="1580" w:type="dxa"/>
            <w:vAlign w:val="bottom"/>
          </w:tcPr>
          <w:p>
            <w:pPr>
              <w:jc w:val="right"/>
              <w:spacing w:after="0"/>
              <w:rPr>
                <w:sz w:val="20"/>
                <w:szCs w:val="20"/>
                <w:color w:val="auto"/>
              </w:rPr>
            </w:pPr>
            <w:r>
              <w:rPr>
                <w:rFonts w:ascii="Arial" w:cs="Arial" w:eastAsia="Arial" w:hAnsi="Arial"/>
                <w:sz w:val="14"/>
                <w:szCs w:val="14"/>
                <w:color w:val="auto"/>
              </w:rPr>
              <w:t>58,509,852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57,623,388</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58,245,240</w:t>
            </w:r>
          </w:p>
        </w:tc>
        <w:tc>
          <w:tcPr>
            <w:tcW w:w="680" w:type="dxa"/>
            <w:vAlign w:val="bottom"/>
          </w:tcPr>
          <w:p>
            <w:pPr>
              <w:spacing w:after="0"/>
              <w:rPr>
                <w:sz w:val="15"/>
                <w:szCs w:val="15"/>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57,410,544</w:t>
            </w:r>
          </w:p>
        </w:tc>
        <w:tc>
          <w:tcPr>
            <w:tcW w:w="0" w:type="dxa"/>
            <w:vAlign w:val="bottom"/>
          </w:tcPr>
          <w:p>
            <w:pPr>
              <w:spacing w:after="0"/>
              <w:rPr>
                <w:sz w:val="1"/>
                <w:szCs w:val="1"/>
                <w:color w:val="auto"/>
              </w:rPr>
            </w:pPr>
          </w:p>
        </w:tc>
      </w:tr>
      <w:tr>
        <w:trPr>
          <w:trHeight w:val="351"/>
        </w:trPr>
        <w:tc>
          <w:tcPr>
            <w:tcW w:w="4740" w:type="dxa"/>
            <w:vAlign w:val="bottom"/>
          </w:tcPr>
          <w:p>
            <w:pPr>
              <w:spacing w:after="0"/>
              <w:rPr>
                <w:sz w:val="20"/>
                <w:szCs w:val="20"/>
                <w:color w:val="auto"/>
              </w:rPr>
            </w:pPr>
            <w:r>
              <w:rPr>
                <w:rFonts w:ascii="Arial" w:cs="Arial" w:eastAsia="Arial" w:hAnsi="Arial"/>
                <w:sz w:val="14"/>
                <w:szCs w:val="14"/>
                <w:color w:val="auto"/>
              </w:rPr>
              <w:t>Diluted</w:t>
            </w:r>
          </w:p>
        </w:tc>
        <w:tc>
          <w:tcPr>
            <w:tcW w:w="1580" w:type="dxa"/>
            <w:vAlign w:val="bottom"/>
          </w:tcPr>
          <w:p>
            <w:pPr>
              <w:jc w:val="right"/>
              <w:spacing w:after="0"/>
              <w:rPr>
                <w:sz w:val="20"/>
                <w:szCs w:val="20"/>
                <w:color w:val="auto"/>
              </w:rPr>
            </w:pPr>
            <w:r>
              <w:rPr>
                <w:rFonts w:ascii="Arial" w:cs="Arial" w:eastAsia="Arial" w:hAnsi="Arial"/>
                <w:sz w:val="14"/>
                <w:szCs w:val="14"/>
                <w:color w:val="auto"/>
              </w:rPr>
              <w:t>59,902,857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59,950,100</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60,221,587</w:t>
            </w:r>
          </w:p>
        </w:tc>
        <w:tc>
          <w:tcPr>
            <w:tcW w:w="68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59,495,928</w:t>
            </w:r>
          </w:p>
        </w:tc>
        <w:tc>
          <w:tcPr>
            <w:tcW w:w="0" w:type="dxa"/>
            <w:vAlign w:val="bottom"/>
          </w:tcPr>
          <w:p>
            <w:pPr>
              <w:spacing w:after="0"/>
              <w:rPr>
                <w:sz w:val="1"/>
                <w:szCs w:val="1"/>
                <w:color w:val="auto"/>
              </w:rPr>
            </w:pPr>
          </w:p>
        </w:tc>
      </w:tr>
      <w:tr>
        <w:trPr>
          <w:trHeight w:val="485"/>
        </w:trPr>
        <w:tc>
          <w:tcPr>
            <w:tcW w:w="47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74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2008 and December 31, 2007</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6820" w:type="dxa"/>
            <w:vAlign w:val="bottom"/>
          </w:tcPr>
          <w:p>
            <w:pPr>
              <w:jc w:val="right"/>
              <w:ind w:right="568"/>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120" w:type="dxa"/>
            <w:vAlign w:val="bottom"/>
          </w:tcPr>
          <w:p>
            <w:pPr>
              <w:spacing w:after="0"/>
              <w:rPr>
                <w:sz w:val="15"/>
                <w:szCs w:val="15"/>
                <w:color w:val="auto"/>
              </w:rPr>
            </w:pPr>
          </w:p>
        </w:tc>
        <w:tc>
          <w:tcPr>
            <w:tcW w:w="6820" w:type="dxa"/>
            <w:vAlign w:val="bottom"/>
          </w:tcPr>
          <w:p>
            <w:pPr>
              <w:jc w:val="right"/>
              <w:ind w:right="548"/>
              <w:spacing w:after="0"/>
              <w:rPr>
                <w:sz w:val="20"/>
                <w:szCs w:val="20"/>
                <w:color w:val="auto"/>
              </w:rPr>
            </w:pPr>
            <w:r>
              <w:rPr>
                <w:rFonts w:ascii="Arial" w:cs="Arial" w:eastAsia="Arial" w:hAnsi="Arial"/>
                <w:sz w:val="14"/>
                <w:szCs w:val="14"/>
                <w:b w:val="1"/>
                <w:bCs w:val="1"/>
                <w:color w:val="auto"/>
              </w:rPr>
              <w:t>2008</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r>
      <w:tr>
        <w:trPr>
          <w:trHeight w:val="180"/>
        </w:trPr>
        <w:tc>
          <w:tcPr>
            <w:tcW w:w="3120" w:type="dxa"/>
            <w:vAlign w:val="bottom"/>
          </w:tcPr>
          <w:p>
            <w:pPr>
              <w:spacing w:after="0"/>
              <w:rPr>
                <w:sz w:val="15"/>
                <w:szCs w:val="15"/>
                <w:color w:val="auto"/>
              </w:rPr>
            </w:pPr>
          </w:p>
        </w:tc>
        <w:tc>
          <w:tcPr>
            <w:tcW w:w="6820" w:type="dxa"/>
            <w:vAlign w:val="bottom"/>
          </w:tcPr>
          <w:p>
            <w:pPr>
              <w:jc w:val="right"/>
              <w:ind w:right="568"/>
              <w:spacing w:after="0"/>
              <w:rPr>
                <w:sz w:val="20"/>
                <w:szCs w:val="20"/>
                <w:color w:val="auto"/>
              </w:rPr>
            </w:pPr>
            <w:r>
              <w:rPr>
                <w:rFonts w:ascii="Arial" w:cs="Arial" w:eastAsia="Arial" w:hAnsi="Arial"/>
                <w:sz w:val="14"/>
                <w:szCs w:val="14"/>
                <w:b w:val="1"/>
                <w:bCs w:val="1"/>
                <w:color w:val="auto"/>
              </w:rPr>
              <w:t>(audited)</w:t>
            </w: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6820" w:type="dxa"/>
            <w:vAlign w:val="bottom"/>
          </w:tcPr>
          <w:p>
            <w:pPr>
              <w:jc w:val="right"/>
              <w:ind w:right="548"/>
              <w:spacing w:after="0"/>
              <w:rPr>
                <w:sz w:val="20"/>
                <w:szCs w:val="20"/>
                <w:color w:val="auto"/>
              </w:rPr>
            </w:pPr>
            <w:r>
              <w:rPr>
                <w:rFonts w:ascii="Arial" w:cs="Arial" w:eastAsia="Arial" w:hAnsi="Arial"/>
                <w:sz w:val="14"/>
                <w:szCs w:val="14"/>
                <w:color w:val="auto"/>
              </w:rPr>
              <w:t>101,104</w:t>
            </w:r>
          </w:p>
        </w:tc>
        <w:tc>
          <w:tcPr>
            <w:tcW w:w="1480" w:type="dxa"/>
            <w:vAlign w:val="bottom"/>
          </w:tcPr>
          <w:p>
            <w:pPr>
              <w:jc w:val="right"/>
              <w:spacing w:after="0"/>
              <w:rPr>
                <w:sz w:val="20"/>
                <w:szCs w:val="20"/>
                <w:color w:val="auto"/>
              </w:rPr>
            </w:pPr>
            <w:r>
              <w:rPr>
                <w:rFonts w:ascii="Arial" w:cs="Arial" w:eastAsia="Arial" w:hAnsi="Arial"/>
                <w:sz w:val="14"/>
                <w:szCs w:val="14"/>
                <w:color w:val="auto"/>
              </w:rPr>
              <w:t>118,633</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Debt</w:t>
            </w:r>
          </w:p>
        </w:tc>
        <w:tc>
          <w:tcPr>
            <w:tcW w:w="6820" w:type="dxa"/>
            <w:vAlign w:val="bottom"/>
          </w:tcPr>
          <w:p>
            <w:pPr>
              <w:jc w:val="right"/>
              <w:ind w:right="548"/>
              <w:spacing w:after="0"/>
              <w:rPr>
                <w:sz w:val="20"/>
                <w:szCs w:val="20"/>
                <w:color w:val="auto"/>
              </w:rPr>
            </w:pPr>
            <w:r>
              <w:rPr>
                <w:rFonts w:ascii="Arial" w:cs="Arial" w:eastAsia="Arial" w:hAnsi="Arial"/>
                <w:sz w:val="14"/>
                <w:szCs w:val="14"/>
                <w:color w:val="auto"/>
              </w:rPr>
              <w:t>105,379</w:t>
            </w:r>
          </w:p>
        </w:tc>
        <w:tc>
          <w:tcPr>
            <w:tcW w:w="1480" w:type="dxa"/>
            <w:vAlign w:val="bottom"/>
          </w:tcPr>
          <w:p>
            <w:pPr>
              <w:jc w:val="right"/>
              <w:spacing w:after="0"/>
              <w:rPr>
                <w:sz w:val="20"/>
                <w:szCs w:val="20"/>
                <w:color w:val="auto"/>
              </w:rPr>
            </w:pPr>
            <w:r>
              <w:rPr>
                <w:rFonts w:ascii="Arial" w:cs="Arial" w:eastAsia="Arial" w:hAnsi="Arial"/>
                <w:sz w:val="14"/>
                <w:szCs w:val="14"/>
                <w:color w:val="auto"/>
              </w:rPr>
              <w:t>94,829</w:t>
            </w: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Net (debt)/cash</w:t>
            </w:r>
          </w:p>
        </w:tc>
        <w:tc>
          <w:tcPr>
            <w:tcW w:w="6820" w:type="dxa"/>
            <w:vAlign w:val="bottom"/>
          </w:tcPr>
          <w:p>
            <w:pPr>
              <w:jc w:val="right"/>
              <w:ind w:right="548"/>
              <w:spacing w:after="0"/>
              <w:rPr>
                <w:sz w:val="20"/>
                <w:szCs w:val="20"/>
                <w:color w:val="auto"/>
              </w:rPr>
            </w:pPr>
            <w:r>
              <w:rPr>
                <w:rFonts w:ascii="Arial" w:cs="Arial" w:eastAsia="Arial" w:hAnsi="Arial"/>
                <w:sz w:val="14"/>
                <w:szCs w:val="14"/>
                <w:color w:val="auto"/>
              </w:rPr>
              <w:t>(4,275)</w:t>
            </w:r>
          </w:p>
        </w:tc>
        <w:tc>
          <w:tcPr>
            <w:tcW w:w="1480" w:type="dxa"/>
            <w:vAlign w:val="bottom"/>
          </w:tcPr>
          <w:p>
            <w:pPr>
              <w:jc w:val="right"/>
              <w:spacing w:after="0"/>
              <w:rPr>
                <w:sz w:val="20"/>
                <w:szCs w:val="20"/>
                <w:color w:val="auto"/>
              </w:rPr>
            </w:pPr>
            <w:r>
              <w:rPr>
                <w:rFonts w:ascii="Arial" w:cs="Arial" w:eastAsia="Arial" w:hAnsi="Arial"/>
                <w:sz w:val="14"/>
                <w:szCs w:val="14"/>
                <w:color w:val="auto"/>
              </w:rPr>
              <w:t>23,804</w:t>
            </w:r>
          </w:p>
        </w:tc>
      </w:tr>
      <w:tr>
        <w:trPr>
          <w:trHeight w:val="344"/>
        </w:trPr>
        <w:tc>
          <w:tcPr>
            <w:tcW w:w="3120" w:type="dxa"/>
            <w:vAlign w:val="bottom"/>
          </w:tcPr>
          <w:p>
            <w:pPr>
              <w:spacing w:after="0"/>
              <w:rPr>
                <w:sz w:val="20"/>
                <w:szCs w:val="20"/>
                <w:color w:val="auto"/>
              </w:rPr>
            </w:pPr>
            <w:r>
              <w:rPr>
                <w:rFonts w:ascii="Arial" w:cs="Arial" w:eastAsia="Arial" w:hAnsi="Arial"/>
                <w:sz w:val="14"/>
                <w:szCs w:val="14"/>
                <w:color w:val="auto"/>
              </w:rPr>
              <w:t>Accounts receivable</w:t>
            </w:r>
          </w:p>
        </w:tc>
        <w:tc>
          <w:tcPr>
            <w:tcW w:w="6820" w:type="dxa"/>
            <w:vAlign w:val="bottom"/>
          </w:tcPr>
          <w:p>
            <w:pPr>
              <w:jc w:val="right"/>
              <w:ind w:right="548"/>
              <w:spacing w:after="0"/>
              <w:rPr>
                <w:sz w:val="20"/>
                <w:szCs w:val="20"/>
                <w:color w:val="auto"/>
              </w:rPr>
            </w:pPr>
            <w:r>
              <w:rPr>
                <w:rFonts w:ascii="Arial" w:cs="Arial" w:eastAsia="Arial" w:hAnsi="Arial"/>
                <w:sz w:val="14"/>
                <w:szCs w:val="14"/>
                <w:color w:val="auto"/>
              </w:rPr>
              <w:t>210,535</w:t>
            </w:r>
          </w:p>
        </w:tc>
        <w:tc>
          <w:tcPr>
            <w:tcW w:w="1480" w:type="dxa"/>
            <w:vAlign w:val="bottom"/>
          </w:tcPr>
          <w:p>
            <w:pPr>
              <w:jc w:val="right"/>
              <w:spacing w:after="0"/>
              <w:rPr>
                <w:sz w:val="20"/>
                <w:szCs w:val="20"/>
                <w:color w:val="auto"/>
              </w:rPr>
            </w:pPr>
            <w:r>
              <w:rPr>
                <w:rFonts w:ascii="Arial" w:cs="Arial" w:eastAsia="Arial" w:hAnsi="Arial"/>
                <w:sz w:val="14"/>
                <w:szCs w:val="14"/>
                <w:color w:val="auto"/>
              </w:rPr>
              <w:t>129,865</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Unbilled revenue</w:t>
            </w:r>
          </w:p>
        </w:tc>
        <w:tc>
          <w:tcPr>
            <w:tcW w:w="6820" w:type="dxa"/>
            <w:vAlign w:val="bottom"/>
          </w:tcPr>
          <w:p>
            <w:pPr>
              <w:jc w:val="right"/>
              <w:ind w:right="548"/>
              <w:spacing w:after="0"/>
              <w:rPr>
                <w:sz w:val="20"/>
                <w:szCs w:val="20"/>
                <w:color w:val="auto"/>
              </w:rPr>
            </w:pPr>
            <w:r>
              <w:rPr>
                <w:rFonts w:ascii="Arial" w:cs="Arial" w:eastAsia="Arial" w:hAnsi="Arial"/>
                <w:sz w:val="14"/>
                <w:szCs w:val="14"/>
                <w:color w:val="auto"/>
              </w:rPr>
              <w:t>141,727</w:t>
            </w:r>
          </w:p>
        </w:tc>
        <w:tc>
          <w:tcPr>
            <w:tcW w:w="1480" w:type="dxa"/>
            <w:vAlign w:val="bottom"/>
          </w:tcPr>
          <w:p>
            <w:pPr>
              <w:jc w:val="right"/>
              <w:spacing w:after="0"/>
              <w:rPr>
                <w:sz w:val="20"/>
                <w:szCs w:val="20"/>
                <w:color w:val="auto"/>
              </w:rPr>
            </w:pPr>
            <w:r>
              <w:rPr>
                <w:rFonts w:ascii="Arial" w:cs="Arial" w:eastAsia="Arial" w:hAnsi="Arial"/>
                <w:sz w:val="14"/>
                <w:szCs w:val="14"/>
                <w:color w:val="auto"/>
              </w:rPr>
              <w:t>144,661</w:t>
            </w:r>
          </w:p>
        </w:tc>
      </w:tr>
      <w:tr>
        <w:trPr>
          <w:trHeight w:val="176"/>
        </w:trPr>
        <w:tc>
          <w:tcPr>
            <w:tcW w:w="3120" w:type="dxa"/>
            <w:vAlign w:val="bottom"/>
          </w:tcPr>
          <w:p>
            <w:pPr>
              <w:spacing w:after="0"/>
              <w:rPr>
                <w:sz w:val="20"/>
                <w:szCs w:val="20"/>
                <w:color w:val="auto"/>
              </w:rPr>
            </w:pPr>
            <w:r>
              <w:rPr>
                <w:rFonts w:ascii="Arial" w:cs="Arial" w:eastAsia="Arial" w:hAnsi="Arial"/>
                <w:sz w:val="14"/>
                <w:szCs w:val="14"/>
                <w:color w:val="auto"/>
              </w:rPr>
              <w:t>Payments on account</w:t>
            </w:r>
          </w:p>
        </w:tc>
        <w:tc>
          <w:tcPr>
            <w:tcW w:w="6820" w:type="dxa"/>
            <w:vAlign w:val="bottom"/>
          </w:tcPr>
          <w:p>
            <w:pPr>
              <w:jc w:val="right"/>
              <w:ind w:right="548"/>
              <w:spacing w:after="0"/>
              <w:rPr>
                <w:sz w:val="20"/>
                <w:szCs w:val="20"/>
                <w:color w:val="auto"/>
              </w:rPr>
            </w:pPr>
            <w:r>
              <w:rPr>
                <w:rFonts w:ascii="Arial" w:cs="Arial" w:eastAsia="Arial" w:hAnsi="Arial"/>
                <w:sz w:val="14"/>
                <w:szCs w:val="14"/>
                <w:color w:val="auto"/>
              </w:rPr>
              <w:t>(121,935)</w:t>
            </w:r>
          </w:p>
        </w:tc>
        <w:tc>
          <w:tcPr>
            <w:tcW w:w="1480" w:type="dxa"/>
            <w:vAlign w:val="bottom"/>
          </w:tcPr>
          <w:p>
            <w:pPr>
              <w:jc w:val="right"/>
              <w:spacing w:after="0"/>
              <w:rPr>
                <w:sz w:val="20"/>
                <w:szCs w:val="20"/>
                <w:color w:val="auto"/>
              </w:rPr>
            </w:pPr>
            <w:r>
              <w:rPr>
                <w:rFonts w:ascii="Arial" w:cs="Arial" w:eastAsia="Arial" w:hAnsi="Arial"/>
                <w:sz w:val="14"/>
                <w:szCs w:val="14"/>
                <w:color w:val="auto"/>
              </w:rPr>
              <w:t>(96,553)</w:t>
            </w:r>
          </w:p>
        </w:tc>
      </w:tr>
      <w:tr>
        <w:trPr>
          <w:trHeight w:val="182"/>
        </w:trPr>
        <w:tc>
          <w:tcPr>
            <w:tcW w:w="3120" w:type="dxa"/>
            <w:vAlign w:val="bottom"/>
          </w:tcPr>
          <w:p>
            <w:pPr>
              <w:spacing w:after="0"/>
              <w:rPr>
                <w:sz w:val="20"/>
                <w:szCs w:val="20"/>
                <w:color w:val="auto"/>
              </w:rPr>
            </w:pPr>
            <w:r>
              <w:rPr>
                <w:rFonts w:ascii="Arial" w:cs="Arial" w:eastAsia="Arial" w:hAnsi="Arial"/>
                <w:sz w:val="14"/>
                <w:szCs w:val="14"/>
                <w:color w:val="auto"/>
              </w:rPr>
              <w:t>Total</w:t>
            </w:r>
          </w:p>
        </w:tc>
        <w:tc>
          <w:tcPr>
            <w:tcW w:w="6820" w:type="dxa"/>
            <w:vAlign w:val="bottom"/>
          </w:tcPr>
          <w:p>
            <w:pPr>
              <w:jc w:val="right"/>
              <w:ind w:right="548"/>
              <w:spacing w:after="0"/>
              <w:rPr>
                <w:sz w:val="20"/>
                <w:szCs w:val="20"/>
                <w:color w:val="auto"/>
              </w:rPr>
            </w:pPr>
            <w:r>
              <w:rPr>
                <w:rFonts w:ascii="Arial" w:cs="Arial" w:eastAsia="Arial" w:hAnsi="Arial"/>
                <w:sz w:val="14"/>
                <w:szCs w:val="14"/>
                <w:color w:val="auto"/>
              </w:rPr>
              <w:t>230,327</w:t>
            </w:r>
          </w:p>
        </w:tc>
        <w:tc>
          <w:tcPr>
            <w:tcW w:w="1480" w:type="dxa"/>
            <w:vAlign w:val="bottom"/>
          </w:tcPr>
          <w:p>
            <w:pPr>
              <w:jc w:val="right"/>
              <w:spacing w:after="0"/>
              <w:rPr>
                <w:sz w:val="20"/>
                <w:szCs w:val="20"/>
                <w:color w:val="auto"/>
              </w:rPr>
            </w:pPr>
            <w:r>
              <w:rPr>
                <w:rFonts w:ascii="Arial" w:cs="Arial" w:eastAsia="Arial" w:hAnsi="Arial"/>
                <w:sz w:val="14"/>
                <w:szCs w:val="14"/>
                <w:color w:val="auto"/>
              </w:rPr>
              <w:t>177,973</w:t>
            </w:r>
          </w:p>
        </w:tc>
      </w:tr>
      <w:tr>
        <w:trPr>
          <w:trHeight w:val="351"/>
        </w:trPr>
        <w:tc>
          <w:tcPr>
            <w:tcW w:w="3120" w:type="dxa"/>
            <w:vAlign w:val="bottom"/>
          </w:tcPr>
          <w:p>
            <w:pPr>
              <w:spacing w:after="0"/>
              <w:rPr>
                <w:sz w:val="20"/>
                <w:szCs w:val="20"/>
                <w:color w:val="auto"/>
              </w:rPr>
            </w:pPr>
            <w:r>
              <w:rPr>
                <w:rFonts w:ascii="Arial" w:cs="Arial" w:eastAsia="Arial" w:hAnsi="Arial"/>
                <w:sz w:val="14"/>
                <w:szCs w:val="14"/>
                <w:color w:val="auto"/>
              </w:rPr>
              <w:t>Working Capital</w:t>
            </w:r>
          </w:p>
        </w:tc>
        <w:tc>
          <w:tcPr>
            <w:tcW w:w="6820" w:type="dxa"/>
            <w:vAlign w:val="bottom"/>
          </w:tcPr>
          <w:p>
            <w:pPr>
              <w:jc w:val="right"/>
              <w:ind w:right="548"/>
              <w:spacing w:after="0"/>
              <w:rPr>
                <w:sz w:val="20"/>
                <w:szCs w:val="20"/>
                <w:color w:val="auto"/>
              </w:rPr>
            </w:pPr>
            <w:r>
              <w:rPr>
                <w:rFonts w:ascii="Arial" w:cs="Arial" w:eastAsia="Arial" w:hAnsi="Arial"/>
                <w:sz w:val="14"/>
                <w:szCs w:val="14"/>
                <w:color w:val="auto"/>
              </w:rPr>
              <w:t>185,957</w:t>
            </w:r>
          </w:p>
        </w:tc>
        <w:tc>
          <w:tcPr>
            <w:tcW w:w="1480" w:type="dxa"/>
            <w:vAlign w:val="bottom"/>
          </w:tcPr>
          <w:p>
            <w:pPr>
              <w:jc w:val="right"/>
              <w:spacing w:after="0"/>
              <w:rPr>
                <w:sz w:val="20"/>
                <w:szCs w:val="20"/>
                <w:color w:val="auto"/>
              </w:rPr>
            </w:pPr>
            <w:r>
              <w:rPr>
                <w:rFonts w:ascii="Arial" w:cs="Arial" w:eastAsia="Arial" w:hAnsi="Arial"/>
                <w:sz w:val="14"/>
                <w:szCs w:val="14"/>
                <w:color w:val="auto"/>
              </w:rPr>
              <w:t>193,271</w:t>
            </w:r>
          </w:p>
        </w:tc>
      </w:tr>
      <w:tr>
        <w:trPr>
          <w:trHeight w:val="351"/>
        </w:trPr>
        <w:tc>
          <w:tcPr>
            <w:tcW w:w="3120" w:type="dxa"/>
            <w:vAlign w:val="bottom"/>
          </w:tcPr>
          <w:p>
            <w:pPr>
              <w:spacing w:after="0"/>
              <w:rPr>
                <w:sz w:val="20"/>
                <w:szCs w:val="20"/>
                <w:color w:val="auto"/>
              </w:rPr>
            </w:pPr>
            <w:r>
              <w:rPr>
                <w:rFonts w:ascii="Arial" w:cs="Arial" w:eastAsia="Arial" w:hAnsi="Arial"/>
                <w:sz w:val="14"/>
                <w:szCs w:val="14"/>
                <w:color w:val="auto"/>
              </w:rPr>
              <w:t>Total assets</w:t>
            </w:r>
          </w:p>
        </w:tc>
        <w:tc>
          <w:tcPr>
            <w:tcW w:w="6820" w:type="dxa"/>
            <w:vAlign w:val="bottom"/>
          </w:tcPr>
          <w:p>
            <w:pPr>
              <w:jc w:val="right"/>
              <w:ind w:right="548"/>
              <w:spacing w:after="0"/>
              <w:rPr>
                <w:sz w:val="20"/>
                <w:szCs w:val="20"/>
                <w:color w:val="auto"/>
              </w:rPr>
            </w:pPr>
            <w:r>
              <w:rPr>
                <w:rFonts w:ascii="Arial" w:cs="Arial" w:eastAsia="Arial" w:hAnsi="Arial"/>
                <w:sz w:val="14"/>
                <w:szCs w:val="14"/>
                <w:color w:val="auto"/>
              </w:rPr>
              <w:t>867,285</w:t>
            </w:r>
          </w:p>
        </w:tc>
        <w:tc>
          <w:tcPr>
            <w:tcW w:w="1480" w:type="dxa"/>
            <w:vAlign w:val="bottom"/>
          </w:tcPr>
          <w:p>
            <w:pPr>
              <w:jc w:val="right"/>
              <w:spacing w:after="0"/>
              <w:rPr>
                <w:sz w:val="20"/>
                <w:szCs w:val="20"/>
                <w:color w:val="auto"/>
              </w:rPr>
            </w:pPr>
            <w:r>
              <w:rPr>
                <w:rFonts w:ascii="Arial" w:cs="Arial" w:eastAsia="Arial" w:hAnsi="Arial"/>
                <w:sz w:val="14"/>
                <w:szCs w:val="14"/>
                <w:color w:val="auto"/>
              </w:rPr>
              <w:t>693,138</w:t>
            </w:r>
          </w:p>
        </w:tc>
      </w:tr>
      <w:tr>
        <w:trPr>
          <w:trHeight w:val="351"/>
        </w:trPr>
        <w:tc>
          <w:tcPr>
            <w:tcW w:w="3120" w:type="dxa"/>
            <w:vAlign w:val="bottom"/>
          </w:tcPr>
          <w:p>
            <w:pPr>
              <w:spacing w:after="0"/>
              <w:rPr>
                <w:sz w:val="20"/>
                <w:szCs w:val="20"/>
                <w:color w:val="auto"/>
              </w:rPr>
            </w:pPr>
            <w:r>
              <w:rPr>
                <w:rFonts w:ascii="Arial" w:cs="Arial" w:eastAsia="Arial" w:hAnsi="Arial"/>
                <w:sz w:val="14"/>
                <w:szCs w:val="14"/>
                <w:color w:val="auto"/>
              </w:rPr>
              <w:t>Shareholders’ equity</w:t>
            </w:r>
          </w:p>
        </w:tc>
        <w:tc>
          <w:tcPr>
            <w:tcW w:w="6820" w:type="dxa"/>
            <w:vAlign w:val="bottom"/>
          </w:tcPr>
          <w:p>
            <w:pPr>
              <w:jc w:val="right"/>
              <w:ind w:right="548"/>
              <w:spacing w:after="0"/>
              <w:rPr>
                <w:sz w:val="20"/>
                <w:szCs w:val="20"/>
                <w:color w:val="auto"/>
              </w:rPr>
            </w:pPr>
            <w:r>
              <w:rPr>
                <w:rFonts w:ascii="Arial" w:cs="Arial" w:eastAsia="Arial" w:hAnsi="Arial"/>
                <w:sz w:val="14"/>
                <w:szCs w:val="14"/>
                <w:color w:val="auto"/>
              </w:rPr>
              <w:t>456,366</w:t>
            </w:r>
          </w:p>
        </w:tc>
        <w:tc>
          <w:tcPr>
            <w:tcW w:w="1480" w:type="dxa"/>
            <w:vAlign w:val="bottom"/>
          </w:tcPr>
          <w:p>
            <w:pPr>
              <w:jc w:val="right"/>
              <w:spacing w:after="0"/>
              <w:rPr>
                <w:sz w:val="20"/>
                <w:szCs w:val="20"/>
                <w:color w:val="auto"/>
              </w:rPr>
            </w:pPr>
            <w:r>
              <w:rPr>
                <w:rFonts w:ascii="Arial" w:cs="Arial" w:eastAsia="Arial" w:hAnsi="Arial"/>
                <w:sz w:val="14"/>
                <w:szCs w:val="14"/>
                <w:color w:val="auto"/>
              </w:rPr>
              <w:t>388,400</w:t>
            </w:r>
          </w:p>
        </w:tc>
      </w:tr>
      <w:tr>
        <w:trPr>
          <w:trHeight w:val="527"/>
        </w:trPr>
        <w:tc>
          <w:tcPr>
            <w:tcW w:w="312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6820" w:type="dxa"/>
            <w:vAlign w:val="bottom"/>
          </w:tcPr>
          <w:p>
            <w:pPr>
              <w:ind w:left="1200"/>
              <w:spacing w:after="0"/>
              <w:rPr>
                <w:sz w:val="20"/>
                <w:szCs w:val="20"/>
                <w:color w:val="auto"/>
              </w:rPr>
            </w:pPr>
            <w:r>
              <w:rPr>
                <w:rFonts w:ascii="Arial" w:cs="Arial" w:eastAsia="Arial" w:hAnsi="Arial"/>
                <w:sz w:val="14"/>
                <w:szCs w:val="14"/>
                <w:color w:val="auto"/>
              </w:rPr>
              <w:t>ICON plc</w:t>
            </w:r>
          </w:p>
        </w:tc>
        <w:tc>
          <w:tcPr>
            <w:tcW w:w="1480" w:type="dxa"/>
            <w:vAlign w:val="bottom"/>
          </w:tcPr>
          <w:p>
            <w:pPr>
              <w:spacing w:after="0"/>
              <w:rPr>
                <w:sz w:val="24"/>
                <w:szCs w:val="24"/>
                <w:color w:val="auto"/>
              </w:rPr>
            </w:pPr>
          </w:p>
        </w:tc>
      </w:tr>
      <w:tr>
        <w:trPr>
          <w:trHeight w:val="344"/>
        </w:trPr>
        <w:tc>
          <w:tcPr>
            <w:tcW w:w="312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6820" w:type="dxa"/>
            <w:vAlign w:val="bottom"/>
          </w:tcPr>
          <w:p>
            <w:pPr>
              <w:ind w:left="1200"/>
              <w:spacing w:after="0"/>
              <w:rPr>
                <w:sz w:val="20"/>
                <w:szCs w:val="20"/>
                <w:color w:val="auto"/>
              </w:rPr>
            </w:pPr>
            <w:r>
              <w:rPr>
                <w:rFonts w:ascii="Arial" w:cs="Arial" w:eastAsia="Arial" w:hAnsi="Arial"/>
                <w:sz w:val="14"/>
                <w:szCs w:val="14"/>
                <w:color w:val="auto"/>
              </w:rPr>
              <w:t>Investor Relations 1-888-381-7923 or</w:t>
            </w:r>
          </w:p>
        </w:tc>
        <w:tc>
          <w:tcPr>
            <w:tcW w:w="1480" w:type="dxa"/>
            <w:vAlign w:val="bottom"/>
          </w:tcPr>
          <w:p>
            <w:pPr>
              <w:spacing w:after="0"/>
              <w:rPr>
                <w:sz w:val="24"/>
                <w:szCs w:val="24"/>
                <w:color w:val="auto"/>
              </w:rPr>
            </w:pPr>
          </w:p>
        </w:tc>
      </w:tr>
      <w:tr>
        <w:trPr>
          <w:trHeight w:val="176"/>
        </w:trPr>
        <w:tc>
          <w:tcPr>
            <w:tcW w:w="3120" w:type="dxa"/>
            <w:vAlign w:val="bottom"/>
          </w:tcPr>
          <w:p>
            <w:pPr>
              <w:spacing w:after="0"/>
              <w:rPr>
                <w:sz w:val="15"/>
                <w:szCs w:val="15"/>
                <w:color w:val="auto"/>
              </w:rPr>
            </w:pPr>
          </w:p>
        </w:tc>
        <w:tc>
          <w:tcPr>
            <w:tcW w:w="6820" w:type="dxa"/>
            <w:vAlign w:val="bottom"/>
          </w:tcPr>
          <w:p>
            <w:pPr>
              <w:ind w:left="1200"/>
              <w:spacing w:after="0"/>
              <w:rPr>
                <w:sz w:val="20"/>
                <w:szCs w:val="20"/>
                <w:color w:val="auto"/>
              </w:rPr>
            </w:pPr>
            <w:r>
              <w:rPr>
                <w:rFonts w:ascii="Arial" w:cs="Arial" w:eastAsia="Arial" w:hAnsi="Arial"/>
                <w:sz w:val="14"/>
                <w:szCs w:val="14"/>
                <w:color w:val="auto"/>
              </w:rPr>
              <w:t>Ciaran Murray CFO + 353 1 291 2000</w:t>
            </w:r>
          </w:p>
        </w:tc>
        <w:tc>
          <w:tcPr>
            <w:tcW w:w="1480" w:type="dxa"/>
            <w:vAlign w:val="bottom"/>
          </w:tcPr>
          <w:p>
            <w:pPr>
              <w:spacing w:after="0"/>
              <w:rPr>
                <w:sz w:val="15"/>
                <w:szCs w:val="15"/>
                <w:color w:val="auto"/>
              </w:rPr>
            </w:pPr>
          </w:p>
        </w:tc>
      </w:tr>
      <w:tr>
        <w:trPr>
          <w:trHeight w:val="182"/>
        </w:trPr>
        <w:tc>
          <w:tcPr>
            <w:tcW w:w="3120" w:type="dxa"/>
            <w:vAlign w:val="bottom"/>
          </w:tcPr>
          <w:p>
            <w:pPr>
              <w:spacing w:after="0"/>
              <w:rPr>
                <w:sz w:val="15"/>
                <w:szCs w:val="15"/>
                <w:color w:val="auto"/>
              </w:rPr>
            </w:pPr>
          </w:p>
        </w:tc>
        <w:tc>
          <w:tcPr>
            <w:tcW w:w="6820" w:type="dxa"/>
            <w:vAlign w:val="bottom"/>
          </w:tcPr>
          <w:p>
            <w:pPr>
              <w:ind w:left="1200"/>
              <w:spacing w:after="0"/>
              <w:rPr>
                <w:sz w:val="20"/>
                <w:szCs w:val="20"/>
                <w:color w:val="auto"/>
              </w:rPr>
            </w:pPr>
            <w:r>
              <w:rPr>
                <w:rFonts w:ascii="Arial" w:cs="Arial" w:eastAsia="Arial" w:hAnsi="Arial"/>
                <w:sz w:val="14"/>
                <w:szCs w:val="14"/>
                <w:color w:val="auto"/>
              </w:rPr>
              <w:t>both at ICON.</w:t>
            </w:r>
          </w:p>
        </w:tc>
        <w:tc>
          <w:tcPr>
            <w:tcW w:w="1480" w:type="dxa"/>
            <w:vAlign w:val="bottom"/>
          </w:tcPr>
          <w:p>
            <w:pPr>
              <w:spacing w:after="0"/>
              <w:rPr>
                <w:sz w:val="15"/>
                <w:szCs w:val="15"/>
                <w:color w:val="auto"/>
              </w:rPr>
            </w:pPr>
          </w:p>
        </w:tc>
      </w:tr>
    </w:tbl>
    <w:p>
      <w:pPr>
        <w:spacing w:after="0" w:line="169" w:lineRule="exact"/>
        <w:rPr>
          <w:sz w:val="20"/>
          <w:szCs w:val="20"/>
          <w:color w:val="auto"/>
        </w:rPr>
      </w:pPr>
    </w:p>
    <w:p>
      <w:pPr>
        <w:ind w:left="4320"/>
        <w:spacing w:after="0"/>
        <w:rPr>
          <w:sz w:val="20"/>
          <w:szCs w:val="20"/>
          <w:color w:val="auto"/>
        </w:rPr>
      </w:pPr>
      <w:r>
        <w:rPr>
          <w:rFonts w:ascii="Arial" w:cs="Arial" w:eastAsia="Arial" w:hAnsi="Arial"/>
          <w:sz w:val="14"/>
          <w:szCs w:val="14"/>
          <w:u w:val="single" w:color="auto"/>
          <w:color w:val="auto"/>
        </w:rPr>
        <w:t>http://www.iconplc.com</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Ciaran Murray CFO</w:t>
      </w:r>
    </w:p>
    <w:p>
      <w:pPr>
        <w:spacing w:after="0"/>
        <w:rPr>
          <w:sz w:val="20"/>
          <w:szCs w:val="20"/>
          <w:color w:val="auto"/>
        </w:rPr>
      </w:pPr>
      <w:r>
        <w:rPr>
          <w:rFonts w:ascii="Arial" w:cs="Arial" w:eastAsia="Arial" w:hAnsi="Arial"/>
          <w:sz w:val="22"/>
          <w:szCs w:val="22"/>
          <w:color w:val="auto"/>
        </w:rPr>
        <w:t>+ 353 –1-291-2000</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2019-12-10T17:21:05Z</dcterms:created>
  <dcterms:modified xsi:type="dcterms:W3CDTF">2019-12-10T17:21:05Z</dcterms:modified>
</cp:coreProperties>
</file>