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16"/>
          <w:szCs w:val="16"/>
          <w:b w:val="1"/>
          <w:bCs w:val="1"/>
          <w:color w:val="auto"/>
        </w:rPr>
        <w:t>FORM 6-K</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8"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Washington, D.C. 20549</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For</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the month ended April, 2021</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(Registrant's name)</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333-08704</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 Brennan, CFO</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Brendan.Brennan@iconplc.com</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+353-1-291-2000</w:t>
      </w:r>
    </w:p>
    <w:p>
      <w:pPr>
        <w:spacing w:after="0" w:line="5" w:lineRule="exact"/>
        <w:rPr>
          <w:sz w:val="24"/>
          <w:szCs w:val="24"/>
          <w:color w:val="auto"/>
        </w:rPr>
      </w:pPr>
    </w:p>
    <w:p>
      <w:pPr>
        <w:jc w:val="center"/>
        <w:ind w:right="-85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09" w:lineRule="exact"/>
        <w:rPr>
          <w:sz w:val="24"/>
          <w:szCs w:val="24"/>
          <w:color w:val="auto"/>
        </w:rPr>
      </w:pPr>
    </w:p>
    <w:p>
      <w:pPr>
        <w:spacing w:after="0" w:line="232"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619125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40" w:top="1242" w:right="11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87" w:lineRule="exact"/>
        <w:rPr>
          <w:sz w:val="20"/>
          <w:szCs w:val="20"/>
          <w:color w:val="auto"/>
        </w:rPr>
      </w:pPr>
    </w:p>
    <w:p>
      <w:pPr>
        <w:jc w:val="both"/>
        <w:ind w:firstLine="200"/>
        <w:spacing w:after="0" w:line="251"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6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2021 we had approximately 16,070 employees, in 89 locations in 43 countries. During the three months ended March 31, 2021, we derived approximately 41.1%, 49.9% and 9.0% of our revenue in the United States, Europe and Rest of World respectively.</w:t>
      </w:r>
    </w:p>
    <w:p>
      <w:pPr>
        <w:spacing w:after="0" w:line="229" w:lineRule="exact"/>
        <w:rPr>
          <w:sz w:val="20"/>
          <w:szCs w:val="20"/>
          <w:color w:val="auto"/>
        </w:rPr>
      </w:pPr>
    </w:p>
    <w:p>
      <w:pPr>
        <w:jc w:val="both"/>
        <w:ind w:firstLine="193"/>
        <w:spacing w:after="0" w:line="253"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Agreement</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February 24, 2021, ICON plc announced it has entered into a Merger Agreement to acquire PRA Health Sciences, Inc. (‘PRA’) in a cash and stock transaction valued at approximately $12 billion. The per share merger consideration consists of $80 in cash and 0.4125 shares of ICON stock. The boards of directors of both companies have approved the acquisition. Subject to receipt of regulatory clearances and approval by shareholders of both companies, the acquisition is expected to close in July 2021, and upon completion, ICON shareholders will own approximately 66% of the combined company and PRA shareholders will own approximately 34% of the combined company.</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conjunction with the execution of the Merger Agreement, ICON entered into a commitment letter with Citigroup Global Markets Inc. (“Citi”), and certain other financial institutions (together with Citi, referred to as the "debt financing sources"), pursuant to which such debt financing sources have committed, on a several basis and subject to customary closing conditions, to provide to ICON a senior secured revolving credit facility in an aggregate principal amount of up to $300.0 million and a senior secured bridge loan facility in an aggregate principal amount of up to $6,060.0 million to finance ICON’s obligations in respect of the transactions contemplated by the Merger Agreement. The effectiveness of such credit facilities is subject to the occurrence of customary closing conditions, including the consummation of the Merger.</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completion of the Merger is subject to the receipt of antitrust clearance in the United States, Austria, Germany and Russia, and to approval of foreign direct investment in each of Austria, France, Germany, Italy and New Zealand. On April 12, 2021, the German Federal Cartel Office (Bundeskartellamt) (the “FCO”) provided antitrust clearance for the Merger. On April 14, 2021, the applicable waiting period expired under the Hart-Scott-Rodino Antitrust Improvements Act of 1976, as amended. In addition, antitrust clearance was received in Austria on April 17, 2021, and foreign direct investment approval was received in New Zealand on April 19, 2021, and in Germany and Italy on April 22, 2021.</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completion of the Merger remains subject to other customary closing conditions, including the adoption of the Merger Agreement by PRA’s stockholders and the approval by ICON’s shareholders of the issuance of ICON ordinary shares in the Merger.</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in this Form 6-K do not reflect any of the acquisition accounting entries required on consummation of the merger and ICON/PRA continue to present their standalone results separately. The results shown below include, to the extent incurred, ICON's merger related costs for the three month period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color w:val="auto"/>
        </w:rPr>
        <w:t>Assessment of COVID-19 impact on the business</w:t>
      </w:r>
    </w:p>
    <w:p>
      <w:pPr>
        <w:spacing w:after="0" w:line="264" w:lineRule="exact"/>
        <w:rPr>
          <w:sz w:val="20"/>
          <w:szCs w:val="20"/>
          <w:color w:val="auto"/>
        </w:rPr>
      </w:pPr>
    </w:p>
    <w:p>
      <w:pPr>
        <w:jc w:val="both"/>
        <w:ind w:firstLine="184"/>
        <w:spacing w:after="0" w:line="250" w:lineRule="auto"/>
        <w:rPr>
          <w:sz w:val="20"/>
          <w:szCs w:val="20"/>
          <w:color w:val="auto"/>
        </w:rPr>
      </w:pPr>
      <w:r>
        <w:rPr>
          <w:rFonts w:ascii="Arial" w:cs="Arial" w:eastAsia="Arial" w:hAnsi="Arial"/>
          <w:sz w:val="16"/>
          <w:szCs w:val="16"/>
          <w:color w:val="auto"/>
        </w:rPr>
        <w:t>In the period since December 31, 2020, the Company has continued to experience a return to positive growth in revenue and net income as a result of the ongoing recovery from the global COVID-19 pandemic. At this point in time, there still remains some degree of uncertainty relating to the long-term effect of COVID-19 on our business and when it will be possible for business activity to return to normal operating levels. Although the impact of the global COVID-19 pandemic is reducing, we continue to experience restrictions on our ability to ensure laboratory samples are collected and analyzed on time, our ability to monitor our clinical trials, the ability of patients or service providers to travel, and our ability to travel, as a result of the outbreak.</w:t>
      </w:r>
    </w:p>
    <w:p>
      <w:pPr>
        <w:spacing w:after="0" w:line="23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ICON has continued to successfully mobilize its vaccine resources to address the COVID-19 global threat, including its ability to conduct home-based trials to minimize infection. In addition, the Company is currently providing clinical monitoring and safety oversight on more than 100 COVID-19 trials for both the private and government sectors.</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Revenue for the three months ended March 31, 2021 increased by $143.1 million, or 20.0%, to $858.2 million, compared to $715.1 million for the three months ended March 31, 2020. Revenue increased by 17.9% in constant currency and increased by 17.8% in constant dollar organic terms. The increase in revenues in the three months ended March 31, 2021 is due to the continued recovery from the impact the COVID-19 global pandemic had on operations and the additional clinical trials commenced in direct response to COVID-19 over the last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re-financing</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On December 8, 2020, the Company issued new senior notes, '2020 Senior Notes' for aggregate gross proceeds of $350.0 million in the private placement market. The 2020 Senior Notes were issued in two tranches; Series A Notes of $275.0 million at a fixed interest rate of 2.32% and Series B Notes of $ 75.0 million at a fixed interest rate of 2.43%. The effective interest rate is adjusted by the impact of an interest rate cash flow hedge which was entered into in advance of the rate fixing date. This cash flow hedge was deemed to be fully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realized loss related to this derivative was recorded within other comprehensive income and amortized over the life of the 2020 Senior Notes. The effective rate on the 2020 Senior Notes is fixed at 2.41%.</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Merger Agreement to acquire PRA, the Company will be required to repay the 2020 Senior Notes prior to the draw down of funding to acquire PRA. As described above, the funding to replace the 2020 Senior Notes and acquire PRA will consist of a senior secured revolving credit facility in an aggregate principal amount of up to $300.0 million and a senior secured bridge loan facility in an aggregate principal amount of up to $6,060.0 million. The 2020 Senior Notes will continue to be presented as non-current until the occurrence of any contractual event which alters this arrangement.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264" w:lineRule="exact"/>
        <w:rPr>
          <w:sz w:val="20"/>
          <w:szCs w:val="20"/>
          <w:color w:val="auto"/>
        </w:rPr>
      </w:pPr>
    </w:p>
    <w:p>
      <w:pPr>
        <w:jc w:val="both"/>
        <w:ind w:firstLine="184"/>
        <w:spacing w:after="0" w:line="250"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 During the year ended December 31, 2020, 1,235,218 ordinary shares were redeemed by the Company under this buyback program for a total consideration of $175.0 million. During the three months ended March 31, 2021, no ordinary shares were redeemed by the Company under this buyback program.</w:t>
      </w:r>
    </w:p>
    <w:p>
      <w:pPr>
        <w:spacing w:after="0" w:line="230" w:lineRule="exact"/>
        <w:rPr>
          <w:sz w:val="20"/>
          <w:szCs w:val="20"/>
          <w:color w:val="auto"/>
        </w:rPr>
      </w:pPr>
    </w:p>
    <w:p>
      <w:pPr>
        <w:jc w:val="both"/>
        <w:ind w:right="20" w:firstLine="196"/>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standards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will adopt the amendments in this ASU on a prospective basis, except where the required method of adoption is retrospective or modified retrospective. ASU 2019-12 is effective for the Company for fiscal years commencing on or after December 15, 2020. The adoption of this ASU did not have a significant impact on the financial statements.</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w:t>
      </w:r>
      <w:r>
        <w:rPr>
          <w:rFonts w:ascii="Arial" w:cs="Arial" w:eastAsia="Arial" w:hAnsi="Arial"/>
          <w:sz w:val="16"/>
          <w:szCs w:val="16"/>
          <w:color w:val="auto"/>
        </w:rPr>
        <w:t>'. ASU 2020-01 states any equity security transitioning from the alternative method of accounting under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fiscal years beginning after December 15, 2020, and will be applied on a prospective basis. The adoption of this ASU did not have a significant impact on the financial statements.</w:t>
      </w: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August 2020, the FASB issues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which removes the separation models in ASC 470 ‘Debt’ for convertible debt with cash conversion features and convertible instruments with beneficial conversion features. The ASU also removes from ASC 815 </w:t>
      </w: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xml:space="preserve"> certain conditions for equity classification for contracts on an entity’s own equity. The adoption of this ASU did not have a significant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ind w:left="5400"/>
        <w:spacing w:after="0"/>
        <w:rPr>
          <w:sz w:val="20"/>
          <w:szCs w:val="20"/>
          <w:color w:val="auto"/>
        </w:rPr>
      </w:pPr>
      <w:r>
        <w:rPr>
          <w:rFonts w:ascii="Arial" w:cs="Arial" w:eastAsia="Arial" w:hAnsi="Arial"/>
          <w:sz w:val="16"/>
          <w:szCs w:val="16"/>
          <w:b w:val="1"/>
          <w:bCs w:val="1"/>
          <w:color w:val="auto"/>
        </w:rPr>
        <w:t>ICON plc</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MARCH 31, 2021 AND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March 31,</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5"/>
        </w:trPr>
        <w:tc>
          <w:tcPr>
            <w:tcW w:w="7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1039"/>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942,455</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840,305</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Available for sale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1,729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659,710</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715,271</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Unbilled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416,352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428,684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31,552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87,273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53,477</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29,996</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2,169,067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2,102,978</w:t>
            </w:r>
          </w:p>
        </w:tc>
        <w:tc>
          <w:tcPr>
            <w:tcW w:w="0" w:type="dxa"/>
            <w:vAlign w:val="bottom"/>
          </w:tcPr>
          <w:p>
            <w:pPr>
              <w:spacing w:after="0"/>
              <w:rPr>
                <w:sz w:val="1"/>
                <w:szCs w:val="1"/>
                <w:color w:val="auto"/>
              </w:rPr>
            </w:pPr>
          </w:p>
        </w:tc>
      </w:tr>
      <w:tr>
        <w:trPr>
          <w:trHeight w:val="165"/>
        </w:trPr>
        <w:tc>
          <w:tcPr>
            <w:tcW w:w="7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165,582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174,343</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927,738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936,257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right-of-use assets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74,801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84,561</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21,309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20,773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income taxes receivable</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12,055</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deferred tax asset</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12,552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12,705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method investments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4,260</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Investments in equity-long term</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18,614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15,765</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Intangible assets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60,598</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66,460</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3,466,576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48,103</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51,113</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610,477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660,883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404,988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399,769</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payable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16,666</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12,178</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Current bank credit lines and loan facilities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1,080,234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1,123,943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bank credit lines and loan facilities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348,592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348,477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operating lease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52,182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60,801</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other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26,279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26,366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government grants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income taxes payable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14,466</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14,539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deferred tax liability</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9,857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Commitments and contingencies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1,532,405</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1,585,370</w:t>
            </w:r>
          </w:p>
        </w:tc>
        <w:tc>
          <w:tcPr>
            <w:tcW w:w="0" w:type="dxa"/>
            <w:vAlign w:val="bottom"/>
          </w:tcPr>
          <w:p>
            <w:pPr>
              <w:spacing w:after="0"/>
              <w:rPr>
                <w:sz w:val="1"/>
                <w:szCs w:val="1"/>
                <w:color w:val="auto"/>
              </w:rPr>
            </w:pPr>
          </w:p>
        </w:tc>
      </w:tr>
      <w:tr>
        <w:trPr>
          <w:trHeight w:val="203"/>
        </w:trPr>
        <w:tc>
          <w:tcPr>
            <w:tcW w:w="7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52,858,190 shares issued and outstanding at March 31, 2021 and</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52,788,093 shares issued and outstanding at December 31, 2020</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4,585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623,409</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617,104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Other undenominated capital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1,134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(54,974)</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(35,477)</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1,360,017</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 Shareholders' Equity</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1,934,171</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3,466,576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0" w:type="dxa"/>
            <w:vAlign w:val="bottom"/>
          </w:tcPr>
          <w:p>
            <w:pPr>
              <w:spacing w:after="0"/>
              <w:rPr>
                <w:sz w:val="1"/>
                <w:szCs w:val="1"/>
                <w:color w:val="auto"/>
              </w:rPr>
            </w:pPr>
          </w:p>
        </w:tc>
      </w:tr>
      <w:tr>
        <w:trPr>
          <w:trHeight w:val="24"/>
        </w:trPr>
        <w:tc>
          <w:tcPr>
            <w:tcW w:w="7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2021 AND MARCH 31, 2020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66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156"/>
        </w:trPr>
        <w:tc>
          <w:tcPr>
            <w:tcW w:w="6620" w:type="dxa"/>
            <w:vAlign w:val="bottom"/>
            <w:shd w:val="clear" w:color="auto" w:fill="CCEEFF"/>
          </w:tcPr>
          <w:p>
            <w:pPr>
              <w:spacing w:after="0"/>
              <w:rPr>
                <w:sz w:val="13"/>
                <w:szCs w:val="13"/>
                <w:color w:val="auto"/>
              </w:rPr>
            </w:pPr>
          </w:p>
        </w:tc>
        <w:tc>
          <w:tcPr>
            <w:tcW w:w="4620" w:type="dxa"/>
            <w:vAlign w:val="bottom"/>
            <w:gridSpan w:val="5"/>
            <w:shd w:val="clear" w:color="auto" w:fill="CCEEFF"/>
          </w:tcPr>
          <w:p>
            <w:pPr>
              <w:jc w:val="right"/>
              <w:spacing w:after="0" w:line="156" w:lineRule="exact"/>
              <w:rPr>
                <w:sz w:val="20"/>
                <w:szCs w:val="20"/>
                <w:color w:val="auto"/>
              </w:rPr>
            </w:pPr>
            <w:r>
              <w:rPr>
                <w:rFonts w:ascii="Arial" w:cs="Arial" w:eastAsia="Arial" w:hAnsi="Arial"/>
                <w:sz w:val="16"/>
                <w:szCs w:val="16"/>
                <w:b w:val="1"/>
                <w:bCs w:val="1"/>
                <w:color w:val="auto"/>
              </w:rPr>
              <w:t>(in thousands except share and per</w:t>
            </w:r>
          </w:p>
        </w:tc>
      </w:tr>
      <w:tr>
        <w:trPr>
          <w:trHeight w:val="216"/>
        </w:trPr>
        <w:tc>
          <w:tcPr>
            <w:tcW w:w="6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share data)</w:t>
            </w:r>
          </w:p>
        </w:tc>
      </w:tr>
      <w:tr>
        <w:trPr>
          <w:trHeight w:val="270"/>
        </w:trPr>
        <w:tc>
          <w:tcPr>
            <w:tcW w:w="66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858,198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715,102</w:t>
            </w:r>
          </w:p>
        </w:tc>
      </w:tr>
      <w:tr>
        <w:trPr>
          <w:trHeight w:val="270"/>
        </w:trPr>
        <w:tc>
          <w:tcPr>
            <w:tcW w:w="66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620" w:type="dxa"/>
            <w:vAlign w:val="bottom"/>
          </w:tcPr>
          <w:p>
            <w:pPr>
              <w:ind w:left="360"/>
              <w:spacing w:after="0"/>
              <w:rPr>
                <w:sz w:val="20"/>
                <w:szCs w:val="20"/>
                <w:color w:val="auto"/>
              </w:rPr>
            </w:pPr>
            <w:r>
              <w:rPr>
                <w:rFonts w:ascii="Arial" w:cs="Arial" w:eastAsia="Arial" w:hAnsi="Arial"/>
                <w:sz w:val="16"/>
                <w:szCs w:val="16"/>
                <w:color w:val="auto"/>
              </w:rPr>
              <w:t>Direct costs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626,244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505,293</w:t>
            </w:r>
          </w:p>
        </w:tc>
      </w:tr>
      <w:tr>
        <w:trPr>
          <w:trHeight w:val="219"/>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98,535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87,196</w:t>
            </w:r>
          </w:p>
        </w:tc>
      </w:tr>
      <w:tr>
        <w:trPr>
          <w:trHeight w:val="210"/>
        </w:trPr>
        <w:tc>
          <w:tcPr>
            <w:tcW w:w="6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Depreciation and amortization</w:t>
            </w:r>
          </w:p>
        </w:tc>
        <w:tc>
          <w:tcPr>
            <w:tcW w:w="1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17,405</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16,322</w:t>
            </w:r>
          </w:p>
        </w:tc>
      </w:tr>
      <w:tr>
        <w:trPr>
          <w:trHeight w:val="243"/>
        </w:trPr>
        <w:tc>
          <w:tcPr>
            <w:tcW w:w="66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costs and expenses</w:t>
            </w:r>
          </w:p>
        </w:tc>
        <w:tc>
          <w:tcPr>
            <w:tcW w:w="1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742,184</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608,811</w:t>
            </w:r>
          </w:p>
        </w:tc>
      </w:tr>
      <w:tr>
        <w:trPr>
          <w:trHeight w:val="243"/>
        </w:trPr>
        <w:tc>
          <w:tcPr>
            <w:tcW w:w="66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116,014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106,291</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1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w:t>
            </w:r>
          </w:p>
        </w:tc>
      </w:tr>
      <w:tr>
        <w:trPr>
          <w:trHeight w:val="243"/>
        </w:trPr>
        <w:tc>
          <w:tcPr>
            <w:tcW w:w="66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113,544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104,919</w:t>
            </w:r>
          </w:p>
        </w:tc>
      </w:tr>
      <w:tr>
        <w:trPr>
          <w:trHeight w:val="226"/>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(12,590)</w:t>
            </w:r>
          </w:p>
        </w:tc>
      </w:tr>
      <w:tr>
        <w:trPr>
          <w:trHeight w:val="243"/>
        </w:trPr>
        <w:tc>
          <w:tcPr>
            <w:tcW w:w="66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97,396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92,329</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of equity method investments</w:t>
            </w:r>
          </w:p>
        </w:tc>
        <w:tc>
          <w:tcPr>
            <w:tcW w:w="1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6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97,122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92,329</w:t>
            </w:r>
          </w:p>
        </w:tc>
      </w:tr>
      <w:tr>
        <w:trPr>
          <w:trHeight w:val="226"/>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w:t>
            </w:r>
          </w:p>
        </w:tc>
        <w:tc>
          <w:tcPr>
            <w:tcW w:w="1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91,696</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6"/>
        </w:trPr>
        <w:tc>
          <w:tcPr>
            <w:tcW w:w="66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Net income per Ordinary Share attributable to the Group (note 11):</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0"/>
        </w:trPr>
        <w:tc>
          <w:tcPr>
            <w:tcW w:w="66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3"/>
        </w:trPr>
        <w:tc>
          <w:tcPr>
            <w:tcW w:w="6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Basic</w:t>
            </w:r>
          </w:p>
        </w:tc>
        <w:tc>
          <w:tcPr>
            <w:tcW w:w="1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6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6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8"/>
        </w:trPr>
        <w:tc>
          <w:tcPr>
            <w:tcW w:w="6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8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52,811,460</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53,348,355</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8"/>
        </w:trPr>
        <w:tc>
          <w:tcPr>
            <w:tcW w:w="6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8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53,310,453</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53,905,022</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2021 AND MARCH 31, 2020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97,122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92,329</w:t>
            </w: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(Gain)/loss on disposal of property, plant and equipment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Depreciation expense</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12,722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11,413</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Reduction in carrying value of operating right-of-use assets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7,115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7,328</w:t>
            </w:r>
          </w:p>
        </w:tc>
      </w:tr>
      <w:tr>
        <w:trPr>
          <w:trHeight w:val="213"/>
        </w:trPr>
        <w:tc>
          <w:tcPr>
            <w:tcW w:w="8460" w:type="dxa"/>
            <w:vAlign w:val="bottom"/>
          </w:tcPr>
          <w:p>
            <w:pPr>
              <w:ind w:left="260"/>
              <w:spacing w:after="0"/>
              <w:rPr>
                <w:sz w:val="20"/>
                <w:szCs w:val="20"/>
                <w:color w:val="auto"/>
              </w:rPr>
            </w:pPr>
            <w:r>
              <w:rPr>
                <w:rFonts w:ascii="Arial" w:cs="Arial" w:eastAsia="Arial" w:hAnsi="Arial"/>
                <w:sz w:val="16"/>
                <w:szCs w:val="16"/>
                <w:color w:val="auto"/>
              </w:rPr>
              <w:t>Amortization of intangibles</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4,683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4,909</w:t>
            </w:r>
          </w:p>
        </w:tc>
      </w:tr>
      <w:tr>
        <w:trPr>
          <w:trHeight w:val="219"/>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government grants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Interest on non-current operating lease liability</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463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Realized gain on sale of short term investments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(Gain)/loss on re-measurement of financial assets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equity method investments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Stock compensation expense</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6,394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6,069</w:t>
            </w:r>
          </w:p>
        </w:tc>
      </w:tr>
      <w:tr>
        <w:trPr>
          <w:trHeight w:val="219"/>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interest rate hedge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3"/>
        </w:trPr>
        <w:tc>
          <w:tcPr>
            <w:tcW w:w="8460" w:type="dxa"/>
            <w:vAlign w:val="bottom"/>
          </w:tcPr>
          <w:p>
            <w:pPr>
              <w:ind w:left="260"/>
              <w:spacing w:after="0"/>
              <w:rPr>
                <w:sz w:val="20"/>
                <w:szCs w:val="20"/>
                <w:color w:val="auto"/>
              </w:rPr>
            </w:pPr>
            <w:r>
              <w:rPr>
                <w:rFonts w:ascii="Arial" w:cs="Arial" w:eastAsia="Arial" w:hAnsi="Arial"/>
                <w:sz w:val="16"/>
                <w:szCs w:val="16"/>
                <w:color w:val="auto"/>
              </w:rPr>
              <w:t>Amortization of financing costs</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Changes in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accounts receivable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52,015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Decrease/(increase) in unbilled revenue</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11,796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(24,038)</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other receivables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3,227</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5,782</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Increase in prepayments and other current assets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(10,559)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(Increase)/decrease in other non-current assets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(Decrease)/increase in unearned revenue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(50,079)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19,232</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(Decrease)/increase in other current 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(17,307)</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19,711</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Decrease in operating lease liabilities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(7,531)</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(7,947)</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other non-current 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Increase in income taxes payable</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6,652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5,304</w:t>
            </w:r>
          </w:p>
        </w:tc>
      </w:tr>
      <w:tr>
        <w:trPr>
          <w:trHeight w:val="226"/>
        </w:trPr>
        <w:tc>
          <w:tcPr>
            <w:tcW w:w="8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Decrease in accounts payable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111,920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142,760</w:t>
            </w: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Purchase of property, plant and equipment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(8,704)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(11,311)</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 of subsidiary undertakings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(47,333)</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Cash acquired with subsidiary undertaking</w:t>
            </w: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10,170</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 of available for sale investments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47,903</w:t>
            </w:r>
          </w:p>
        </w:tc>
      </w:tr>
      <w:tr>
        <w:trPr>
          <w:trHeight w:val="223"/>
        </w:trPr>
        <w:tc>
          <w:tcPr>
            <w:tcW w:w="84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Purchase of investments in equity - long term</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r>
      <w:tr>
        <w:trPr>
          <w:trHeight w:val="215"/>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exercise of equity compensation</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Share issue costs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Repurchase of ordinary shares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r>
      <w:tr>
        <w:trPr>
          <w:trHeight w:val="209"/>
        </w:trPr>
        <w:tc>
          <w:tcPr>
            <w:tcW w:w="84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Share repurchase costs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(174,276)</w:t>
            </w:r>
          </w:p>
        </w:tc>
      </w:tr>
      <w:tr>
        <w:trPr>
          <w:trHeight w:val="22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(5,663)</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102,150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(37,937)</w:t>
            </w:r>
          </w:p>
        </w:tc>
      </w:tr>
      <w:tr>
        <w:trPr>
          <w:trHeight w:val="22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840,305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520,309</w:t>
            </w:r>
          </w:p>
        </w:tc>
      </w:tr>
      <w:tr>
        <w:trPr>
          <w:trHeight w:val="240"/>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942,455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482,372</w:t>
            </w:r>
          </w:p>
        </w:tc>
      </w:tr>
      <w:tr>
        <w:trPr>
          <w:trHeight w:val="20"/>
        </w:trPr>
        <w:tc>
          <w:tcPr>
            <w:tcW w:w="8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60" w:type="dxa"/>
            <w:vAlign w:val="bottom"/>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52,788,093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351"/>
        </w:trPr>
        <w:tc>
          <w:tcPr>
            <w:tcW w:w="3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(19,151)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(19,151)</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Currency impact of long term funding (net of</w:t>
            </w: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interest rate hedge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(19,497)</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77,625</w:t>
            </w:r>
          </w:p>
        </w:tc>
        <w:tc>
          <w:tcPr>
            <w:tcW w:w="0" w:type="dxa"/>
            <w:vAlign w:val="bottom"/>
          </w:tcPr>
          <w:p>
            <w:pPr>
              <w:spacing w:after="0"/>
              <w:rPr>
                <w:sz w:val="1"/>
                <w:szCs w:val="1"/>
                <w:color w:val="auto"/>
              </w:rPr>
            </w:pPr>
          </w:p>
        </w:tc>
      </w:tr>
      <w:tr>
        <w:trPr>
          <w:trHeight w:val="351"/>
        </w:trPr>
        <w:tc>
          <w:tcPr>
            <w:tcW w:w="3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Issue of restricted share units</w:t>
            </w:r>
          </w:p>
        </w:tc>
        <w:tc>
          <w:tcPr>
            <w:tcW w:w="1020" w:type="dxa"/>
            <w:vAlign w:val="bottom"/>
          </w:tcPr>
          <w:p>
            <w:pPr>
              <w:jc w:val="right"/>
              <w:spacing w:after="0"/>
              <w:rPr>
                <w:sz w:val="20"/>
                <w:szCs w:val="20"/>
                <w:color w:val="auto"/>
              </w:rPr>
            </w:pPr>
            <w:r>
              <w:rPr>
                <w:rFonts w:ascii="Arial" w:cs="Arial" w:eastAsia="Arial" w:hAnsi="Arial"/>
                <w:sz w:val="16"/>
                <w:szCs w:val="16"/>
                <w:color w:val="auto"/>
              </w:rPr>
              <w:t>70,097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program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repurchase costs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March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52,858,190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623,409</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1,360,017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1,934,171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March 31, 2021</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68"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30" w:lineRule="exact"/>
        <w:rPr>
          <w:sz w:val="20"/>
          <w:szCs w:val="20"/>
          <w:color w:val="auto"/>
        </w:rPr>
      </w:pPr>
    </w:p>
    <w:p>
      <w:pPr>
        <w:jc w:val="both"/>
        <w:ind w:firstLine="269"/>
        <w:spacing w:after="0" w:line="251"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2020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xml:space="preserve"> for impact of adoption of any new accounting standards). Operating results for the three months ended March 31, 2021 are not necessarily indicative of the results that may be expected for the fiscal period ending December 31, 2021.</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Redeemable noncontrolling interests and equity</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May 23, 2019, ICON acquired a majority ownership interest in MeDiNova. Included in the purchase agreement are put and call option arrangements with the noncontrolling interest holders that require (put option) or enable (call option) ICON to purchase the remaining minority ownership at a future date. The option is accounted for as temporary equity, which is presented separately as redeemable noncontrolling interest on the Condensed Consolidated Balance Sheet. This classification reflects the assessment that the instruments are contingently redeemable in accordance with ASC 480-10-S99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9, 2020 ICON exercised its option to call the outstanding shares in the noncontrolling interest to take 100% ownership of MeDiNova. On exercise of the call option, the noncontrolling interest is extinguished and a liability was recorded for the amount payable to the former noncontrolling interest holders. This liability was settled on July 17, 2020 for $43.9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 credit losses</w:t>
      </w:r>
    </w:p>
    <w:p>
      <w:pPr>
        <w:spacing w:after="0" w:line="248" w:lineRule="exact"/>
        <w:rPr>
          <w:sz w:val="20"/>
          <w:szCs w:val="20"/>
          <w:color w:val="auto"/>
        </w:rPr>
      </w:pPr>
    </w:p>
    <w:p>
      <w:pPr>
        <w:jc w:val="both"/>
        <w:ind w:firstLine="212"/>
        <w:spacing w:after="0" w:line="255" w:lineRule="auto"/>
        <w:rPr>
          <w:sz w:val="20"/>
          <w:szCs w:val="20"/>
          <w:color w:val="auto"/>
        </w:rPr>
      </w:pPr>
      <w:r>
        <w:rPr>
          <w:rFonts w:ascii="Arial" w:cs="Arial" w:eastAsia="Arial" w:hAnsi="Arial"/>
          <w:sz w:val="16"/>
          <w:szCs w:val="16"/>
          <w:color w:val="auto"/>
        </w:rPr>
        <w:t xml:space="preserve">On January 1, 2020, the Group adopted ASU 2016-13 </w:t>
      </w:r>
      <w:r>
        <w:rPr>
          <w:rFonts w:ascii="Arial" w:cs="Arial" w:eastAsia="Arial" w:hAnsi="Arial"/>
          <w:sz w:val="16"/>
          <w:szCs w:val="16"/>
          <w:i w:val="1"/>
          <w:iCs w:val="1"/>
          <w:color w:val="auto"/>
        </w:rPr>
        <w:t>'Measurement of Credit Losses on Financial Instruments (ASC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current incurred loss impairment approach with a methodology to reflect expected credit losses and requires consideration of a broader range of reasonable and supportable information to explain credit loss estimates.</w:t>
      </w:r>
    </w:p>
    <w:p>
      <w:pPr>
        <w:spacing w:after="0" w:line="227" w:lineRule="exact"/>
        <w:rPr>
          <w:sz w:val="20"/>
          <w:szCs w:val="20"/>
          <w:color w:val="auto"/>
        </w:rPr>
      </w:pPr>
    </w:p>
    <w:p>
      <w:pPr>
        <w:jc w:val="both"/>
        <w:ind w:firstLine="266"/>
        <w:spacing w:after="0" w:line="251" w:lineRule="auto"/>
        <w:rPr>
          <w:sz w:val="20"/>
          <w:szCs w:val="20"/>
          <w:color w:val="auto"/>
        </w:rPr>
      </w:pPr>
      <w:r>
        <w:rPr>
          <w:rFonts w:ascii="Arial" w:cs="Arial" w:eastAsia="Arial" w:hAnsi="Arial"/>
          <w:sz w:val="16"/>
          <w:szCs w:val="16"/>
          <w:color w:val="auto"/>
        </w:rPr>
        <w:t>The Group adopted ASC 326 using the modified retrospective method for all in scope financial assets. Results for reporting periods beginning after January 1, 2020 are presented under ASC 326 while prior period amounts continue to be reported in accordance with previously applicable GAAP. The impact of transitioning to the new standard at January 1, 2020 was immaterial and no adjustment was recorded to retained earnings for the cumulative effect of adopting ASC 326.</w:t>
      </w:r>
    </w:p>
    <w:p>
      <w:pPr>
        <w:spacing w:after="0" w:line="229" w:lineRule="exact"/>
        <w:rPr>
          <w:sz w:val="20"/>
          <w:szCs w:val="20"/>
          <w:color w:val="auto"/>
        </w:rPr>
      </w:pPr>
    </w:p>
    <w:p>
      <w:pPr>
        <w:jc w:val="both"/>
        <w:ind w:firstLine="222"/>
        <w:spacing w:after="0" w:line="249" w:lineRule="auto"/>
        <w:rPr>
          <w:sz w:val="20"/>
          <w:szCs w:val="20"/>
          <w:color w:val="auto"/>
        </w:rPr>
      </w:pPr>
      <w:r>
        <w:rPr>
          <w:rFonts w:ascii="Arial" w:cs="Arial" w:eastAsia="Arial" w:hAnsi="Arial"/>
          <w:sz w:val="16"/>
          <w:szCs w:val="16"/>
          <w:color w:val="auto"/>
        </w:rPr>
        <w:t>On transition to ASC 326, the Group has revised the methodology to calculate the allowance for credit losses. 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202"/>
        <w:spacing w:after="0" w:line="260"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Condensed Consolidated Statement of Operations. Losses are charged against the allowance when management believes the uncollectibility of a previously provisioned amount is confirmed.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248" w:lineRule="exact"/>
        <w:rPr>
          <w:sz w:val="20"/>
          <w:szCs w:val="20"/>
          <w:color w:val="auto"/>
        </w:rPr>
      </w:pPr>
    </w:p>
    <w:p>
      <w:pPr>
        <w:jc w:val="both"/>
        <w:ind w:firstLine="191"/>
        <w:spacing w:after="0" w:line="258" w:lineRule="auto"/>
        <w:rPr>
          <w:sz w:val="20"/>
          <w:szCs w:val="20"/>
          <w:color w:val="auto"/>
        </w:rPr>
      </w:pPr>
      <w:r>
        <w:rPr>
          <w:rFonts w:ascii="Arial" w:cs="Arial" w:eastAsia="Arial" w:hAnsi="Arial"/>
          <w:sz w:val="16"/>
          <w:szCs w:val="16"/>
          <w:color w:val="auto"/>
        </w:rPr>
        <w:t xml:space="preserve">The new leasing standard (ASC 842 </w:t>
      </w:r>
      <w:r>
        <w:rPr>
          <w:rFonts w:ascii="Arial" w:cs="Arial" w:eastAsia="Arial" w:hAnsi="Arial"/>
          <w:sz w:val="16"/>
          <w:szCs w:val="16"/>
          <w:i w:val="1"/>
          <w:iCs w:val="1"/>
          <w:color w:val="auto"/>
        </w:rPr>
        <w:t>'Leases'</w:t>
      </w:r>
      <w:r>
        <w:rPr>
          <w:rFonts w:ascii="Arial" w:cs="Arial" w:eastAsia="Arial" w:hAnsi="Arial"/>
          <w:sz w:val="16"/>
          <w:szCs w:val="16"/>
          <w:color w:val="auto"/>
        </w:rPr>
        <w:t>) was effective and adopted by ICON from January 1, 2019.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supersedes the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w:t>
      </w:r>
    </w:p>
    <w:p>
      <w:pPr>
        <w:spacing w:after="0" w:line="224"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ICON adopted the new standard under the cumulative effect adjustment approach. Under this transition method, the new standard is applied from January 1, 2019 without restatement of comparative period amounts. Operating lease liabilities and right-of-use assets of $106.5 million were recorded on the Condensed Consolidated Balance Sheet as at January 1, 2019.</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was no impact of adopting ASC 842 on opening retained earnings at January 1, 2019.</w:t>
      </w:r>
    </w:p>
    <w:p>
      <w:pPr>
        <w:spacing w:after="0" w:line="255"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rFonts w:ascii="Arial" w:cs="Arial" w:eastAsia="Arial" w:hAnsi="Arial"/>
          <w:sz w:val="16"/>
          <w:szCs w:val="16"/>
          <w:b w:val="1"/>
          <w:bCs w:val="1"/>
          <w:color w:val="auto"/>
        </w:rPr>
      </w:pPr>
    </w:p>
    <w:p>
      <w:pPr>
        <w:ind w:left="180"/>
        <w:spacing w:after="0"/>
        <w:rPr>
          <w:rFonts w:ascii="Arial" w:cs="Arial" w:eastAsia="Arial" w:hAnsi="Arial"/>
          <w:sz w:val="16"/>
          <w:szCs w:val="16"/>
          <w:b w:val="1"/>
          <w:bCs w:val="1"/>
          <w:color w:val="auto"/>
        </w:rPr>
      </w:pPr>
      <w:r>
        <w:rPr>
          <w:rFonts w:ascii="Arial" w:cs="Arial" w:eastAsia="Arial" w:hAnsi="Arial"/>
          <w:sz w:val="16"/>
          <w:szCs w:val="16"/>
          <w:color w:val="auto"/>
        </w:rPr>
        <w:t>Revenue disaggregated by customer profile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3"/>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8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Top client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164,294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81,267</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Clients 2-5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229,900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203,741</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6-10</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124,098</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88,191</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Clients 11-25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141,124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124,618</w:t>
            </w:r>
          </w:p>
        </w:tc>
      </w:tr>
      <w:tr>
        <w:trPr>
          <w:trHeight w:val="226"/>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198,782</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217,285</w:t>
            </w:r>
          </w:p>
        </w:tc>
      </w:tr>
      <w:tr>
        <w:trPr>
          <w:trHeight w:val="257"/>
        </w:trPr>
        <w:tc>
          <w:tcPr>
            <w:tcW w:w="8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8"/>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858,198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715,102</w:t>
            </w:r>
          </w:p>
        </w:tc>
      </w:tr>
      <w:tr>
        <w:trPr>
          <w:trHeight w:val="20"/>
        </w:trPr>
        <w:tc>
          <w:tcPr>
            <w:tcW w:w="8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80" w:right="1540" w:hanging="172"/>
        <w:spacing w:after="0" w:line="496" w:lineRule="auto"/>
        <w:tabs>
          <w:tab w:leader="none" w:pos="18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62"/>
        </w:trPr>
        <w:tc>
          <w:tcPr>
            <w:tcW w:w="450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shd w:val="clear" w:color="auto" w:fill="CCEEFF"/>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4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40"/>
              <w:spacing w:after="0"/>
              <w:rPr>
                <w:sz w:val="20"/>
                <w:szCs w:val="20"/>
                <w:color w:val="auto"/>
              </w:rPr>
            </w:pPr>
            <w:r>
              <w:rPr>
                <w:rFonts w:ascii="Arial" w:cs="Arial" w:eastAsia="Arial" w:hAnsi="Arial"/>
                <w:sz w:val="16"/>
                <w:szCs w:val="16"/>
                <w:color w:val="auto"/>
              </w:rPr>
              <w:t>Billed services (accounts receivable)</w:t>
            </w:r>
          </w:p>
        </w:tc>
        <w:tc>
          <w:tcPr>
            <w:tcW w:w="40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666,728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722,420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Unbilled services (unbilled revenue)</w:t>
            </w:r>
          </w:p>
        </w:tc>
        <w:tc>
          <w:tcPr>
            <w:tcW w:w="40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416,352</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40"/>
              <w:spacing w:after="0"/>
              <w:rPr>
                <w:sz w:val="20"/>
                <w:szCs w:val="20"/>
                <w:color w:val="auto"/>
              </w:rPr>
            </w:pPr>
            <w:r>
              <w:rPr>
                <w:rFonts w:ascii="Arial" w:cs="Arial" w:eastAsia="Arial" w:hAnsi="Arial"/>
                <w:sz w:val="16"/>
                <w:szCs w:val="16"/>
                <w:color w:val="auto"/>
              </w:rPr>
              <w:t>Accounts receivable and unbilled revenue</w:t>
            </w:r>
          </w:p>
        </w:tc>
        <w:tc>
          <w:tcPr>
            <w:tcW w:w="40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1,083,080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1,151,104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40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(7,018)</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receivable and unbilled revenue, net</w:t>
            </w:r>
          </w:p>
        </w:tc>
        <w:tc>
          <w:tcPr>
            <w:tcW w:w="4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1,076,062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1,143,955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40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4500" w:type="dxa"/>
            <w:vAlign w:val="bottom"/>
          </w:tcPr>
          <w:p>
            <w:pPr>
              <w:spacing w:after="0"/>
              <w:rPr>
                <w:sz w:val="24"/>
                <w:szCs w:val="24"/>
                <w:color w:val="auto"/>
              </w:rPr>
            </w:pPr>
          </w:p>
        </w:tc>
        <w:tc>
          <w:tcPr>
            <w:tcW w:w="4060" w:type="dxa"/>
            <w:vAlign w:val="bottom"/>
          </w:tcPr>
          <w:p>
            <w:pPr>
              <w:jc w:val="right"/>
              <w:ind w:right="2759"/>
              <w:spacing w:after="0"/>
              <w:rPr>
                <w:sz w:val="20"/>
                <w:szCs w:val="20"/>
                <w:color w:val="auto"/>
              </w:rPr>
            </w:pPr>
            <w:r>
              <w:rPr>
                <w:rFonts w:ascii="Arial" w:cs="Arial" w:eastAsia="Arial" w:hAnsi="Arial"/>
                <w:sz w:val="16"/>
                <w:szCs w:val="16"/>
                <w:color w:val="auto"/>
              </w:rPr>
              <w:t>10</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0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3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 Change</w:t>
            </w:r>
          </w:p>
        </w:tc>
        <w:tc>
          <w:tcPr>
            <w:tcW w:w="13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Unbilled services (unbilled revenue)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rPr>
              <w:t>416,352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428,684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(12,332)</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Unearned revenue (payments on account)</w:t>
            </w:r>
          </w:p>
        </w:tc>
        <w:tc>
          <w:tcPr>
            <w:tcW w:w="1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(610,477)</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(660,883)</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50,406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Net balance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(194,125)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(232,199)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38,074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
        </w:trPr>
        <w:tc>
          <w:tcPr>
            <w:tcW w:w="4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188"/>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30"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229" w:lineRule="exact"/>
        <w:rPr>
          <w:sz w:val="20"/>
          <w:szCs w:val="20"/>
          <w:color w:val="auto"/>
        </w:rPr>
      </w:pPr>
    </w:p>
    <w:p>
      <w:pPr>
        <w:jc w:val="both"/>
        <w:ind w:firstLine="197"/>
        <w:spacing w:after="0" w:line="249" w:lineRule="auto"/>
        <w:rPr>
          <w:sz w:val="20"/>
          <w:szCs w:val="20"/>
          <w:color w:val="auto"/>
        </w:rPr>
      </w:pPr>
      <w:r>
        <w:rPr>
          <w:rFonts w:ascii="Arial" w:cs="Arial" w:eastAsia="Arial" w:hAnsi="Arial"/>
          <w:sz w:val="16"/>
          <w:szCs w:val="16"/>
          <w:color w:val="auto"/>
        </w:rPr>
        <w:t>Unbilled services as at March 31, 2021 decreased by $12.3 million compared to December 31, 2020. Unearned revenue decreased by $50.4 million over the same period resulting in an increase of $38.1 million in the net balance of unbilled services and unearned revenue or payments on account between December 31, 2020 and March 31, 2021.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32" w:lineRule="exact"/>
        <w:rPr>
          <w:sz w:val="20"/>
          <w:szCs w:val="20"/>
          <w:color w:val="auto"/>
        </w:rPr>
      </w:pPr>
    </w:p>
    <w:p>
      <w:pPr>
        <w:jc w:val="both"/>
        <w:ind w:firstLine="187"/>
        <w:spacing w:after="0" w:line="260" w:lineRule="auto"/>
        <w:rPr>
          <w:sz w:val="20"/>
          <w:szCs w:val="20"/>
          <w:color w:val="auto"/>
        </w:rPr>
      </w:pPr>
      <w:r>
        <w:rPr>
          <w:rFonts w:ascii="Arial" w:cs="Arial" w:eastAsia="Arial" w:hAnsi="Arial"/>
          <w:sz w:val="16"/>
          <w:szCs w:val="16"/>
          <w:color w:val="auto"/>
        </w:rPr>
        <w:t>The credit loss expense and allowance for credit losses recognized on the Group's receivables and unbilled services was de minimis for the three months ended March 31, 2021 and March 31, 2020.</w:t>
      </w:r>
    </w:p>
    <w:p>
      <w:pPr>
        <w:spacing w:after="0" w:line="222" w:lineRule="exact"/>
        <w:rPr>
          <w:sz w:val="20"/>
          <w:szCs w:val="20"/>
          <w:color w:val="auto"/>
        </w:rPr>
      </w:pPr>
    </w:p>
    <w:p>
      <w:pPr>
        <w:jc w:val="both"/>
        <w:ind w:firstLine="275"/>
        <w:spacing w:after="0" w:line="253" w:lineRule="auto"/>
        <w:rPr>
          <w:sz w:val="20"/>
          <w:szCs w:val="20"/>
          <w:color w:val="auto"/>
        </w:rPr>
      </w:pPr>
      <w:r>
        <w:rPr>
          <w:rFonts w:ascii="Arial" w:cs="Arial" w:eastAsia="Arial" w:hAnsi="Arial"/>
          <w:sz w:val="16"/>
          <w:szCs w:val="16"/>
          <w:color w:val="auto"/>
        </w:rPr>
        <w:t>As of March 31, 2021 approximately $6.5 billion (March 31, 2020: $5.4 billion) of revenue is expected to be recognized in the future in respect of unsatisfied performance obligations. The Company expects to recognize revenue on approximately 42% of the unsatisfied performance obligation over the next 12 months, with the remainder recognized thereafter over the duration of the customer contracts.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Goodwill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29"/>
        </w:trPr>
        <w:tc>
          <w:tcPr>
            <w:tcW w:w="8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28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8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vMerge w:val="continue"/>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2021</w:t>
            </w:r>
          </w:p>
        </w:tc>
        <w:tc>
          <w:tcPr>
            <w:tcW w:w="28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936,257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883,170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 (Note 6)</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Prior period acquisitions</w:t>
            </w:r>
          </w:p>
        </w:tc>
        <w:tc>
          <w:tcPr>
            <w:tcW w:w="18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(8,519)</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25,773</w:t>
            </w:r>
          </w:p>
        </w:tc>
        <w:tc>
          <w:tcPr>
            <w:tcW w:w="0" w:type="dxa"/>
            <w:vAlign w:val="bottom"/>
          </w:tcPr>
          <w:p>
            <w:pPr>
              <w:spacing w:after="0"/>
              <w:rPr>
                <w:sz w:val="1"/>
                <w:szCs w:val="1"/>
                <w:color w:val="auto"/>
              </w:rPr>
            </w:pPr>
          </w:p>
        </w:tc>
      </w:tr>
      <w:tr>
        <w:trPr>
          <w:trHeight w:val="243"/>
        </w:trPr>
        <w:tc>
          <w:tcPr>
            <w:tcW w:w="8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927,738</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936,257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6.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MedPass Group ("MedPass")</w:t>
      </w:r>
    </w:p>
    <w:p>
      <w:pPr>
        <w:spacing w:after="0" w:line="264"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7"/>
          <w:szCs w:val="17"/>
          <w:color w:val="auto"/>
        </w:rPr>
        <w:t>.</w:t>
      </w:r>
      <w:r>
        <w:rPr>
          <w:rFonts w:ascii="Arial" w:cs="Arial" w:eastAsia="Arial" w:hAnsi="Arial"/>
          <w:sz w:val="16"/>
          <w:szCs w:val="16"/>
          <w:color w:val="auto"/>
        </w:rPr>
        <w:t xml:space="preserve"> Accounting for the acquisition of MedPass was finalized in the period ended December 31, 2020.</w:t>
      </w:r>
    </w:p>
    <w:p>
      <w:pPr>
        <w:spacing w:after="0" w:line="235" w:lineRule="exact"/>
        <w:rPr>
          <w:sz w:val="20"/>
          <w:szCs w:val="20"/>
          <w:color w:val="auto"/>
        </w:rPr>
      </w:pPr>
    </w:p>
    <w:p>
      <w:pPr>
        <w:ind w:right="80" w:firstLine="180"/>
        <w:spacing w:after="0" w:line="272" w:lineRule="auto"/>
        <w:rPr>
          <w:sz w:val="20"/>
          <w:szCs w:val="20"/>
          <w:color w:val="auto"/>
        </w:rPr>
      </w:pPr>
      <w:r>
        <w:rPr>
          <w:rFonts w:ascii="Arial" w:cs="Arial" w:eastAsia="Arial" w:hAnsi="Arial"/>
          <w:sz w:val="16"/>
          <w:szCs w:val="16"/>
          <w:color w:val="auto"/>
        </w:rPr>
        <w:t>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an assessment of the fair value of assets acquired and liabilities assumed as at that date. The following table summarizes the Company’s fair values of the assets acquired and liabilities assumed: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22,</w:t>
            </w:r>
          </w:p>
        </w:tc>
      </w:tr>
      <w:tr>
        <w:trPr>
          <w:trHeight w:val="215"/>
        </w:trPr>
        <w:tc>
          <w:tcPr>
            <w:tcW w:w="6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10,170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11,725</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3,033</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(2,202)</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liability</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w:t>
            </w:r>
          </w:p>
        </w:tc>
      </w:tr>
      <w:tr>
        <w:trPr>
          <w:trHeight w:val="148"/>
        </w:trPr>
        <w:tc>
          <w:tcPr>
            <w:tcW w:w="6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r>
        <w:trPr>
          <w:trHeight w:val="189"/>
        </w:trPr>
        <w:tc>
          <w:tcPr>
            <w:tcW w:w="6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46,992</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bl>
    <w:p>
      <w:pPr>
        <w:spacing w:after="0" w:line="218" w:lineRule="exact"/>
        <w:rPr>
          <w:sz w:val="20"/>
          <w:szCs w:val="20"/>
          <w:color w:val="auto"/>
        </w:rPr>
      </w:pPr>
    </w:p>
    <w:p>
      <w:pPr>
        <w:ind w:firstLine="8"/>
        <w:spacing w:after="0" w:line="260" w:lineRule="auto"/>
        <w:tabs>
          <w:tab w:leader="none" w:pos="118"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that specializes in medical device development and market access. None of the goodwill recognized is expected to be deductible for income tax purposes.</w:t>
      </w:r>
    </w:p>
    <w:p>
      <w:pPr>
        <w:spacing w:after="0" w:line="33" w:lineRule="exact"/>
        <w:rPr>
          <w:sz w:val="20"/>
          <w:szCs w:val="20"/>
          <w:color w:val="auto"/>
        </w:rPr>
      </w:pPr>
    </w:p>
    <w:p>
      <w:pPr>
        <w:jc w:val="both"/>
        <w:ind w:firstLine="8"/>
        <w:spacing w:after="0" w:line="253"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as $Nil. Depending on performance of MedPass for the 12 month period ended December 31, 2020, the total consideration could have increased by a maximum of $6.7 million in contingent consideration. In January 2021, the contingent consideration was finalized and a value of $Nil was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i w:val="1"/>
          <w:iCs w:val="1"/>
          <w:color w:val="auto"/>
        </w:rPr>
        <w:t>Acquisitions – CRN Holdings LLC (trading as Symphony Clinical Research ("Symphony"))</w:t>
      </w:r>
    </w:p>
    <w:p>
      <w:pPr>
        <w:spacing w:after="0" w:line="264" w:lineRule="exact"/>
        <w:rPr>
          <w:sz w:val="20"/>
          <w:szCs w:val="20"/>
          <w:color w:val="auto"/>
        </w:rPr>
      </w:pPr>
    </w:p>
    <w:p>
      <w:pPr>
        <w:jc w:val="both"/>
        <w:ind w:firstLine="259"/>
        <w:spacing w:after="0" w:line="251"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 Accounting for the acquisition of Symphony was finalized in the period ended September 30, 2020. The total consideration was $37.8 million and resulted in the recognition of $22.9 million in Goodwill.</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total consideration included $2.5 million in contingent consideration, which was dependent on Symphony meeting certain revenue targets. The fair value of the contingent consideration was estimated at the date of acquisition. On June 12, 2020 the contingent consideration was settled at its revised fair value in the amount of $0.5 million. The change in fair value has been recorded in the selling, general and administrative expense line of the Condensed Consolidated Statement of Operations in the year ended December 31, 2020.</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MeDiNova</w:t>
      </w:r>
    </w:p>
    <w:p>
      <w:pPr>
        <w:spacing w:after="0" w:line="264" w:lineRule="exact"/>
        <w:rPr>
          <w:sz w:val="20"/>
          <w:szCs w:val="20"/>
          <w:color w:val="auto"/>
        </w:rPr>
      </w:pPr>
    </w:p>
    <w:p>
      <w:pPr>
        <w:jc w:val="both"/>
        <w:ind w:firstLine="190"/>
        <w:spacing w:after="0" w:line="250" w:lineRule="auto"/>
        <w:rPr>
          <w:sz w:val="20"/>
          <w:szCs w:val="20"/>
          <w:color w:val="auto"/>
        </w:rPr>
      </w:pPr>
      <w:r>
        <w:rPr>
          <w:rFonts w:ascii="Arial" w:cs="Arial" w:eastAsia="Arial" w:hAnsi="Arial"/>
          <w:sz w:val="16"/>
          <w:szCs w:val="16"/>
          <w:color w:val="auto"/>
        </w:rPr>
        <w:t>On May 23, 2019 a subsidiary of the Company, ICON Clinical Research (U.K.) Limited acquired a 60% majority shareholding in MeDiNova, a site network with research sites in key markets in Europe and Africa. On March 9, 2020 ICON exercised its option to call the outstanding shares in the noncontrolling interest to take 100% ownership of MeDiNova. The acquisition further enhances ICON's patient recruitment capabilities in EMEA and complements ICON's existing site network in the US, PMG Research. Accounting for the acquisition of MeDiNova was finalized in the period ended June 30, 2020. The total consideration was $86.2 million and resulted in the recognition of $81.8 million in Goodwill.</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total consideration included $32.6 million to reflect the fair value of the redeemable noncontrolling interest. The fair value of the redeemable noncontrolling interest was estimated by applying an income based approach. The valuation approach used was based on the future earnings of the company times an appropriate earnings multiple. Effective from March 9, 2020, the noncontrolling interest was derecognized and a liability was recognized, representing the assessment of the redemption value of the noncontrolling interest. This liability was settled on July 17, 2020 for $43.9 million.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MolecularMD Corp ("MMD")</w:t>
      </w:r>
    </w:p>
    <w:p>
      <w:pPr>
        <w:spacing w:after="0" w:line="264" w:lineRule="exact"/>
        <w:rPr>
          <w:sz w:val="20"/>
          <w:szCs w:val="20"/>
          <w:color w:val="auto"/>
        </w:rPr>
      </w:pPr>
    </w:p>
    <w:p>
      <w:pPr>
        <w:jc w:val="both"/>
        <w:ind w:firstLine="244"/>
        <w:spacing w:after="0" w:line="252"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Accounting for the acquisition of MMD was finalized in the year ended December 31, 2019. The total consideration was $42.2 million and resulted in the recognition of $22.4 million in Goodwill.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Equity method investments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has invested $4.9 million to obtain a 49% interest in the voting share capital of Oncacare Limited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Condensed Consolidated Statement of Operations. See additional details in </w:t>
      </w:r>
      <w:r>
        <w:rPr>
          <w:rFonts w:ascii="Arial" w:cs="Arial" w:eastAsia="Arial" w:hAnsi="Arial"/>
          <w:sz w:val="16"/>
          <w:szCs w:val="16"/>
          <w:i w:val="1"/>
          <w:iCs w:val="1"/>
          <w:color w:val="auto"/>
        </w:rPr>
        <w:t>note 2 - Significant accounting policies.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 two and half year period commencing January 1, 2023 and ICON also has the right to acquire the 51% majority voting share capital from August 1, 2025.</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equity method investments at March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18"/>
                <w:szCs w:val="18"/>
                <w:color w:val="auto"/>
              </w:rPr>
            </w:pPr>
          </w:p>
        </w:tc>
        <w:tc>
          <w:tcPr>
            <w:tcW w:w="42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Ownership Percentage</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15"/>
        </w:trPr>
        <w:tc>
          <w:tcPr>
            <w:tcW w:w="3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March 31,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31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Oncacare Limited</w:t>
            </w:r>
          </w:p>
        </w:tc>
        <w:tc>
          <w:tcPr>
            <w:tcW w:w="4200" w:type="dxa"/>
            <w:vAlign w:val="bottom"/>
          </w:tcPr>
          <w:p>
            <w:pPr>
              <w:jc w:val="right"/>
              <w:ind w:right="399"/>
              <w:spacing w:after="0"/>
              <w:rPr>
                <w:sz w:val="20"/>
                <w:szCs w:val="20"/>
                <w:color w:val="auto"/>
              </w:rPr>
            </w:pPr>
            <w:r>
              <w:rPr>
                <w:rFonts w:ascii="Arial" w:cs="Arial" w:eastAsia="Arial" w:hAnsi="Arial"/>
                <w:sz w:val="16"/>
                <w:szCs w:val="16"/>
                <w:color w:val="auto"/>
              </w:rPr>
              <w:t>49 % $</w:t>
            </w:r>
          </w:p>
        </w:tc>
        <w:tc>
          <w:tcPr>
            <w:tcW w:w="1640" w:type="dxa"/>
            <w:vAlign w:val="bottom"/>
          </w:tcPr>
          <w:p>
            <w:pPr>
              <w:jc w:val="right"/>
              <w:spacing w:after="0"/>
              <w:rPr>
                <w:sz w:val="20"/>
                <w:szCs w:val="20"/>
                <w:color w:val="auto"/>
              </w:rPr>
            </w:pPr>
            <w:r>
              <w:rPr>
                <w:rFonts w:ascii="Arial" w:cs="Arial" w:eastAsia="Arial" w:hAnsi="Arial"/>
                <w:sz w:val="16"/>
                <w:szCs w:val="16"/>
                <w:color w:val="auto"/>
              </w:rPr>
              <w:t>4,260</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4,534</w:t>
            </w:r>
          </w:p>
        </w:tc>
      </w:tr>
      <w:tr>
        <w:trPr>
          <w:trHeight w:val="273"/>
        </w:trPr>
        <w:tc>
          <w:tcPr>
            <w:tcW w:w="3140" w:type="dxa"/>
            <w:vAlign w:val="bottom"/>
            <w:tcBorders>
              <w:bottom w:val="single" w:sz="8" w:color="auto"/>
            </w:tcBorders>
            <w:shd w:val="clear" w:color="auto" w:fill="CCEEFF"/>
          </w:tcPr>
          <w:p>
            <w:pPr>
              <w:spacing w:after="0"/>
              <w:rPr>
                <w:sz w:val="23"/>
                <w:szCs w:val="23"/>
                <w:color w:val="auto"/>
              </w:rPr>
            </w:pPr>
          </w:p>
        </w:tc>
        <w:tc>
          <w:tcPr>
            <w:tcW w:w="4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bl>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invested $4.9 million in Oncacare, of which, $2.5 million has been paid with the remainder to be paid in the next twelve months.</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has recorded a loss of $0.3 million representing its pro rata share of the losses in Oncacare for the three month period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8. Restructuring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 restructuring charge was recognized during the three months ended March 31, 2021 (March 31, 2020: $Nil).</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Prior Period Restructuring charges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 restructuring charge of $18.1 million was recognized in the year ended December 31, 2020 under a restructuring plan adopted following a review of operations. The restructuring plan reflected resource rationalization across the business to improve resource utilization, resulting in a charge of $11.4 million and office consolidation resulting in a charge for onerous lease obligations of $6.7 million, including the recognition of an impairment of right of use assets of $5.4 million and provision for other related costs of $1.3 million. No additional charge was recorded during the three months ended March 31, 2021.</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06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11,391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6,698</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Utilization</w:t>
            </w:r>
          </w:p>
        </w:tc>
        <w:tc>
          <w:tcPr>
            <w:tcW w:w="29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(6,987)</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(8,296)</w:t>
            </w:r>
          </w:p>
        </w:tc>
        <w:tc>
          <w:tcPr>
            <w:tcW w:w="0" w:type="dxa"/>
            <w:vAlign w:val="bottom"/>
          </w:tcPr>
          <w:p>
            <w:pPr>
              <w:spacing w:after="0"/>
              <w:rPr>
                <w:sz w:val="1"/>
                <w:szCs w:val="1"/>
                <w:color w:val="auto"/>
              </w:rPr>
            </w:pPr>
          </w:p>
        </w:tc>
      </w:tr>
      <w:tr>
        <w:trPr>
          <w:trHeight w:val="226"/>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29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Provision at December 31, 2020</w:t>
            </w:r>
          </w:p>
        </w:tc>
        <w:tc>
          <w:tcPr>
            <w:tcW w:w="29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4,404</w:t>
            </w:r>
          </w:p>
        </w:tc>
        <w:tc>
          <w:tcPr>
            <w:tcW w:w="2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5,714</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10,118</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29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2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March 31, 2021</w:t>
            </w:r>
          </w:p>
        </w:tc>
        <w:tc>
          <w:tcPr>
            <w:tcW w:w="29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5,078</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4060" w:type="dxa"/>
            <w:vAlign w:val="bottom"/>
          </w:tcPr>
          <w:p>
            <w:pPr>
              <w:spacing w:after="0"/>
              <w:rPr>
                <w:sz w:val="24"/>
                <w:szCs w:val="24"/>
                <w:color w:val="auto"/>
              </w:rPr>
            </w:pPr>
          </w:p>
        </w:tc>
        <w:tc>
          <w:tcPr>
            <w:tcW w:w="2980" w:type="dxa"/>
            <w:vAlign w:val="bottom"/>
          </w:tcPr>
          <w:p>
            <w:pPr>
              <w:jc w:val="right"/>
              <w:ind w:right="1239"/>
              <w:spacing w:after="0"/>
              <w:rPr>
                <w:sz w:val="20"/>
                <w:szCs w:val="20"/>
                <w:color w:val="auto"/>
              </w:rPr>
            </w:pPr>
            <w:r>
              <w:rPr>
                <w:rFonts w:ascii="Arial" w:cs="Arial" w:eastAsia="Arial" w:hAnsi="Arial"/>
                <w:sz w:val="16"/>
                <w:szCs w:val="16"/>
                <w:color w:val="auto"/>
              </w:rPr>
              <w:t>14</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6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ind w:right="40" w:firstLine="648"/>
        <w:spacing w:after="0" w:line="260" w:lineRule="auto"/>
        <w:rPr>
          <w:sz w:val="20"/>
          <w:szCs w:val="20"/>
          <w:color w:val="auto"/>
        </w:rPr>
      </w:pPr>
      <w:r>
        <w:rPr>
          <w:rFonts w:ascii="Arial" w:cs="Arial" w:eastAsia="Arial" w:hAnsi="Arial"/>
          <w:sz w:val="16"/>
          <w:szCs w:val="16"/>
          <w:color w:val="auto"/>
        </w:rPr>
        <w:t>Future minimum lease payments (including related costs), associated with the 2020 restructuring plan, under the non-cancelable onerous leases as at March 31, 2021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6"/>
        </w:trPr>
        <w:tc>
          <w:tcPr>
            <w:tcW w:w="69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5"/>
        </w:trPr>
        <w:tc>
          <w:tcPr>
            <w:tcW w:w="6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92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2021</w:t>
            </w:r>
          </w:p>
        </w:tc>
        <w:tc>
          <w:tcPr>
            <w:tcW w:w="2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1,928</w:t>
            </w:r>
          </w:p>
        </w:tc>
      </w:tr>
      <w:tr>
        <w:trPr>
          <w:trHeight w:val="21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2023</w:t>
            </w:r>
          </w:p>
        </w:tc>
        <w:tc>
          <w:tcPr>
            <w:tcW w:w="2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1,004</w:t>
            </w:r>
          </w:p>
        </w:tc>
      </w:tr>
      <w:tr>
        <w:trPr>
          <w:trHeight w:val="21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2025</w:t>
            </w:r>
          </w:p>
        </w:tc>
        <w:tc>
          <w:tcPr>
            <w:tcW w:w="2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26"/>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8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Total future minimum lease payments (including related costs)</w:t>
            </w:r>
          </w:p>
        </w:tc>
        <w:tc>
          <w:tcPr>
            <w:tcW w:w="2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5,516</w:t>
            </w:r>
          </w:p>
        </w:tc>
      </w:tr>
      <w:tr>
        <w:trPr>
          <w:trHeight w:val="226"/>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imputed interest</w:t>
            </w:r>
          </w:p>
        </w:tc>
        <w:tc>
          <w:tcPr>
            <w:tcW w:w="28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w:t>
            </w:r>
          </w:p>
        </w:tc>
      </w:tr>
      <w:tr>
        <w:trPr>
          <w:trHeight w:val="24"/>
        </w:trPr>
        <w:tc>
          <w:tcPr>
            <w:tcW w:w="69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Prior Period Restructuring charges</w:t>
      </w:r>
    </w:p>
    <w:p>
      <w:pPr>
        <w:spacing w:after="0" w:line="264" w:lineRule="exact"/>
        <w:rPr>
          <w:sz w:val="20"/>
          <w:szCs w:val="20"/>
          <w:color w:val="auto"/>
        </w:rPr>
      </w:pPr>
    </w:p>
    <w:p>
      <w:pPr>
        <w:jc w:val="both"/>
        <w:ind w:firstLine="177"/>
        <w:spacing w:after="0" w:line="251" w:lineRule="auto"/>
        <w:rPr>
          <w:sz w:val="20"/>
          <w:szCs w:val="20"/>
          <w:color w:val="auto"/>
        </w:rPr>
      </w:pPr>
      <w:r>
        <w:rPr>
          <w:rFonts w:ascii="Arial" w:cs="Arial" w:eastAsia="Arial" w:hAnsi="Arial"/>
          <w:sz w:val="16"/>
          <w:szCs w:val="16"/>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 resulting in a charge of $9.7 million and office consolidation resulting in the recognition of an onerous lease obligation of $2.8 million. No additional charge was recorded during the three months ended March 31,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64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9,684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2,806</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(5,399)</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2018</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2,134</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2019</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906</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2020</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March 31, 2021</w:t>
            </w:r>
          </w:p>
        </w:tc>
        <w:tc>
          <w:tcPr>
            <w:tcW w:w="2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582</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March 31, 2021, $5.2 million is included within other liabilities and $3.1 million within non-current other liabilities.</w:t>
      </w:r>
    </w:p>
    <w:p>
      <w:pPr>
        <w:spacing w:after="0" w:line="200" w:lineRule="exact"/>
        <w:rPr>
          <w:sz w:val="20"/>
          <w:szCs w:val="20"/>
          <w:color w:val="auto"/>
        </w:rPr>
      </w:pPr>
    </w:p>
    <w:p>
      <w:pPr>
        <w:spacing w:after="0" w:line="29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leases</w:t>
      </w:r>
    </w:p>
    <w:p>
      <w:pPr>
        <w:spacing w:after="0" w:line="187" w:lineRule="exact"/>
        <w:rPr>
          <w:rFonts w:ascii="Arial" w:cs="Arial" w:eastAsia="Arial" w:hAnsi="Arial"/>
          <w:sz w:val="16"/>
          <w:szCs w:val="16"/>
          <w:b w:val="1"/>
          <w:bCs w:val="1"/>
          <w:color w:val="auto"/>
        </w:rPr>
      </w:pPr>
    </w:p>
    <w:p>
      <w:pPr>
        <w:ind w:left="180"/>
        <w:spacing w:after="0"/>
        <w:rPr>
          <w:rFonts w:ascii="Arial" w:cs="Arial" w:eastAsia="Arial" w:hAnsi="Arial"/>
          <w:sz w:val="16"/>
          <w:szCs w:val="16"/>
          <w:b w:val="1"/>
          <w:bCs w:val="1"/>
          <w:color w:val="auto"/>
        </w:rPr>
      </w:pPr>
      <w:r>
        <w:rPr>
          <w:rFonts w:ascii="Arial" w:cs="Arial" w:eastAsia="Arial" w:hAnsi="Arial"/>
          <w:sz w:val="16"/>
          <w:szCs w:val="16"/>
          <w:color w:val="auto"/>
        </w:rPr>
        <w:t>Lease costs recorded under operating leases for the three months ended March 31, 2021 and March 31, 2020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7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7,789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8,089</w:t>
            </w:r>
          </w:p>
        </w:tc>
      </w:tr>
      <w:tr>
        <w:trPr>
          <w:trHeight w:val="216"/>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7,578</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7,821</w:t>
            </w:r>
          </w:p>
        </w:tc>
      </w:tr>
      <w:tr>
        <w:trPr>
          <w:trHeight w:val="24"/>
        </w:trPr>
        <w:tc>
          <w:tcPr>
            <w:tcW w:w="7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6" w:name="page17"/>
    <w:bookmarkEnd w:id="16"/>
    <w:p>
      <w:pPr>
        <w:ind w:left="240"/>
        <w:spacing w:after="0"/>
        <w:rPr>
          <w:sz w:val="20"/>
          <w:szCs w:val="20"/>
          <w:color w:val="auto"/>
        </w:rPr>
      </w:pPr>
      <w:r>
        <w:rPr>
          <w:rFonts w:ascii="Arial" w:cs="Arial" w:eastAsia="Arial" w:hAnsi="Arial"/>
          <w:sz w:val="16"/>
          <w:szCs w:val="16"/>
          <w:color w:val="auto"/>
        </w:rPr>
        <w:t>Of the total cost of $7.6 million incurred in the three months ended March 31, 2021 (March 31, 2020: $7.8 million), $7.0 million (March 31, 2020: $7.1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is recorded within selling, general and administration costs and $0.6 million (March 31, 2020: $0.7 million) is recorded within direct costs.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During the three months ended March 31, 2021 and March 31, 2020, costs incurred by the Group related to variable lease payments was de minimis.</w:t>
      </w:r>
    </w:p>
    <w:p>
      <w:pPr>
        <w:spacing w:after="0" w:line="248" w:lineRule="exact"/>
        <w:rPr>
          <w:sz w:val="20"/>
          <w:szCs w:val="20"/>
          <w:color w:val="auto"/>
        </w:rPr>
      </w:pPr>
    </w:p>
    <w:p>
      <w:pPr>
        <w:jc w:val="both"/>
        <w:ind w:firstLine="200"/>
        <w:spacing w:after="0" w:line="260" w:lineRule="auto"/>
        <w:rPr>
          <w:sz w:val="20"/>
          <w:szCs w:val="20"/>
          <w:color w:val="auto"/>
        </w:rPr>
      </w:pPr>
      <w:r>
        <w:rPr>
          <w:rFonts w:ascii="Arial" w:cs="Arial" w:eastAsia="Arial" w:hAnsi="Arial"/>
          <w:sz w:val="16"/>
          <w:szCs w:val="16"/>
          <w:color w:val="auto"/>
        </w:rPr>
        <w:t>Right-of-use assets obtained during the three months ended March 31, 2021 excluding early termination options, now reasonably certain to be exercised of $4.2 million, totaled $2.9 million (March 31, 2020: $4.3 million).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March 31, 2021 were 4.04 years and 2.54%, respectively.</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Future minimum lease payments under non-cancelable leases as of March 31, 2021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6"/>
        </w:trPr>
        <w:tc>
          <w:tcPr>
            <w:tcW w:w="60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5"/>
        </w:trPr>
        <w:tc>
          <w:tcPr>
            <w:tcW w:w="60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060" w:type="dxa"/>
            <w:vAlign w:val="bottom"/>
            <w:tcBorders>
              <w:bottom w:val="single" w:sz="8" w:color="auto"/>
            </w:tcBorders>
            <w:shd w:val="clear" w:color="auto" w:fill="CCEEFF"/>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Due within 1 year</w:t>
            </w:r>
          </w:p>
        </w:tc>
        <w:tc>
          <w:tcPr>
            <w:tcW w:w="3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25,393</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between 1 and 5 years</w:t>
            </w:r>
          </w:p>
        </w:tc>
        <w:tc>
          <w:tcPr>
            <w:tcW w:w="3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47,653</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3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80,495</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3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(4,528)</w:t>
            </w:r>
          </w:p>
        </w:tc>
      </w:tr>
      <w:tr>
        <w:trPr>
          <w:trHeight w:val="238"/>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75,967</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$23.8 million have been included in other liabilities as at March 31, 2021 (March 31, 2020: $24.8 million).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ind w:left="180"/>
              <w:spacing w:after="0"/>
              <w:rPr>
                <w:sz w:val="20"/>
                <w:szCs w:val="20"/>
                <w:color w:val="auto"/>
              </w:rPr>
            </w:pPr>
            <w:r>
              <w:rPr>
                <w:rFonts w:ascii="Arial" w:cs="Arial" w:eastAsia="Arial" w:hAnsi="Arial"/>
                <w:sz w:val="16"/>
                <w:szCs w:val="16"/>
                <w:color w:val="auto"/>
              </w:rPr>
              <w:t>Income taxes recognized during the three months ended March 31, 2021 and March 31, 2020, comprise:</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57"/>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spacing w:after="0"/>
              <w:rPr>
                <w:sz w:val="24"/>
                <w:szCs w:val="24"/>
                <w:color w:val="auto"/>
              </w:rPr>
            </w:pPr>
          </w:p>
        </w:tc>
      </w:tr>
      <w:tr>
        <w:trPr>
          <w:trHeight w:val="215"/>
        </w:trPr>
        <w:tc>
          <w:tcPr>
            <w:tcW w:w="8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gridSpan w:val="3"/>
            <w:shd w:val="clear" w:color="auto" w:fill="CCEEFF"/>
          </w:tcPr>
          <w:p>
            <w:pPr>
              <w:jc w:val="center"/>
              <w:ind w:right="1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jc w:val="center"/>
              <w:ind w:right="1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16,148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12,590</w:t>
            </w:r>
          </w:p>
        </w:tc>
      </w:tr>
      <w:tr>
        <w:trPr>
          <w:trHeight w:val="23"/>
        </w:trPr>
        <w:tc>
          <w:tcPr>
            <w:tcW w:w="8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177"/>
        <w:spacing w:after="0" w:line="252" w:lineRule="auto"/>
        <w:rPr>
          <w:sz w:val="20"/>
          <w:szCs w:val="20"/>
          <w:color w:val="auto"/>
        </w:rPr>
      </w:pPr>
      <w:r>
        <w:rPr>
          <w:rFonts w:ascii="Arial" w:cs="Arial" w:eastAsia="Arial" w:hAnsi="Arial"/>
          <w:sz w:val="16"/>
          <w:szCs w:val="16"/>
          <w:color w:val="auto"/>
        </w:rPr>
        <w:t>As at March 31, 2021 the Company maintains a $19.3 million liability (December 31, 2020: $19.6 million) for unrecognized tax benefit, which is comprised of $18.8 million (December 31, 2020: $19.1 million) related to items generating unrecognized tax benefits and $0.5 million (December 31, 2020: $0.5 million) for interest and related penalties to such items. The Company recognizes interest accrued on unrecognized tax benefits as an additional income tax expense.</w:t>
      </w:r>
    </w:p>
    <w:p>
      <w:pPr>
        <w:spacing w:after="0" w:line="200" w:lineRule="exact"/>
        <w:rPr>
          <w:sz w:val="20"/>
          <w:szCs w:val="20"/>
          <w:color w:val="auto"/>
        </w:rPr>
      </w:pPr>
    </w:p>
    <w:p>
      <w:pPr>
        <w:spacing w:after="0" w:line="219" w:lineRule="exact"/>
        <w:rPr>
          <w:sz w:val="20"/>
          <w:szCs w:val="20"/>
          <w:color w:val="auto"/>
        </w:rPr>
      </w:pPr>
    </w:p>
    <w:p>
      <w:pPr>
        <w:jc w:val="both"/>
        <w:ind w:firstLine="192"/>
        <w:spacing w:after="0" w:line="253"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2020 tax years. During such audits, local tax authorities may challenge the positions taken by us in our tax returns.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11. Net income per ordinary share</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2740" w:type="dxa"/>
            <w:vAlign w:val="bottom"/>
            <w:tcBorders>
              <w:bottom w:val="single" w:sz="8" w:color="auto"/>
            </w:tcBorders>
            <w:gridSpan w:val="2"/>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March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basic net income per ordinary share</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52,811,460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53,348,355</w:t>
            </w:r>
          </w:p>
        </w:tc>
      </w:tr>
      <w:tr>
        <w:trPr>
          <w:trHeight w:val="223"/>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dilutive share options outstanding</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498,993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556,667</w:t>
            </w:r>
          </w:p>
        </w:tc>
      </w:tr>
      <w:tr>
        <w:trPr>
          <w:trHeight w:val="238"/>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diluted net income per ordinary share</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53,310,453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53,905,022</w:t>
            </w:r>
          </w:p>
        </w:tc>
      </w:tr>
      <w:tr>
        <w:trPr>
          <w:trHeight w:val="20"/>
        </w:trPr>
        <w:tc>
          <w:tcPr>
            <w:tcW w:w="8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The reconciliation of net income attributable to the Group and net income attributable to the Group (including NCI redemption amount) as used to calculate net income per ordinary share attributable to the Group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income attributable to the Group</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97,122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91,696</w:t>
            </w:r>
          </w:p>
        </w:tc>
      </w:tr>
      <w:tr>
        <w:trPr>
          <w:trHeight w:val="226"/>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 adjustment to redemption amount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(4,522)</w:t>
            </w:r>
          </w:p>
        </w:tc>
      </w:tr>
      <w:tr>
        <w:trPr>
          <w:trHeight w:val="213"/>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 (including NCI redemption adjustment)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97,122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87,174</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0"/>
        </w:trPr>
        <w:tc>
          <w:tcPr>
            <w:tcW w:w="8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Net income per Ordinary Share attributable to the Group (including NCI redemption adjustment):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3"/>
        </w:trPr>
        <w:tc>
          <w:tcPr>
            <w:tcW w:w="8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12. Share-based awards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4" w:lineRule="exact"/>
        <w:rPr>
          <w:sz w:val="20"/>
          <w:szCs w:val="20"/>
          <w:color w:val="auto"/>
        </w:rPr>
      </w:pPr>
    </w:p>
    <w:p>
      <w:pPr>
        <w:jc w:val="both"/>
        <w:ind w:firstLine="228"/>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3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228" w:lineRule="exact"/>
        <w:rPr>
          <w:sz w:val="20"/>
          <w:szCs w:val="20"/>
          <w:color w:val="auto"/>
        </w:rPr>
      </w:pPr>
    </w:p>
    <w:p>
      <w:pPr>
        <w:jc w:val="both"/>
        <w:ind w:firstLine="264"/>
        <w:spacing w:after="0" w:line="250"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200" w:lineRule="exact"/>
        <w:rPr>
          <w:sz w:val="20"/>
          <w:szCs w:val="20"/>
          <w:color w:val="auto"/>
        </w:rPr>
      </w:pPr>
    </w:p>
    <w:p>
      <w:pPr>
        <w:spacing w:after="0" w:line="22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6"/>
          <w:szCs w:val="16"/>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29" w:lineRule="exact"/>
        <w:rPr>
          <w:sz w:val="20"/>
          <w:szCs w:val="20"/>
          <w:color w:val="auto"/>
        </w:rPr>
      </w:pPr>
    </w:p>
    <w:p>
      <w:pPr>
        <w:jc w:val="both"/>
        <w:ind w:firstLine="265"/>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235" w:lineRule="exact"/>
        <w:rPr>
          <w:sz w:val="20"/>
          <w:szCs w:val="20"/>
          <w:color w:val="auto"/>
        </w:rPr>
      </w:pPr>
    </w:p>
    <w:p>
      <w:pPr>
        <w:jc w:val="both"/>
        <w:ind w:firstLine="207"/>
        <w:spacing w:after="0" w:line="251"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March 31, 2021 is eight years.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option activity for the three months ended March 31,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shd w:val="clear" w:color="auto" w:fill="CCEEFF"/>
          </w:tcPr>
          <w:p>
            <w:pPr>
              <w:spacing w:after="0"/>
              <w:rPr>
                <w:sz w:val="16"/>
                <w:szCs w:val="16"/>
                <w:color w:val="auto"/>
              </w:rPr>
            </w:pPr>
          </w:p>
        </w:tc>
        <w:tc>
          <w:tcPr>
            <w:tcW w:w="2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4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26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Weighted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14"/>
                <w:szCs w:val="14"/>
                <w:color w:val="auto"/>
              </w:rPr>
            </w:pPr>
          </w:p>
        </w:tc>
        <w:tc>
          <w:tcPr>
            <w:tcW w:w="256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14"/>
                <w:szCs w:val="14"/>
                <w:color w:val="auto"/>
              </w:rPr>
            </w:pPr>
          </w:p>
        </w:tc>
        <w:tc>
          <w:tcPr>
            <w:tcW w:w="2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39"/>
              <w:spacing w:after="0" w:line="162" w:lineRule="exact"/>
              <w:rPr>
                <w:sz w:val="20"/>
                <w:szCs w:val="20"/>
                <w:color w:val="auto"/>
              </w:rPr>
            </w:pPr>
            <w:r>
              <w:rPr>
                <w:rFonts w:ascii="Arial" w:cs="Arial" w:eastAsia="Arial" w:hAnsi="Arial"/>
                <w:sz w:val="16"/>
                <w:szCs w:val="16"/>
                <w:b w:val="1"/>
                <w:bCs w:val="1"/>
                <w:color w:val="auto"/>
              </w:rPr>
              <w:t>Average Grant</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14"/>
                <w:szCs w:val="14"/>
                <w:color w:val="auto"/>
              </w:rPr>
            </w:pPr>
          </w:p>
        </w:tc>
        <w:tc>
          <w:tcPr>
            <w:tcW w:w="2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Exercise</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79"/>
              <w:spacing w:after="0" w:line="162" w:lineRule="exact"/>
              <w:rPr>
                <w:sz w:val="20"/>
                <w:szCs w:val="20"/>
                <w:color w:val="auto"/>
              </w:rPr>
            </w:pPr>
            <w:r>
              <w:rPr>
                <w:rFonts w:ascii="Arial" w:cs="Arial" w:eastAsia="Arial" w:hAnsi="Arial"/>
                <w:sz w:val="16"/>
                <w:szCs w:val="16"/>
                <w:b w:val="1"/>
                <w:bCs w:val="1"/>
                <w:color w:val="auto"/>
              </w:rPr>
              <w:t>Date</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5"/>
        </w:trPr>
        <w:tc>
          <w:tcPr>
            <w:tcW w:w="408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Price</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2020</w:t>
            </w:r>
          </w:p>
        </w:tc>
        <w:tc>
          <w:tcPr>
            <w:tcW w:w="2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553,746</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108.53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31.63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95,287</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174.96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48.36</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Canceled/expired</w:t>
            </w: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649,033</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118.28</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34.09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Exercisable at March 31, 2021</w:t>
            </w: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318,676</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92.36</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27.37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both"/>
        <w:ind w:firstLine="220"/>
        <w:spacing w:after="0" w:line="250" w:lineRule="auto"/>
        <w:rPr>
          <w:sz w:val="20"/>
          <w:szCs w:val="20"/>
          <w:color w:val="auto"/>
        </w:rPr>
      </w:pPr>
      <w:r>
        <w:rPr>
          <w:rFonts w:ascii="Arial" w:cs="Arial" w:eastAsia="Arial" w:hAnsi="Arial"/>
          <w:sz w:val="16"/>
          <w:szCs w:val="16"/>
          <w:color w:val="auto"/>
        </w:rPr>
        <w:t>The Company has outstanding options with fair values ranging from $11.78 to $48.36 per option or a weighted average fair value of $24.18 per option. The Company issues ordinary shares for all options exercised. The total amount of fully vested share options which remained outstanding at March 31, 2021 was 318,676. Fully vested share options at March 31, 2021 have an average remaining contractual term of 3.83 years, an average exercise price of $92.36 and a total intrinsic value of $33.1 million. The total intrinsic value of options exercised during the three months ended March 31, 2021 was $Nil (March 31, 2020: $3.5 million).</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9" w:name="page20"/>
    <w:bookmarkEnd w:id="19"/>
    <w:p>
      <w:pPr>
        <w:ind w:left="660"/>
        <w:spacing w:after="0"/>
        <w:rPr>
          <w:sz w:val="20"/>
          <w:szCs w:val="20"/>
          <w:color w:val="auto"/>
        </w:rPr>
      </w:pPr>
      <w:r>
        <w:rPr>
          <w:rFonts w:ascii="Arial" w:cs="Arial" w:eastAsia="Arial" w:hAnsi="Arial"/>
          <w:sz w:val="16"/>
          <w:szCs w:val="16"/>
          <w:color w:val="auto"/>
        </w:rPr>
        <w:t>The following table summarizes the movement in non-vested share options for the three months ended March 31,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shd w:val="clear" w:color="auto" w:fill="CCEEFF"/>
          </w:tcPr>
          <w:p>
            <w:pPr>
              <w:spacing w:after="0"/>
              <w:rPr>
                <w:sz w:val="16"/>
                <w:szCs w:val="16"/>
                <w:color w:val="auto"/>
              </w:rPr>
            </w:pP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156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Weighted Average</w:t>
            </w: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spacing w:after="0"/>
              <w:rPr>
                <w:sz w:val="14"/>
                <w:szCs w:val="14"/>
                <w:color w:val="auto"/>
              </w:rPr>
            </w:pPr>
          </w:p>
        </w:tc>
        <w:tc>
          <w:tcPr>
            <w:tcW w:w="3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5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Number of Shares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December 31, 2020</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328,901</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125.89</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Granted</w:t>
            </w:r>
          </w:p>
        </w:tc>
        <w:tc>
          <w:tcPr>
            <w:tcW w:w="3120" w:type="dxa"/>
            <w:vAlign w:val="bottom"/>
          </w:tcPr>
          <w:p>
            <w:pPr>
              <w:jc w:val="right"/>
              <w:ind w:right="39"/>
              <w:spacing w:after="0"/>
              <w:rPr>
                <w:sz w:val="20"/>
                <w:szCs w:val="20"/>
                <w:color w:val="auto"/>
              </w:rPr>
            </w:pPr>
            <w:r>
              <w:rPr>
                <w:rFonts w:ascii="Arial" w:cs="Arial" w:eastAsia="Arial" w:hAnsi="Arial"/>
                <w:sz w:val="16"/>
                <w:szCs w:val="16"/>
                <w:color w:val="auto"/>
              </w:rPr>
              <w:t>95,287</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174.96</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48.36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(93,831)</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114.50</w:t>
            </w:r>
          </w:p>
        </w:tc>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March 31, 2021</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330,357</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143.28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40.57</w:t>
            </w:r>
          </w:p>
        </w:tc>
        <w:tc>
          <w:tcPr>
            <w:tcW w:w="0" w:type="dxa"/>
            <w:vAlign w:val="bottom"/>
          </w:tcPr>
          <w:p>
            <w:pPr>
              <w:spacing w:after="0"/>
              <w:rPr>
                <w:sz w:val="1"/>
                <w:szCs w:val="1"/>
                <w:color w:val="auto"/>
              </w:rPr>
            </w:pPr>
          </w:p>
        </w:tc>
      </w:tr>
      <w:tr>
        <w:trPr>
          <w:trHeight w:val="24"/>
        </w:trPr>
        <w:tc>
          <w:tcPr>
            <w:tcW w:w="50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weighted average fair value of options granted during the three months ended March 31, 2021 and March 31, 2020 was calculated using the Black-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Scholes option pricing model. The weighted average grant date fair values and assumptions used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7"/>
        </w:trPr>
        <w:tc>
          <w:tcPr>
            <w:tcW w:w="2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2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48.36</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42.11</w:t>
            </w:r>
          </w:p>
        </w:tc>
      </w:tr>
      <w:tr>
        <w:trPr>
          <w:trHeight w:val="176"/>
        </w:trPr>
        <w:tc>
          <w:tcPr>
            <w:tcW w:w="20" w:type="dxa"/>
            <w:vAlign w:val="bottom"/>
          </w:tcPr>
          <w:p>
            <w:pPr>
              <w:spacing w:after="0"/>
              <w:rPr>
                <w:sz w:val="15"/>
                <w:szCs w:val="15"/>
                <w:color w:val="auto"/>
              </w:rPr>
            </w:pPr>
          </w:p>
        </w:tc>
        <w:tc>
          <w:tcPr>
            <w:tcW w:w="5400" w:type="dxa"/>
            <w:vAlign w:val="bottom"/>
            <w:gridSpan w:val="2"/>
          </w:tcPr>
          <w:p>
            <w:pPr>
              <w:spacing w:after="0" w:line="175" w:lineRule="exact"/>
              <w:rPr>
                <w:sz w:val="20"/>
                <w:szCs w:val="20"/>
                <w:color w:val="auto"/>
              </w:rPr>
            </w:pPr>
            <w:r>
              <w:rPr>
                <w:rFonts w:ascii="Arial" w:cs="Arial" w:eastAsia="Arial" w:hAnsi="Arial"/>
                <w:sz w:val="16"/>
                <w:szCs w:val="16"/>
                <w:color w:val="auto"/>
              </w:rPr>
              <w:t>Assumptions:</w:t>
            </w:r>
          </w:p>
        </w:tc>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3"/>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2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0.73 %</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0.78 %</w:t>
            </w:r>
          </w:p>
        </w:tc>
      </w:tr>
      <w:tr>
        <w:trPr>
          <w:trHeight w:val="213"/>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2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3"/>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251"/>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4" w:lineRule="exact"/>
        <w:rPr>
          <w:sz w:val="20"/>
          <w:szCs w:val="20"/>
          <w:color w:val="auto"/>
        </w:rPr>
      </w:pPr>
    </w:p>
    <w:p>
      <w:pPr>
        <w:jc w:val="both"/>
        <w:ind w:firstLine="184"/>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32" w:lineRule="exact"/>
        <w:rPr>
          <w:sz w:val="20"/>
          <w:szCs w:val="20"/>
          <w:color w:val="auto"/>
        </w:rPr>
      </w:pPr>
    </w:p>
    <w:p>
      <w:pPr>
        <w:jc w:val="both"/>
        <w:ind w:firstLine="201"/>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and 2020 vest over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0" w:name="page21"/>
    <w:bookmarkEnd w:id="20"/>
    <w:p>
      <w:pPr>
        <w:ind w:right="160" w:firstLine="177"/>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three months ended March 31,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PSU</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PSU</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RSU</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16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Weighted</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Weighted</w:t>
            </w: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12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Weighted</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Remaining</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Date</w:t>
            </w: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Contractual</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Date</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5"/>
        </w:trPr>
        <w:tc>
          <w:tcPr>
            <w:tcW w:w="30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Life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2020</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159,641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137.64</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1.14</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341,424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145.77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52,670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174.96</w:t>
            </w:r>
          </w:p>
        </w:tc>
        <w:tc>
          <w:tcPr>
            <w:tcW w:w="1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61,190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174.96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(42,074)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115.11</w:t>
            </w: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134.27</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112.03</w:t>
            </w:r>
          </w:p>
        </w:tc>
        <w:tc>
          <w:tcPr>
            <w:tcW w:w="1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142.51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March 31, 2021</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167,903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157.19</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1.56</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370,508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151.50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4"/>
        </w:trPr>
        <w:tc>
          <w:tcPr>
            <w:tcW w:w="3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PSUs vested for the three months ended March 31, 2021 totaled $4.8 million (full year 2020: $5.3 million).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RSUs vested for the three months ended March 31, 2021 totaled $3.8 million (full year 2020: $14.3 million).</w:t>
      </w:r>
    </w:p>
    <w:p>
      <w:pPr>
        <w:spacing w:after="0" w:line="248" w:lineRule="exact"/>
        <w:rPr>
          <w:sz w:val="20"/>
          <w:szCs w:val="20"/>
          <w:color w:val="auto"/>
        </w:rPr>
      </w:pPr>
    </w:p>
    <w:p>
      <w:pPr>
        <w:jc w:val="both"/>
        <w:ind w:right="20" w:firstLine="184"/>
        <w:spacing w:after="0" w:line="260" w:lineRule="auto"/>
        <w:rPr>
          <w:sz w:val="20"/>
          <w:szCs w:val="20"/>
          <w:color w:val="auto"/>
        </w:rPr>
      </w:pPr>
      <w:r>
        <w:rPr>
          <w:rFonts w:ascii="Arial" w:cs="Arial" w:eastAsia="Arial" w:hAnsi="Arial"/>
          <w:sz w:val="16"/>
          <w:szCs w:val="16"/>
          <w:color w:val="auto"/>
        </w:rPr>
        <w:t>The PSUs vest based on service and specified EPS targets over the periods 2018 – 2020, 2019 – 2021, 2020 – 2022 and 2021 - 2023. Depending on the amount of EPS from 2018 to 2023, up to an additional 83,334 PSUs may also be granted.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Non-cash stock compensation expense for the three months ended March 31, 2021 and March 31, 2020 has been allocated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gridSpan w:val="3"/>
            <w:shd w:val="clear" w:color="auto" w:fill="CCEEFF"/>
          </w:tcPr>
          <w:p>
            <w:pPr>
              <w:ind w:left="460"/>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720"/>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720"/>
              <w:spacing w:after="0"/>
              <w:rPr>
                <w:sz w:val="20"/>
                <w:szCs w:val="20"/>
                <w:color w:val="auto"/>
              </w:rPr>
            </w:pPr>
            <w:r>
              <w:rPr>
                <w:rFonts w:ascii="Arial" w:cs="Arial" w:eastAsia="Arial" w:hAnsi="Arial"/>
                <w:sz w:val="16"/>
                <w:szCs w:val="16"/>
                <w:color w:val="auto"/>
              </w:rPr>
              <w:t>2,055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1,835</w:t>
            </w:r>
          </w:p>
        </w:tc>
      </w:tr>
      <w:tr>
        <w:trPr>
          <w:trHeight w:val="226"/>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4,339</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4,234</w:t>
            </w:r>
          </w:p>
        </w:tc>
      </w:tr>
      <w:tr>
        <w:trPr>
          <w:trHeight w:val="203"/>
        </w:trPr>
        <w:tc>
          <w:tcPr>
            <w:tcW w:w="8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8"/>
        </w:trPr>
        <w:tc>
          <w:tcPr>
            <w:tcW w:w="84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6,394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6,069</w:t>
            </w:r>
          </w:p>
        </w:tc>
      </w:tr>
      <w:tr>
        <w:trPr>
          <w:trHeight w:val="20"/>
        </w:trPr>
        <w:tc>
          <w:tcPr>
            <w:tcW w:w="8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non-cash stock compensation expense not yet recognized at March 31, 2021 amounted to $61.7 million. The weighted average period over which this is expected to be recognized is 2.43 years.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Share capital</w:t>
      </w:r>
    </w:p>
    <w:p>
      <w:pPr>
        <w:spacing w:after="0" w:line="268" w:lineRule="exact"/>
        <w:rPr>
          <w:sz w:val="20"/>
          <w:szCs w:val="20"/>
          <w:color w:val="auto"/>
        </w:rPr>
      </w:pPr>
    </w:p>
    <w:p>
      <w:pPr>
        <w:jc w:val="both"/>
        <w:ind w:right="20" w:firstLine="194"/>
        <w:spacing w:after="0" w:line="260"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222" w:lineRule="exact"/>
        <w:rPr>
          <w:sz w:val="20"/>
          <w:szCs w:val="20"/>
          <w:color w:val="auto"/>
        </w:rPr>
      </w:pPr>
    </w:p>
    <w:p>
      <w:pPr>
        <w:jc w:val="both"/>
        <w:ind w:right="20" w:firstLine="184"/>
        <w:spacing w:after="0" w:line="251"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 During the year ended December 31, 2020, 1,235,218 ordinary shares were redeemed by the Company under this buyback program for a total consideration of $175.0 million.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2021, no ordinary shares were redeemed by the Company under this buyback program</w:t>
      </w:r>
    </w:p>
    <w:p>
      <w:pPr>
        <w:spacing w:after="0" w:line="248" w:lineRule="exact"/>
        <w:rPr>
          <w:sz w:val="20"/>
          <w:szCs w:val="20"/>
          <w:color w:val="auto"/>
        </w:rPr>
      </w:pPr>
    </w:p>
    <w:p>
      <w:pPr>
        <w:jc w:val="both"/>
        <w:ind w:firstLine="189"/>
        <w:spacing w:after="0" w:line="253" w:lineRule="auto"/>
        <w:rPr>
          <w:sz w:val="20"/>
          <w:szCs w:val="20"/>
          <w:color w:val="auto"/>
        </w:rPr>
      </w:pPr>
      <w:r>
        <w:rPr>
          <w:rFonts w:ascii="Arial" w:cs="Arial" w:eastAsia="Arial" w:hAnsi="Arial"/>
          <w:sz w:val="16"/>
          <w:szCs w:val="16"/>
          <w:color w:val="auto"/>
        </w:rPr>
        <w:t>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14 Business segment information</w:t>
      </w:r>
    </w:p>
    <w:p>
      <w:pPr>
        <w:spacing w:after="0" w:line="268" w:lineRule="exact"/>
        <w:rPr>
          <w:sz w:val="20"/>
          <w:szCs w:val="20"/>
          <w:color w:val="auto"/>
        </w:rPr>
      </w:pPr>
    </w:p>
    <w:p>
      <w:pPr>
        <w:jc w:val="both"/>
        <w:ind w:firstLine="18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28" w:lineRule="exact"/>
        <w:rPr>
          <w:sz w:val="20"/>
          <w:szCs w:val="20"/>
          <w:color w:val="auto"/>
        </w:rPr>
      </w:pPr>
    </w:p>
    <w:p>
      <w:pPr>
        <w:jc w:val="both"/>
        <w:ind w:firstLine="251"/>
        <w:spacing w:after="0" w:line="253" w:lineRule="auto"/>
        <w:rPr>
          <w:sz w:val="20"/>
          <w:szCs w:val="20"/>
          <w:color w:val="auto"/>
        </w:rPr>
      </w:pPr>
      <w:r>
        <w:rPr>
          <w:rFonts w:ascii="Arial" w:cs="Arial" w:eastAsia="Arial" w:hAnsi="Arial"/>
          <w:sz w:val="16"/>
          <w:szCs w:val="16"/>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28" w:lineRule="exact"/>
        <w:rPr>
          <w:sz w:val="20"/>
          <w:szCs w:val="20"/>
          <w:color w:val="auto"/>
        </w:rPr>
      </w:pPr>
    </w:p>
    <w:p>
      <w:pPr>
        <w:jc w:val="both"/>
        <w:ind w:firstLine="337"/>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32" w:lineRule="exact"/>
        <w:rPr>
          <w:sz w:val="20"/>
          <w:szCs w:val="20"/>
          <w:color w:val="auto"/>
        </w:rPr>
      </w:pPr>
    </w:p>
    <w:p>
      <w:pPr>
        <w:jc w:val="both"/>
        <w:ind w:firstLine="339"/>
        <w:spacing w:after="0" w:line="250" w:lineRule="auto"/>
        <w:rPr>
          <w:sz w:val="20"/>
          <w:szCs w:val="20"/>
          <w:color w:val="auto"/>
        </w:rPr>
      </w:pPr>
      <w:r>
        <w:rPr>
          <w:rFonts w:ascii="Arial" w:cs="Arial" w:eastAsia="Arial" w:hAnsi="Arial"/>
          <w:sz w:val="16"/>
          <w:szCs w:val="16"/>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30" w:lineRule="exact"/>
        <w:rPr>
          <w:sz w:val="20"/>
          <w:szCs w:val="20"/>
          <w:color w:val="auto"/>
        </w:rPr>
      </w:pPr>
    </w:p>
    <w:p>
      <w:pPr>
        <w:jc w:val="both"/>
        <w:ind w:firstLine="188"/>
        <w:spacing w:after="0" w:line="253"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2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pacing w:after="0" w:line="229" w:lineRule="exact"/>
        <w:rPr>
          <w:sz w:val="20"/>
          <w:szCs w:val="20"/>
          <w:color w:val="auto"/>
        </w:rPr>
      </w:pPr>
    </w:p>
    <w:p>
      <w:pPr>
        <w:jc w:val="both"/>
        <w:ind w:firstLine="203"/>
        <w:spacing w:after="0" w:line="251"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229" w:lineRule="exact"/>
        <w:rPr>
          <w:sz w:val="20"/>
          <w:szCs w:val="20"/>
          <w:color w:val="auto"/>
        </w:rPr>
      </w:pPr>
    </w:p>
    <w:p>
      <w:pPr>
        <w:jc w:val="both"/>
        <w:ind w:firstLine="208"/>
        <w:spacing w:after="0" w:line="251" w:lineRule="auto"/>
        <w:rPr>
          <w:sz w:val="20"/>
          <w:szCs w:val="20"/>
          <w:color w:val="auto"/>
        </w:rPr>
      </w:pPr>
      <w:r>
        <w:rPr>
          <w:rFonts w:ascii="Arial" w:cs="Arial" w:eastAsia="Arial" w:hAnsi="Arial"/>
          <w:sz w:val="16"/>
          <w:szCs w:val="16"/>
          <w:color w:val="auto"/>
        </w:rPr>
        <w:t>The Company's areas of operation outside of Ireland include the United States, United Kingdom, Austria, Belgium, Bulgaria, Czechia, France, Germany, Hungary, Italy, Latvia, Poland, Portugal, Romania, Russia, Serbia, Spain, Sweden, Switzerland, The Netherlands, Turkey, Ukraine, Canada, Argentina, Brazil, Chile, Colombia, Mexico, Peru, China (including Hong Kong), India, Israel, Japan, Malaysia, Singapore, South Korea, The Philippines, Taiwan, Thailand, Australia, New Zealand and South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ind w:left="280"/>
        <w:spacing w:after="0"/>
        <w:rPr>
          <w:sz w:val="20"/>
          <w:szCs w:val="20"/>
          <w:color w:val="auto"/>
        </w:rPr>
      </w:pPr>
      <w:r>
        <w:rPr>
          <w:rFonts w:ascii="Arial" w:cs="Arial" w:eastAsia="Arial" w:hAnsi="Arial"/>
          <w:sz w:val="16"/>
          <w:szCs w:val="16"/>
          <w:color w:val="auto"/>
        </w:rPr>
        <w:t>The geographical distribution of the Company’s segment measures as at March 31, 2021 and December 31, 2020 and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31, 2021 and March 31, 2020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ind w:left="660"/>
              <w:spacing w:after="0"/>
              <w:rPr>
                <w:sz w:val="20"/>
                <w:szCs w:val="20"/>
                <w:color w:val="auto"/>
              </w:rPr>
            </w:pPr>
            <w:r>
              <w:rPr>
                <w:rFonts w:ascii="Arial" w:cs="Arial" w:eastAsia="Arial" w:hAnsi="Arial"/>
                <w:sz w:val="16"/>
                <w:szCs w:val="16"/>
                <w:color w:val="auto"/>
              </w:rPr>
              <w:t>a) The distribution of revenue by geographical area was as follows: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14"/>
        </w:trPr>
        <w:tc>
          <w:tcPr>
            <w:tcW w:w="8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gridSpan w:val="3"/>
          </w:tcPr>
          <w:p>
            <w:pPr>
              <w:spacing w:after="0"/>
              <w:rPr>
                <w:sz w:val="9"/>
                <w:szCs w:val="9"/>
                <w:color w:val="auto"/>
              </w:rPr>
            </w:pPr>
          </w:p>
        </w:tc>
      </w:tr>
      <w:tr>
        <w:trPr>
          <w:trHeight w:val="215"/>
        </w:trPr>
        <w:tc>
          <w:tcPr>
            <w:tcW w:w="8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Ireland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308,121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314,972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120,354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102,431</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352,496</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225,467</w:t>
            </w:r>
          </w:p>
        </w:tc>
      </w:tr>
      <w:tr>
        <w:trPr>
          <w:trHeight w:val="226"/>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77,227</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72,232</w:t>
            </w:r>
          </w:p>
        </w:tc>
      </w:tr>
      <w:tr>
        <w:trPr>
          <w:trHeight w:val="243"/>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8"/>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858,198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715,102</w:t>
            </w:r>
          </w:p>
        </w:tc>
      </w:tr>
      <w:tr>
        <w:trPr>
          <w:trHeight w:val="20"/>
        </w:trPr>
        <w:tc>
          <w:tcPr>
            <w:tcW w:w="8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00" w:hanging="106"/>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sales shown for Ireland are export sales.</w:t>
      </w:r>
    </w:p>
    <w:p>
      <w:pPr>
        <w:spacing w:after="0" w:line="248" w:lineRule="exact"/>
        <w:rPr>
          <w:rFonts w:ascii="Arial" w:cs="Arial" w:eastAsia="Arial" w:hAnsi="Arial"/>
          <w:sz w:val="16"/>
          <w:szCs w:val="16"/>
          <w:color w:val="auto"/>
        </w:rPr>
      </w:pPr>
    </w:p>
    <w:p>
      <w:pPr>
        <w:ind w:left="840" w:hanging="184"/>
        <w:spacing w:after="0"/>
        <w:tabs>
          <w:tab w:leader="none" w:pos="84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distribution of income from operations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88,912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73,935</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7,610</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13,237</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13,891</w:t>
            </w:r>
          </w:p>
        </w:tc>
      </w:tr>
      <w:tr>
        <w:trPr>
          <w:trHeight w:val="226"/>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6,255</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7,769</w:t>
            </w:r>
          </w:p>
        </w:tc>
      </w:tr>
      <w:tr>
        <w:trPr>
          <w:trHeight w:val="243"/>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8"/>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116,014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106,291</w:t>
            </w:r>
          </w:p>
        </w:tc>
      </w:tr>
      <w:tr>
        <w:trPr>
          <w:trHeight w:val="20"/>
        </w:trPr>
        <w:tc>
          <w:tcPr>
            <w:tcW w:w="8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 distribution of long-lived assets (including right-of-use assets), net, by geographical area was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800" w:type="dxa"/>
            <w:vAlign w:val="bottom"/>
            <w:tcBorders>
              <w:bottom w:val="single" w:sz="8" w:color="auto"/>
            </w:tcBorders>
            <w:shd w:val="clear" w:color="auto" w:fill="CCEEFF"/>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4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110,595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118,361</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31,524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36,723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62,832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65,152</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35,432</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38,668</w:t>
            </w: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spacing w:after="0"/>
              <w:rPr>
                <w:sz w:val="22"/>
                <w:szCs w:val="22"/>
                <w:color w:val="auto"/>
              </w:rPr>
            </w:pPr>
          </w:p>
        </w:tc>
        <w:tc>
          <w:tcPr>
            <w:tcW w:w="38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240,383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258,904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48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3" w:name="page24"/>
    <w:bookmarkEnd w:id="23"/>
    <w:p>
      <w:pPr>
        <w:ind w:left="360"/>
        <w:spacing w:after="0"/>
        <w:rPr>
          <w:sz w:val="20"/>
          <w:szCs w:val="20"/>
          <w:color w:val="auto"/>
        </w:rPr>
      </w:pPr>
      <w:r>
        <w:rPr>
          <w:rFonts w:ascii="Arial" w:cs="Arial" w:eastAsia="Arial" w:hAnsi="Arial"/>
          <w:sz w:val="16"/>
          <w:szCs w:val="16"/>
          <w:color w:val="auto"/>
        </w:rPr>
        <w:t>d) The distribution of depreciation, amortization and reduction in carrying value of the right-of-use assets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9,039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8,241</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3,967</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8,548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8,639</w:t>
            </w:r>
          </w:p>
        </w:tc>
        <w:tc>
          <w:tcPr>
            <w:tcW w:w="0" w:type="dxa"/>
            <w:vAlign w:val="bottom"/>
          </w:tcPr>
          <w:p>
            <w:pPr>
              <w:spacing w:after="0"/>
              <w:rPr>
                <w:sz w:val="1"/>
                <w:szCs w:val="1"/>
                <w:color w:val="auto"/>
              </w:rPr>
            </w:pPr>
          </w:p>
        </w:tc>
      </w:tr>
      <w:tr>
        <w:trPr>
          <w:trHeight w:val="226"/>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2,966</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243"/>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8480" w:type="dxa"/>
            <w:vAlign w:val="bottom"/>
          </w:tcPr>
          <w:p>
            <w:pPr>
              <w:ind w:left="660"/>
              <w:spacing w:after="0"/>
              <w:rPr>
                <w:sz w:val="20"/>
                <w:szCs w:val="20"/>
                <w:color w:val="auto"/>
              </w:rPr>
            </w:pPr>
            <w:r>
              <w:rPr>
                <w:rFonts w:ascii="Arial" w:cs="Arial" w:eastAsia="Arial" w:hAnsi="Arial"/>
                <w:sz w:val="16"/>
                <w:szCs w:val="16"/>
                <w:color w:val="auto"/>
              </w:rPr>
              <w:t>e) The distribution of total assets by geographical area was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1,796,639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1,675,980</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661,674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671,218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830,561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909,202</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177,702</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179,206</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3,466,576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0" w:type="dxa"/>
            <w:vAlign w:val="bottom"/>
          </w:tcPr>
          <w:p>
            <w:pPr>
              <w:spacing w:after="0"/>
              <w:rPr>
                <w:sz w:val="1"/>
                <w:szCs w:val="1"/>
                <w:color w:val="auto"/>
              </w:rPr>
            </w:pPr>
          </w:p>
        </w:tc>
      </w:tr>
      <w:tr>
        <w:trPr>
          <w:trHeight w:val="24"/>
        </w:trPr>
        <w:tc>
          <w:tcPr>
            <w:tcW w:w="8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Impact of change in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ASC 326 Financial Instruments - Credit Losses</w:t>
      </w:r>
    </w:p>
    <w:p>
      <w:pPr>
        <w:spacing w:after="0" w:line="248" w:lineRule="exact"/>
        <w:rPr>
          <w:sz w:val="20"/>
          <w:szCs w:val="20"/>
          <w:color w:val="auto"/>
        </w:rPr>
      </w:pPr>
    </w:p>
    <w:p>
      <w:pPr>
        <w:jc w:val="both"/>
        <w:ind w:firstLine="193"/>
        <w:spacing w:after="0" w:line="263"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(ASU 2016-13) was effective, and adopted by the Group, from January 1, 2020. Primarily, ASU 2016-13 introduces an expected loss methodology that is referred to as the current expected credit loss (CECL) methodology.</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objectives of previous loss methodologies for instruments within the scope of this update generally delayed recognition of the full amount of credit losses until the loss was probable of occurring. Under ASU 2016-13, losses reflect an entity’s current estimate of all expected credit losses including, in addition to the consideration of past events and current conditions, as under the current guidance, incorporating the use of forecast information to provide more timely and accurate credit loss estimates. The measurement of expected credit losses under the CECL methodology is applicable to financial assets measured at amortized cost, including loan receivables and held-to-maturity debt securities. It also applies to off-balance sheet credit exposures not accounted as insurance (loan commitments, standby letters of credit, financial guarantees, and other similar instruments) and net investments in leases recognized by a lessor in accordance with ASC 842 on leases.</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ASC 326 changed the accounting for available-for-sale (AFS) debt securities to require credit losses to be presented as an allowance rather than as a write-down to align the income statement recognition of credit losses on AFS debt securities with the reporting period in which the changes occur.</w:t>
      </w:r>
    </w:p>
    <w:p>
      <w:pPr>
        <w:spacing w:after="0" w:line="228" w:lineRule="exact"/>
        <w:rPr>
          <w:sz w:val="20"/>
          <w:szCs w:val="20"/>
          <w:color w:val="auto"/>
        </w:rPr>
      </w:pPr>
    </w:p>
    <w:p>
      <w:pPr>
        <w:jc w:val="both"/>
        <w:ind w:firstLine="212"/>
        <w:spacing w:after="0" w:line="260" w:lineRule="auto"/>
        <w:rPr>
          <w:sz w:val="20"/>
          <w:szCs w:val="20"/>
          <w:color w:val="auto"/>
        </w:rPr>
      </w:pPr>
      <w:r>
        <w:rPr>
          <w:rFonts w:ascii="Arial" w:cs="Arial" w:eastAsia="Arial" w:hAnsi="Arial"/>
          <w:sz w:val="16"/>
          <w:szCs w:val="16"/>
          <w:color w:val="auto"/>
        </w:rPr>
        <w:t>The Group adopted ASC 326 using the modified retrospective method on January 1, 2020. The adoption of ASC 326 did not have a material impact on the Group and there was no impact of adopting ASC 326 on opening balances at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8" w:lineRule="exact"/>
        <w:rPr>
          <w:sz w:val="20"/>
          <w:szCs w:val="20"/>
          <w:color w:val="auto"/>
        </w:rPr>
      </w:pPr>
    </w:p>
    <w:p>
      <w:pPr>
        <w:jc w:val="both"/>
        <w:ind w:firstLine="207"/>
        <w:spacing w:after="0" w:line="25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2020. The consolidated financial statements have been prepared in accordance with accounting principles generally accepted in the United States.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2021 we employed approximately 16,070 employees, in 89 locations in 43 countries. During the three months ended March 31, 2021 we derived approximately 41.1%, 49.9% and 9.0% of our revenue in the United States, Europe and Rest of World respectively.</w:t>
      </w:r>
    </w:p>
    <w:p>
      <w:pPr>
        <w:spacing w:after="0" w:line="229" w:lineRule="exact"/>
        <w:rPr>
          <w:sz w:val="20"/>
          <w:szCs w:val="20"/>
          <w:color w:val="auto"/>
        </w:rPr>
      </w:pPr>
    </w:p>
    <w:p>
      <w:pPr>
        <w:jc w:val="both"/>
        <w:ind w:firstLine="237"/>
        <w:spacing w:after="0" w:line="251" w:lineRule="auto"/>
        <w:rPr>
          <w:sz w:val="20"/>
          <w:szCs w:val="20"/>
          <w:color w:val="auto"/>
        </w:rPr>
      </w:pPr>
      <w:r>
        <w:rPr>
          <w:rFonts w:ascii="Arial" w:cs="Arial" w:eastAsia="Arial" w:hAnsi="Arial"/>
          <w:sz w:val="16"/>
          <w:szCs w:val="16"/>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29" w:lineRule="exact"/>
        <w:rPr>
          <w:sz w:val="20"/>
          <w:szCs w:val="20"/>
          <w:color w:val="auto"/>
        </w:rPr>
      </w:pPr>
    </w:p>
    <w:p>
      <w:pPr>
        <w:jc w:val="both"/>
        <w:ind w:firstLine="231"/>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30" w:lineRule="exact"/>
        <w:rPr>
          <w:sz w:val="20"/>
          <w:szCs w:val="20"/>
          <w:color w:val="auto"/>
        </w:rPr>
      </w:pPr>
    </w:p>
    <w:p>
      <w:pPr>
        <w:jc w:val="both"/>
        <w:ind w:firstLine="271"/>
        <w:spacing w:after="0" w:line="251" w:lineRule="auto"/>
        <w:rPr>
          <w:sz w:val="20"/>
          <w:szCs w:val="20"/>
          <w:color w:val="auto"/>
        </w:rPr>
      </w:pPr>
      <w:r>
        <w:rPr>
          <w:rFonts w:ascii="Arial" w:cs="Arial" w:eastAsia="Arial" w:hAnsi="Arial"/>
          <w:sz w:val="16"/>
          <w:szCs w:val="16"/>
          <w:color w:val="auto"/>
        </w:rPr>
        <w:t xml:space="preserve">Our unsatisfied performance obligation consists of potential revenue yet to be earned from projects awarded by clients. At March 31, 2021 we had unsatisfied performance obligations of approximately $6.5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 assets) and unearned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or payments on account (contract liabilities) </w:t>
      </w:r>
      <w:r>
        <w:rPr>
          <w:rFonts w:ascii="Arial" w:cs="Arial" w:eastAsia="Arial" w:hAnsi="Arial"/>
          <w:sz w:val="16"/>
          <w:szCs w:val="16"/>
          <w:color w:val="auto"/>
        </w:rPr>
        <w:t>for further details). We believe that our remaining or unrealized performance obligations as of any date</w:t>
      </w:r>
      <w:r>
        <w:rPr>
          <w:rFonts w:ascii="Arial" w:cs="Arial" w:eastAsia="Arial" w:hAnsi="Arial"/>
          <w:sz w:val="16"/>
          <w:szCs w:val="16"/>
          <w:i w:val="1"/>
          <w:iCs w:val="1"/>
          <w:color w:val="auto"/>
        </w:rPr>
        <w:t xml:space="preserve"> </w:t>
      </w:r>
      <w:r>
        <w:rPr>
          <w:rFonts w:ascii="Arial" w:cs="Arial" w:eastAsia="Arial" w:hAnsi="Arial"/>
          <w:sz w:val="16"/>
          <w:szCs w:val="16"/>
          <w:color w:val="auto"/>
        </w:rPr>
        <w:t>is not necessarily a meaningful predictor of future results, due to the potential for cancellation or delay of revenue.</w:t>
      </w:r>
    </w:p>
    <w:p>
      <w:pPr>
        <w:spacing w:after="0" w:line="22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22" w:lineRule="exact"/>
        <w:rPr>
          <w:sz w:val="20"/>
          <w:szCs w:val="20"/>
          <w:color w:val="auto"/>
        </w:rPr>
      </w:pPr>
    </w:p>
    <w:p>
      <w:pPr>
        <w:jc w:val="both"/>
        <w:ind w:firstLine="218"/>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35" w:lineRule="exact"/>
        <w:rPr>
          <w:sz w:val="20"/>
          <w:szCs w:val="20"/>
          <w:color w:val="auto"/>
        </w:rPr>
      </w:pPr>
    </w:p>
    <w:p>
      <w:pPr>
        <w:jc w:val="both"/>
        <w:ind w:firstLine="209"/>
        <w:spacing w:after="0" w:line="253" w:lineRule="auto"/>
        <w:rPr>
          <w:sz w:val="20"/>
          <w:szCs w:val="20"/>
          <w:color w:val="auto"/>
        </w:rPr>
      </w:pPr>
      <w:r>
        <w:rPr>
          <w:rFonts w:ascii="Arial" w:cs="Arial" w:eastAsia="Arial" w:hAnsi="Arial"/>
          <w:sz w:val="16"/>
          <w:szCs w:val="16"/>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Operating Results</w:t>
      </w:r>
    </w:p>
    <w:p>
      <w:pPr>
        <w:spacing w:after="0" w:line="268" w:lineRule="exact"/>
        <w:rPr>
          <w:sz w:val="20"/>
          <w:szCs w:val="20"/>
          <w:color w:val="auto"/>
        </w:rPr>
      </w:pPr>
    </w:p>
    <w:p>
      <w:pPr>
        <w:jc w:val="both"/>
        <w:ind w:right="20" w:firstLine="261"/>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jc w:val="center"/>
              <w:ind w:right="580"/>
              <w:spacing w:after="0"/>
              <w:rPr>
                <w:sz w:val="20"/>
                <w:szCs w:val="20"/>
                <w:color w:val="auto"/>
              </w:rPr>
            </w:pPr>
            <w:r>
              <w:rPr>
                <w:rFonts w:ascii="Arial" w:cs="Arial" w:eastAsia="Arial" w:hAnsi="Arial"/>
                <w:sz w:val="16"/>
                <w:szCs w:val="16"/>
                <w:b w:val="1"/>
                <w:bCs w:val="1"/>
                <w:color w:val="auto"/>
              </w:rPr>
              <w:t>Three Months Ended</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2020</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 to 2021</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340" w:type="dxa"/>
            <w:vAlign w:val="bottom"/>
            <w:gridSpan w:val="3"/>
            <w:shd w:val="clear" w:color="auto" w:fill="CCEEFF"/>
          </w:tcPr>
          <w:p>
            <w:pPr>
              <w:jc w:val="center"/>
              <w:ind w:right="580"/>
              <w:spacing w:after="0" w:line="156" w:lineRule="exact"/>
              <w:rPr>
                <w:sz w:val="20"/>
                <w:szCs w:val="20"/>
                <w:color w:val="auto"/>
              </w:rPr>
            </w:pPr>
            <w:r>
              <w:rPr>
                <w:rFonts w:ascii="Arial" w:cs="Arial" w:eastAsia="Arial" w:hAnsi="Arial"/>
                <w:sz w:val="16"/>
                <w:szCs w:val="16"/>
                <w:b w:val="1"/>
                <w:bCs w:val="1"/>
                <w:color w:val="auto"/>
              </w:rPr>
              <w:t>Percentage of Revenue</w:t>
            </w:r>
          </w:p>
        </w:tc>
        <w:tc>
          <w:tcPr>
            <w:tcW w:w="1440" w:type="dxa"/>
            <w:vAlign w:val="bottom"/>
            <w:shd w:val="clear" w:color="auto" w:fill="CCEEFF"/>
          </w:tcPr>
          <w:p>
            <w:pPr>
              <w:jc w:val="center"/>
              <w:ind w:right="119"/>
              <w:spacing w:after="0" w:line="156"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right="59"/>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Revenue</w:t>
            </w:r>
          </w:p>
        </w:tc>
        <w:tc>
          <w:tcPr>
            <w:tcW w:w="5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2"/>
          </w:tcPr>
          <w:p>
            <w:pPr>
              <w:spacing w:after="0" w:line="175" w:lineRule="exact"/>
              <w:rPr>
                <w:sz w:val="20"/>
                <w:szCs w:val="20"/>
                <w:color w:val="auto"/>
              </w:rPr>
            </w:pPr>
            <w:r>
              <w:rPr>
                <w:rFonts w:ascii="Arial" w:cs="Arial" w:eastAsia="Arial" w:hAnsi="Arial"/>
                <w:sz w:val="16"/>
                <w:szCs w:val="16"/>
                <w:color w:val="auto"/>
              </w:rPr>
              <w:t>Costs and expenses:</w:t>
            </w:r>
          </w:p>
        </w:tc>
        <w:tc>
          <w:tcPr>
            <w:tcW w:w="5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 costs</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73.0 %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70.7 %</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11.5 %</w:t>
            </w:r>
          </w:p>
        </w:tc>
        <w:tc>
          <w:tcPr>
            <w:tcW w:w="1460" w:type="dxa"/>
            <w:vAlign w:val="bottom"/>
          </w:tcPr>
          <w:p>
            <w:pPr>
              <w:jc w:val="right"/>
              <w:spacing w:after="0"/>
              <w:rPr>
                <w:sz w:val="20"/>
                <w:szCs w:val="20"/>
                <w:color w:val="auto"/>
              </w:rPr>
            </w:pPr>
            <w:r>
              <w:rPr>
                <w:rFonts w:ascii="Arial" w:cs="Arial" w:eastAsia="Arial" w:hAnsi="Arial"/>
                <w:sz w:val="16"/>
                <w:szCs w:val="16"/>
                <w:color w:val="auto"/>
              </w:rPr>
              <w:t>12.2 %</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w:t>
            </w:r>
          </w:p>
        </w:tc>
        <w:tc>
          <w:tcPr>
            <w:tcW w:w="5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Amortization</w:t>
            </w: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0.5 %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from operations</w:t>
            </w: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13.5 %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14.9 %</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gridSpan w:val="3"/>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8040" w:type="dxa"/>
            <w:vAlign w:val="bottom"/>
            <w:gridSpan w:val="7"/>
          </w:tcPr>
          <w:p>
            <w:pPr>
              <w:spacing w:after="0"/>
              <w:rPr>
                <w:sz w:val="20"/>
                <w:szCs w:val="20"/>
                <w:color w:val="auto"/>
              </w:rPr>
            </w:pPr>
            <w:r>
              <w:rPr>
                <w:rFonts w:ascii="Arial" w:cs="Arial" w:eastAsia="Arial" w:hAnsi="Arial"/>
                <w:sz w:val="16"/>
                <w:szCs w:val="16"/>
                <w:b w:val="1"/>
                <w:bCs w:val="1"/>
                <w:i w:val="1"/>
                <w:iCs w:val="1"/>
                <w:color w:val="auto"/>
              </w:rPr>
              <w:t>Three Months Ended March 31, 2021 compared with Three Months Ended March 31, 2020</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6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6"/>
                <w:szCs w:val="16"/>
                <w:b w:val="1"/>
                <w:bCs w:val="1"/>
                <w:color w:val="auto"/>
              </w:rPr>
              <w:t>Three Months Ended</w:t>
            </w:r>
          </w:p>
        </w:tc>
        <w:tc>
          <w:tcPr>
            <w:tcW w:w="158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b w:val="1"/>
                <w:bCs w:val="1"/>
                <w:color w:val="auto"/>
              </w:rPr>
              <w:t>Change</w:t>
            </w: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March 31,</w:t>
            </w:r>
          </w:p>
        </w:tc>
        <w:tc>
          <w:tcPr>
            <w:tcW w:w="15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2"/>
            <w:vMerge w:val="continue"/>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858,198 $</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715,102 $</w:t>
            </w: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143,096</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Revenue for the three months ended March 31, 2021 increased by $143.1 million, or 20.0%, to $858.2 million, compared to $715.1 million for the three months ended March 31, 2020. Revenue increased by 17.9% in constant currency and increased by 17.8% in constant dollar organic terms. The increase in revenues in the three months ended March 31, 2021 is due to the continued recovery from the impact the COVID-19 global pandemic has had on operations including; our ability to ensure laboratory samples are collected and analyzed on time, our ability to perform on-site monitoring of clinical trials, the ability of patients or service providers to travel, and our ability to travel.</w:t>
      </w:r>
    </w:p>
    <w:p>
      <w:pPr>
        <w:spacing w:after="0" w:line="230" w:lineRule="exact"/>
        <w:rPr>
          <w:sz w:val="20"/>
          <w:szCs w:val="20"/>
          <w:color w:val="auto"/>
        </w:rPr>
      </w:pPr>
    </w:p>
    <w:p>
      <w:pPr>
        <w:jc w:val="both"/>
        <w:ind w:firstLine="193"/>
        <w:spacing w:after="0" w:line="249" w:lineRule="auto"/>
        <w:rPr>
          <w:sz w:val="20"/>
          <w:szCs w:val="20"/>
          <w:color w:val="auto"/>
        </w:rPr>
      </w:pPr>
      <w:r>
        <w:rPr>
          <w:rFonts w:ascii="Arial" w:cs="Arial" w:eastAsia="Arial" w:hAnsi="Arial"/>
          <w:sz w:val="16"/>
          <w:szCs w:val="16"/>
          <w:color w:val="auto"/>
        </w:rPr>
        <w:t>During the three months ended March 31, 2021 we derived approximately 41.1%, 49.9% and 9.0% of our revenue in the United States, Europe and Rest of World respectively. During the three months ended March 31, 2021, $394.2 million or 45.9% of our revenues were derived from our top 5 customers. Revenue from our largest customer contributed 19.1% of revenue for the quarter. Revenue from our second largest customer contributed 11.1% of revenue for the quarter. This reflects the operation of significant COVID-19 trials during the quarter for these customers. New customer accounts are continually added, particularly from mid-tier pharma customers and biotech customers, which over time will result in a reduction in concentration of revenues from our top 5 customers.</w:t>
      </w:r>
    </w:p>
    <w:p>
      <w:pPr>
        <w:spacing w:after="0" w:line="232" w:lineRule="exact"/>
        <w:rPr>
          <w:sz w:val="20"/>
          <w:szCs w:val="20"/>
          <w:color w:val="auto"/>
        </w:rPr>
      </w:pPr>
    </w:p>
    <w:p>
      <w:pPr>
        <w:jc w:val="both"/>
        <w:ind w:firstLine="247"/>
        <w:spacing w:after="0" w:line="249" w:lineRule="auto"/>
        <w:rPr>
          <w:sz w:val="20"/>
          <w:szCs w:val="20"/>
          <w:color w:val="auto"/>
        </w:rPr>
      </w:pPr>
      <w:r>
        <w:rPr>
          <w:rFonts w:ascii="Arial" w:cs="Arial" w:eastAsia="Arial" w:hAnsi="Arial"/>
          <w:sz w:val="16"/>
          <w:szCs w:val="16"/>
          <w:color w:val="auto"/>
        </w:rPr>
        <w:t xml:space="preserve">Revenue in Ireland for the three months ended March 31, 2021 decreased to $308.1 million compared to $315.0 million for the three months ended March 31, 2020. Revenue in Ireland is principally a function of the Company’s global transfer pricing model (see </w:t>
      </w:r>
      <w:r>
        <w:rPr>
          <w:rFonts w:ascii="Arial" w:cs="Arial" w:eastAsia="Arial" w:hAnsi="Arial"/>
          <w:sz w:val="16"/>
          <w:szCs w:val="16"/>
          <w:i w:val="1"/>
          <w:iCs w:val="1"/>
          <w:color w:val="auto"/>
        </w:rPr>
        <w:t>note 14 - Business segment information</w:t>
      </w:r>
      <w:r>
        <w:rPr>
          <w:rFonts w:ascii="Arial" w:cs="Arial" w:eastAsia="Arial" w:hAnsi="Arial"/>
          <w:sz w:val="16"/>
          <w:szCs w:val="16"/>
          <w:color w:val="auto"/>
        </w:rPr>
        <w:t xml:space="preserve"> for further details). Revenue in our Rest of Europe region increased to $120.4 million compared to $102.4 million for the three months ended March 31, 2020. Revenue in the Rest of World region increased to $77.2 million compared to $72.2 million for the three months ended March 31, 2020. Revenue in the U.S. region increased to $352.5 million from $225.5 million for the three months ended March 31, 2020 driven by the operation of significant COVID-19 trials during the quarter in this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96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shd w:val="clear" w:color="auto" w:fill="CCEEFF"/>
          </w:tcPr>
          <w:p>
            <w:pPr>
              <w:spacing w:after="0"/>
              <w:rPr>
                <w:sz w:val="16"/>
                <w:szCs w:val="16"/>
                <w:color w:val="auto"/>
              </w:rPr>
            </w:pPr>
          </w:p>
        </w:tc>
      </w:tr>
      <w:tr>
        <w:trPr>
          <w:trHeight w:val="216"/>
        </w:trPr>
        <w:tc>
          <w:tcPr>
            <w:tcW w:w="6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March 31,</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0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626,244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505,293</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120,951</w:t>
            </w:r>
          </w:p>
        </w:tc>
      </w:tr>
      <w:tr>
        <w:trPr>
          <w:trHeight w:val="210"/>
        </w:trPr>
        <w:tc>
          <w:tcPr>
            <w:tcW w:w="65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73.0 %</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70.7 %</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23.9 %</w:t>
            </w:r>
          </w:p>
        </w:tc>
      </w:tr>
    </w:tbl>
    <w:p>
      <w:pPr>
        <w:spacing w:after="0" w:line="345" w:lineRule="exact"/>
        <w:rPr>
          <w:sz w:val="20"/>
          <w:szCs w:val="20"/>
          <w:color w:val="auto"/>
        </w:rPr>
      </w:pPr>
    </w:p>
    <w:p>
      <w:pPr>
        <w:jc w:val="both"/>
        <w:ind w:firstLine="261"/>
        <w:spacing w:after="0" w:line="248" w:lineRule="auto"/>
        <w:rPr>
          <w:sz w:val="20"/>
          <w:szCs w:val="20"/>
          <w:color w:val="auto"/>
        </w:rPr>
      </w:pPr>
      <w:r>
        <w:rPr>
          <w:rFonts w:ascii="Arial" w:cs="Arial" w:eastAsia="Arial" w:hAnsi="Arial"/>
          <w:sz w:val="16"/>
          <w:szCs w:val="16"/>
          <w:color w:val="auto"/>
        </w:rPr>
        <w:t>Direct costs consist primarily of investigator and other reimbursable costs, compensation, associated fringe benefits and share based compensation expense for project-related employees and other direct project driven costs. Direct costs for the three months ended March 31, 2021 increased by $121.0 million, or 23.9%, to $626.2 million compared to $505.3 million for the three months ended March 31, 2020. The increase in direct costs relates to an increase in third party investigator and other reimbursable costs, an increase in personnel related expenditure and an increase in laboratory costs during the period. As a percentage of revenue, direct costs were 73.0% for the three months ended March 31, 2021 compared to 70.7% for the three months ended March 31, 2020. The increase in direct costs as a percentage of revenue reflect the different activity mix for the three months ended March 31, 2021 compared to the three months ended March 31, 2020.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0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96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shd w:val="clear" w:color="auto" w:fill="CCEEFF"/>
          </w:tcPr>
          <w:p>
            <w:pPr>
              <w:spacing w:after="0"/>
              <w:rPr>
                <w:sz w:val="16"/>
                <w:szCs w:val="16"/>
                <w:color w:val="auto"/>
              </w:rPr>
            </w:pPr>
          </w:p>
        </w:tc>
      </w:tr>
      <w:tr>
        <w:trPr>
          <w:trHeight w:val="216"/>
        </w:trPr>
        <w:tc>
          <w:tcPr>
            <w:tcW w:w="65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98,535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87,196</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11,339</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11.5 %</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12.2 %</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13.0 %</w:t>
            </w:r>
          </w:p>
        </w:tc>
      </w:tr>
    </w:tbl>
    <w:p>
      <w:pPr>
        <w:spacing w:after="0" w:line="2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Selling, general and administrative expenses also includes $12.5 million relating to the transaction costs incurred associated with the PRA merger. Selling, general and administrative expenses for the three months ended March 31, 2021 increased by $11.3 million, or 13%, to $98.5 million, compared to $87.2 million for the three months ended March 31, 2020. As a percentage of revenue, selling, general and administrative expenses decreased to 11.5% compared to 12.2% for the three months ended March 31, 2020. Excluding transaction costs, the selling, general and administrative expenses for the three months ended March 31, 2021 decreased by $1.2 million, or 1.3%, to $86.0 million, compared to $87.2 million for the three months ended March 31, 2020.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0" w:type="dxa"/>
            <w:vAlign w:val="bottom"/>
            <w:gridSpan w:val="4"/>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shd w:val="clear" w:color="auto" w:fill="CCEEFF"/>
          </w:tcPr>
          <w:p>
            <w:pPr>
              <w:spacing w:after="0"/>
              <w:rPr>
                <w:sz w:val="16"/>
                <w:szCs w:val="16"/>
                <w:color w:val="auto"/>
              </w:rPr>
            </w:pPr>
          </w:p>
        </w:tc>
      </w:tr>
      <w:tr>
        <w:trPr>
          <w:trHeight w:val="216"/>
        </w:trPr>
        <w:tc>
          <w:tcPr>
            <w:tcW w:w="6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March 31,</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12,722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11,413</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1,309</w:t>
            </w: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1.5 %</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11.5 %</w:t>
            </w:r>
          </w:p>
        </w:tc>
      </w:t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4,683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4,909</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0.5 %</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0.7 %</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r>
    </w:tbl>
    <w:p>
      <w:pPr>
        <w:spacing w:after="0" w:line="332" w:lineRule="exact"/>
        <w:rPr>
          <w:sz w:val="20"/>
          <w:szCs w:val="20"/>
          <w:color w:val="auto"/>
        </w:rPr>
      </w:pPr>
    </w:p>
    <w:p>
      <w:pPr>
        <w:jc w:val="both"/>
        <w:ind w:firstLine="207"/>
        <w:spacing w:after="0" w:line="253" w:lineRule="auto"/>
        <w:rPr>
          <w:sz w:val="20"/>
          <w:szCs w:val="20"/>
          <w:color w:val="auto"/>
        </w:rPr>
      </w:pPr>
      <w:r>
        <w:rPr>
          <w:rFonts w:ascii="Arial" w:cs="Arial" w:eastAsia="Arial" w:hAnsi="Arial"/>
          <w:sz w:val="16"/>
          <w:szCs w:val="16"/>
          <w:color w:val="auto"/>
        </w:rPr>
        <w:t>Depreciation expense arises principally from investment in facilities, information systems and equipment to support the Company’s growth. Depreciation expense for the three months ended March 31, 2021 increased by $1.3 million, or 11.5%, to $12.7 million compared to $11.4 million for the three months ended March 31, 2020. As a percentage of revenue the depreciation expense was 1.5%, which is consistent with the three months ended March 31, 2020.</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Amortization expense represents the amortization of intangible assets acquired on business combinations. Amortization of intangibles for the three months ended March 31, 2021 decreased by $0.2 million, or 4.6%, to $4.7 million compared to $4.9 million for the three months ended March 31, 2020. As a percentage of revenue, amortization expense decreased to 0.5%, compared to 0.7% for the three months ended March 31, 2020. The decrease in the amortization expense for the three months ended March 31, 2021 was driven by certain intangible assets becoming fully amortized over the last year.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20" w:type="dxa"/>
            <w:vAlign w:val="bottom"/>
            <w:gridSpan w:val="4"/>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shd w:val="clear" w:color="auto" w:fill="CCEEFF"/>
          </w:tcPr>
          <w:p>
            <w:pPr>
              <w:spacing w:after="0"/>
              <w:rPr>
                <w:sz w:val="16"/>
                <w:szCs w:val="16"/>
                <w:color w:val="auto"/>
              </w:rPr>
            </w:pPr>
          </w:p>
        </w:tc>
      </w:tr>
      <w:tr>
        <w:trPr>
          <w:trHeight w:val="216"/>
        </w:trPr>
        <w:tc>
          <w:tcPr>
            <w:tcW w:w="65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0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116,014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106,291</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9,723</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14.9 %</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(excl. transaction costs)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128,515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106,291</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22,224</w:t>
            </w: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 of revenue (excl. transaction costs)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14.9 %</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20.9 %</w:t>
            </w:r>
          </w:p>
        </w:tc>
      </w:tr>
    </w:tbl>
    <w:p>
      <w:pPr>
        <w:spacing w:after="0" w:line="332"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Income from operations for the three months ended March 31, 2021 increased by $9.7 million ($22.2 million excluding transaction costs), or 9.1%, to $116.0 million ($128.5 million excluding transaction costs) compared to $106.3 million for the three months ended March 31, 2020. As a percentage of revenue, income from operations decreased to 13.5% (increased to 15.0% excluding transaction costs) compared to 14.9% of revenue for the three months ended March 31, 2020.</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Income from operations in Ireland increased to a profit of $88.9 million compared to a profit of $73.9 million for the three months ended March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2020. Income from operations in Ireland is impacted by the Group’s global transfer pricing model </w:t>
      </w:r>
      <w:r>
        <w:rPr>
          <w:rFonts w:ascii="Arial" w:cs="Arial" w:eastAsia="Arial" w:hAnsi="Arial"/>
          <w:sz w:val="16"/>
          <w:szCs w:val="16"/>
          <w:i w:val="1"/>
          <w:iCs w:val="1"/>
          <w:color w:val="auto"/>
        </w:rPr>
        <w:t>(see note 14 - Business segment information</w:t>
      </w:r>
      <w:r>
        <w:rPr>
          <w:rFonts w:ascii="Arial" w:cs="Arial" w:eastAsia="Arial" w:hAnsi="Arial"/>
          <w:sz w:val="16"/>
          <w:szCs w:val="16"/>
          <w:color w:val="auto"/>
        </w:rPr>
        <w:t xml:space="preserve"> for further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details)</w:t>
      </w:r>
      <w:r>
        <w:rPr>
          <w:rFonts w:ascii="Arial" w:cs="Arial" w:eastAsia="Arial" w:hAnsi="Arial"/>
          <w:sz w:val="16"/>
          <w:szCs w:val="16"/>
          <w:i w:val="1"/>
          <w:iCs w:val="1"/>
          <w:color w:val="auto"/>
        </w:rPr>
        <w:t>.</w:t>
      </w:r>
      <w:r>
        <w:rPr>
          <w:rFonts w:ascii="Arial" w:cs="Arial" w:eastAsia="Arial" w:hAnsi="Arial"/>
          <w:sz w:val="16"/>
          <w:szCs w:val="16"/>
          <w:color w:val="auto"/>
        </w:rPr>
        <w:t xml:space="preserve"> Income from operations in our Rest of Europe region decreased to $7.6 million compared to $10.7 million for the three months ended March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 Income from operations in our Rest of World region decreased to $6.3 million compared to $7.8 million for the three months ended March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 Income from operations in the U.S. region decreased to $13.2 million compared to $13.9 million for the three months ended March 31,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(1,552)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(2,727)</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(3,181)</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619"/>
              <w:spacing w:after="0"/>
              <w:rPr>
                <w:sz w:val="20"/>
                <w:szCs w:val="20"/>
                <w:color w:val="auto"/>
              </w:rPr>
            </w:pPr>
            <w:r>
              <w:rPr>
                <w:rFonts w:ascii="Arial" w:cs="Arial" w:eastAsia="Arial" w:hAnsi="Arial"/>
                <w:sz w:val="16"/>
                <w:szCs w:val="16"/>
                <w:color w:val="auto"/>
              </w:rPr>
              <w:t>454</w:t>
            </w:r>
          </w:p>
        </w:tc>
        <w:tc>
          <w:tcPr>
            <w:tcW w:w="86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income for the three months ended March 31, 2021 decreased to $0.3 million, compared to $1.8 million for the three months ended March 31, 2020. Interest expense for the three months ended March 31, 2021 decreased to $2.7 million ($2.4 million excluding transaction related costs), compared to $3.2 million for the three months ended March 31, 2020.</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560" w:type="dxa"/>
            <w:vAlign w:val="bottom"/>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16,148</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12,590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3,558</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14.2 %</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28.3 %</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(excl. transaction costs)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16,432</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12,590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3,842</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color w:val="auto"/>
              </w:rPr>
              <w:t>Effective income tax rate (excl. transaction costs)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13.0 %</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30.5 %</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firstLine="220"/>
        <w:spacing w:after="0" w:line="251" w:lineRule="auto"/>
        <w:rPr>
          <w:sz w:val="20"/>
          <w:szCs w:val="20"/>
          <w:color w:val="auto"/>
        </w:rPr>
      </w:pPr>
      <w:r>
        <w:rPr>
          <w:rFonts w:ascii="Arial" w:cs="Arial" w:eastAsia="Arial" w:hAnsi="Arial"/>
          <w:sz w:val="16"/>
          <w:szCs w:val="16"/>
          <w:color w:val="auto"/>
        </w:rPr>
        <w:t>Provision for income taxes increased to $16.1 million ($16.4 million excluding transaction costs), compared to $12.6 million for the three months ended March 31, 2020. The Company’s effective tax rate for the three months ended March 31, 2021 was 14.2% (13.0% excluding transaction costs) compared with 12.0% for the three months ended March 31, 2020. The Company’s effective tax rate remains principally a function of the distribution of pre-tax profits amongst the territories in which it operates.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jc w:val="both"/>
        <w:ind w:firstLine="199"/>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jc w:val="both"/>
        <w:ind w:firstLine="246"/>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Balance</w:t>
            </w: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Drawn</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Net cash</w:t>
            </w: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Other non-</w:t>
            </w: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Effect of</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December</w:t>
            </w:r>
          </w:p>
        </w:tc>
        <w:tc>
          <w:tcPr>
            <w:tcW w:w="108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down/</w:t>
            </w:r>
          </w:p>
        </w:tc>
        <w:tc>
          <w:tcPr>
            <w:tcW w:w="1220" w:type="dxa"/>
            <w:vAlign w:val="bottom"/>
            <w:shd w:val="clear" w:color="auto" w:fill="CCEEFF"/>
          </w:tcPr>
          <w:p>
            <w:pPr>
              <w:jc w:val="right"/>
              <w:ind w:right="199"/>
              <w:spacing w:after="0" w:line="162" w:lineRule="exact"/>
              <w:rPr>
                <w:sz w:val="20"/>
                <w:szCs w:val="20"/>
                <w:color w:val="auto"/>
              </w:rPr>
            </w:pPr>
            <w:r>
              <w:rPr>
                <w:rFonts w:ascii="Arial" w:cs="Arial" w:eastAsia="Arial" w:hAnsi="Arial"/>
                <w:sz w:val="16"/>
                <w:szCs w:val="16"/>
                <w:b w:val="1"/>
                <w:bCs w:val="1"/>
                <w:color w:val="auto"/>
              </w:rPr>
              <w:t>inflow/</w:t>
            </w:r>
          </w:p>
        </w:tc>
        <w:tc>
          <w:tcPr>
            <w:tcW w:w="1520" w:type="dxa"/>
            <w:vAlign w:val="bottom"/>
            <w:shd w:val="clear" w:color="auto" w:fill="CCEEFF"/>
          </w:tcPr>
          <w:p>
            <w:pPr>
              <w:jc w:val="right"/>
              <w:ind w:right="219"/>
              <w:spacing w:after="0" w:line="162" w:lineRule="exact"/>
              <w:rPr>
                <w:sz w:val="20"/>
                <w:szCs w:val="20"/>
                <w:color w:val="auto"/>
              </w:rPr>
            </w:pPr>
            <w:r>
              <w:rPr>
                <w:rFonts w:ascii="Arial" w:cs="Arial" w:eastAsia="Arial" w:hAnsi="Arial"/>
                <w:sz w:val="16"/>
                <w:szCs w:val="16"/>
                <w:b w:val="1"/>
                <w:bCs w:val="1"/>
                <w:color w:val="auto"/>
              </w:rPr>
              <w:t>cash</w:t>
            </w:r>
          </w:p>
        </w:tc>
        <w:tc>
          <w:tcPr>
            <w:tcW w:w="1340" w:type="dxa"/>
            <w:vAlign w:val="bottom"/>
            <w:shd w:val="clear" w:color="auto" w:fill="CCEEFF"/>
          </w:tcPr>
          <w:p>
            <w:pPr>
              <w:jc w:val="right"/>
              <w:ind w:right="219"/>
              <w:spacing w:after="0" w:line="162" w:lineRule="exact"/>
              <w:rPr>
                <w:sz w:val="20"/>
                <w:szCs w:val="20"/>
                <w:color w:val="auto"/>
              </w:rPr>
            </w:pPr>
            <w:r>
              <w:rPr>
                <w:rFonts w:ascii="Arial" w:cs="Arial" w:eastAsia="Arial" w:hAnsi="Arial"/>
                <w:sz w:val="16"/>
                <w:szCs w:val="16"/>
                <w:b w:val="1"/>
                <w:bCs w:val="1"/>
                <w:color w:val="auto"/>
              </w:rPr>
              <w:t>exchange</w:t>
            </w:r>
          </w:p>
        </w:tc>
        <w:tc>
          <w:tcPr>
            <w:tcW w:w="1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31, 2020</w:t>
            </w: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(repaid)</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(outflow)</w:t>
            </w:r>
          </w:p>
        </w:tc>
        <w:tc>
          <w:tcPr>
            <w:tcW w:w="15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3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rates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 (in thousands)</w:t>
            </w: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7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840,305</w:t>
            </w:r>
          </w:p>
        </w:tc>
        <w:tc>
          <w:tcPr>
            <w:tcW w:w="10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102,617</w:t>
            </w:r>
          </w:p>
        </w:tc>
        <w:tc>
          <w:tcPr>
            <w:tcW w:w="15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(467)</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942,455</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740" w:type="dxa"/>
            <w:vAlign w:val="bottom"/>
          </w:tcPr>
          <w:p>
            <w:pPr>
              <w:jc w:val="right"/>
              <w:ind w:right="219"/>
              <w:spacing w:after="0"/>
              <w:rPr>
                <w:sz w:val="20"/>
                <w:szCs w:val="20"/>
                <w:color w:val="auto"/>
              </w:rPr>
            </w:pPr>
            <w:r>
              <w:rPr>
                <w:rFonts w:ascii="Arial" w:cs="Arial" w:eastAsia="Arial" w:hAnsi="Arial"/>
                <w:sz w:val="16"/>
                <w:szCs w:val="16"/>
                <w:color w:val="auto"/>
              </w:rPr>
              <w:t>1,729</w:t>
            </w:r>
          </w:p>
        </w:tc>
        <w:tc>
          <w:tcPr>
            <w:tcW w:w="1080" w:type="dxa"/>
            <w:vAlign w:val="bottom"/>
          </w:tcPr>
          <w:p>
            <w:pPr>
              <w:ind w:left="6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1,729</w:t>
            </w:r>
          </w:p>
        </w:tc>
        <w:tc>
          <w:tcPr>
            <w:tcW w:w="0" w:type="dxa"/>
            <w:vAlign w:val="bottom"/>
          </w:tcPr>
          <w:p>
            <w:pPr>
              <w:spacing w:after="0"/>
              <w:rPr>
                <w:sz w:val="1"/>
                <w:szCs w:val="1"/>
                <w:color w:val="auto"/>
              </w:rPr>
            </w:pPr>
          </w:p>
        </w:tc>
      </w:tr>
      <w:tr>
        <w:trPr>
          <w:trHeight w:val="224"/>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Private placement notes</w:t>
            </w:r>
          </w:p>
        </w:tc>
        <w:tc>
          <w:tcPr>
            <w:tcW w:w="1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(348,477)</w:t>
            </w: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(115)</w:t>
            </w: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(348,592)</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8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493,557</w:t>
            </w: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102,617</w:t>
            </w: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(115)</w:t>
            </w:r>
          </w:p>
        </w:tc>
        <w:tc>
          <w:tcPr>
            <w:tcW w:w="13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(467)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595,592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both"/>
        <w:ind w:firstLine="204"/>
        <w:spacing w:after="0" w:line="251" w:lineRule="auto"/>
        <w:rPr>
          <w:sz w:val="20"/>
          <w:szCs w:val="20"/>
          <w:color w:val="auto"/>
        </w:rPr>
      </w:pPr>
      <w:r>
        <w:rPr>
          <w:rFonts w:ascii="Arial" w:cs="Arial" w:eastAsia="Arial" w:hAnsi="Arial"/>
          <w:sz w:val="16"/>
          <w:szCs w:val="16"/>
          <w:color w:val="auto"/>
        </w:rPr>
        <w:t>The Company’s cash and short term investment balances at March 31, 2021 amounted to $944.2 million compared with cash and short term investment balances of $842.0 million at December 31, 2020. The Company’s cash and short term investment balances at March 31, 2021 comprised of cash and cash equivalents of $942.5 million and short-term investments of $1.7 million. The Company’s cash and short term investment balances at December 31, 2020 comprised of cash and cash equivalents of $840.3 million and short-term investments of $1.7 million.</w:t>
      </w:r>
    </w:p>
    <w:p>
      <w:pPr>
        <w:spacing w:after="0" w:line="229" w:lineRule="exact"/>
        <w:rPr>
          <w:sz w:val="20"/>
          <w:szCs w:val="20"/>
          <w:color w:val="auto"/>
        </w:rPr>
      </w:pPr>
    </w:p>
    <w:p>
      <w:pPr>
        <w:jc w:val="both"/>
        <w:ind w:firstLine="247"/>
        <w:spacing w:after="0" w:line="251"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matured on December 15, 2020. Interest payable was fixed at 3.64%, and was payable semi-annually on the Senior Notes on each June 15 and December 15, commencing June 15, 2016. The Senior Notes were guaranteed by ICON plc. The 2015 Senior Notes matured on December 15, 2020 and were repaid in full.</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On December 8, 2020, ICON Investments Five Unlimited Company issued new senior notes, '2020 Senior Notes' for aggregate gross proceeds of $350.0 million in a private placement which was guaranteed by ICON plc. The 2020 Senior Notes were issued in two tranches; Series A Notes of $275.0 million which will mature on December 8, 2023 and Series B Notes of $75.0 million which will mature on December 8, 2025. Interest payable on the 2020 Senior Notes is fixed at 2.32% and 2.43% for Series A Notes and Series B Notes respectively. The interest is payable semi-annually on the 2020 Senior Notes on each June 8 and December 8, which will commence on June 8, 2021. The Company entered into an interest rate hedge in respect of the planned issuance of the 2020 Senior Notes in June 2020. The interest rate hedge matured in July 2020 when the interest rates on the 2020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There was a cash outflow on maturity in July 2020 of $0.9 million, representing the realized loss on the interest rate hedge.</w:t>
      </w:r>
    </w:p>
    <w:p>
      <w:pPr>
        <w:spacing w:after="0" w:line="2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Merger Agreement to acquire PRA, the Company will be required to repay the 2020 Senior Notes prior to the draw down of funding to acquire PRA. The funding to replace the 2020 Senior Notes and acquire PRA will consist of a senior secured revolving credit facility in an aggregate principal amount of up to $300.0 million and a senior secured bridge loan facility in an aggregate principal amount of up to $6,060.0 million. The 2020 Senior Notes will continue to be presented as non-current until the occurrence of any contractual event which alters this arrangement.</w:t>
      </w:r>
    </w:p>
    <w:p>
      <w:pPr>
        <w:spacing w:after="0" w:line="229" w:lineRule="exact"/>
        <w:rPr>
          <w:sz w:val="20"/>
          <w:szCs w:val="20"/>
          <w:color w:val="auto"/>
        </w:rPr>
      </w:pPr>
    </w:p>
    <w:p>
      <w:pPr>
        <w:jc w:val="both"/>
        <w:ind w:firstLine="197"/>
        <w:spacing w:after="0" w:line="250" w:lineRule="auto"/>
        <w:rPr>
          <w:sz w:val="20"/>
          <w:szCs w:val="20"/>
          <w:color w:val="auto"/>
        </w:rPr>
      </w:pPr>
      <w:r>
        <w:rPr>
          <w:rFonts w:ascii="Arial" w:cs="Arial" w:eastAsia="Arial" w:hAnsi="Arial"/>
          <w:sz w:val="16"/>
          <w:szCs w:val="16"/>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$ 30.0 million to the facility, with equal terms and conditions in place with all institutions. The facility is guaranteed by ICON plc. The facility bears interest at LIBOR plus a margin. No amounts were drawn at March 31, 2021, or at December 31, 2020, in respect of the Revolving Credit Facility. Amounts available to the Group under the facility at March 31, 2021 and at December 31, 2020 were $150.0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8" w:lineRule="exact"/>
        <w:rPr>
          <w:sz w:val="20"/>
          <w:szCs w:val="20"/>
          <w:color w:val="auto"/>
        </w:rPr>
      </w:pPr>
    </w:p>
    <w:p>
      <w:pPr>
        <w:jc w:val="both"/>
        <w:ind w:firstLine="258"/>
        <w:spacing w:after="0" w:line="248" w:lineRule="auto"/>
        <w:rPr>
          <w:sz w:val="20"/>
          <w:szCs w:val="20"/>
          <w:color w:val="auto"/>
        </w:rPr>
      </w:pPr>
      <w:r>
        <w:rPr>
          <w:rFonts w:ascii="Arial" w:cs="Arial" w:eastAsia="Arial" w:hAnsi="Arial"/>
          <w:sz w:val="16"/>
          <w:szCs w:val="16"/>
          <w:color w:val="auto"/>
        </w:rPr>
        <w:t>Net cash provided by operating activities was $111.9 million for the three months ended March 31, 2021 compared with cash provided by operating activities of $142.8 million for the three months ended March 31, 2020. This reflects the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delivery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2021 was 49 days compared with 57 days at December 31, 2020 and 74 days at March 31, 2020. This reflects the timing of cash collections.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68"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Net cash used in investing activities was $9.3 million for the three months ended March 31, 2021 compared to net cash used in investing activities of $0.8 million for the three months ended March 31, 2020. During the three months ended March 31, 2021, capital expenditure of $8.7 million was made mainly relating to investment in facilities and IT infrastructure. In addition, $0.6 million was used for the purchase of investments in equity.</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Net cash used in investing activities during the three months ended March 31, 2020 was largely attributable to cash outflows on the acquisition of MedPass of $47.0 million on January 22, 2020, cash outflows of $0.3 million in relation to the working capital adjustment on the acquisition of Symphony which was acquired on September 24, 2019. These were offset in part by cash acquired of $10.2 million. In addition capital expenditure of $11.3 million was made which was mainly comprised of investment in facilities and IT infrastructure. In addition $0.2 million was used for the purchase of investments in equity. During the three months ended March 31, 2020 $47.9 million was generated by the sale of short term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8" w:lineRule="exact"/>
        <w:rPr>
          <w:sz w:val="20"/>
          <w:szCs w:val="20"/>
          <w:color w:val="auto"/>
        </w:rPr>
      </w:pPr>
    </w:p>
    <w:p>
      <w:pPr>
        <w:jc w:val="both"/>
        <w:ind w:firstLine="191"/>
        <w:spacing w:after="0" w:line="250" w:lineRule="auto"/>
        <w:rPr>
          <w:sz w:val="20"/>
          <w:szCs w:val="20"/>
          <w:color w:val="auto"/>
        </w:rPr>
      </w:pPr>
      <w:r>
        <w:rPr>
          <w:rFonts w:ascii="Arial" w:cs="Arial" w:eastAsia="Arial" w:hAnsi="Arial"/>
          <w:sz w:val="16"/>
          <w:szCs w:val="16"/>
          <w:color w:val="auto"/>
        </w:rPr>
        <w:t>Net cash used in financing activities during the three months ended March 31, 2021 amounted to $Nil compared to net cash used in financing activities of $174.3 million for the three months ended March 31, 2020. Cash outflows in respect of financing includes cash payments in respect of the Company’s share repurchase program totaling $Nil during the three months ended March 31, 2021. In addition, $Nil was received by the Company from the exercise of share options. During the three months ended March 31, 2020, $175.0 million was recognized in relation to the Company's share repurchase program. In addition, $0.9 million was received by the Company from the exercise of share options.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68" w:lineRule="exact"/>
        <w:rPr>
          <w:sz w:val="20"/>
          <w:szCs w:val="20"/>
          <w:color w:val="auto"/>
        </w:rPr>
      </w:pPr>
    </w:p>
    <w:p>
      <w:pPr>
        <w:jc w:val="both"/>
        <w:ind w:firstLine="257"/>
        <w:spacing w:after="0" w:line="260" w:lineRule="auto"/>
        <w:rPr>
          <w:sz w:val="20"/>
          <w:szCs w:val="20"/>
          <w:color w:val="auto"/>
        </w:rPr>
      </w:pPr>
      <w:r>
        <w:rPr>
          <w:rFonts w:ascii="Arial" w:cs="Arial" w:eastAsia="Arial" w:hAnsi="Arial"/>
          <w:sz w:val="16"/>
          <w:szCs w:val="16"/>
          <w:color w:val="auto"/>
        </w:rPr>
        <w:t>As a result of these cash flows, cash and cash equivalents increased by $102.2 million for the three months ended March 31, 2021 compared to a decrease of $37.9 million for the three months ended March 31,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On April 20, 2020, an individual named Chrystal Miller (“Miller”) who previously worked for a subsidiary of the Company, ICON Clinical Research LLC (“ICON Clinical”), filed a putative class action lawsuit, Chrystal Miller v. ICON plc et al., in the Superior Court of California, County of San Mateo. Her lawsuit was brought against the Company, ICON Clinical, DOCS Global, Inc., a subsidiary of the Company, and an individual former employee of ICON Clinical (collectively, “the ICON defendants”). The complaint alleges that the ICON defendants violated the California Labor Code and the California Business</w:t>
      </w:r>
    </w:p>
    <w:p>
      <w:pPr>
        <w:spacing w:after="0" w:line="3" w:lineRule="exact"/>
        <w:rPr>
          <w:sz w:val="20"/>
          <w:szCs w:val="20"/>
          <w:color w:val="auto"/>
        </w:rPr>
      </w:pPr>
    </w:p>
    <w:p>
      <w:pPr>
        <w:jc w:val="both"/>
        <w:ind w:firstLine="8"/>
        <w:spacing w:after="0" w:line="233" w:lineRule="auto"/>
        <w:tabs>
          <w:tab w:leader="none" w:pos="165"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Professions Code by failing to pay overtime wages, provide meal and rest periods, provide accurate, itemized wage statements, and timely pay all final wages to Clinical Research Associates employed in California since April 20, 2016. The suit seeks monetary damages, interest, injunctive relief, and attorneys’ fees and costs. On June 22, 2020, the case was removed to the U.S. District Court, Northern District of California. On November 4, 2020, the federal court remanded the case to San Mateo Superior Court. On December 23, 2020, ICON Clinical filed a cross-complaint against Miller alleging causes of action for fraud, negligent misrepresentation, conversion, breach of contract, and accounting. The ICON defendants deny the allegations that they have acted unlawfully and are vigorously defending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ind w:firstLine="648"/>
        <w:spacing w:after="0" w:line="237" w:lineRule="auto"/>
        <w:rPr>
          <w:sz w:val="20"/>
          <w:szCs w:val="20"/>
          <w:color w:val="auto"/>
        </w:rPr>
      </w:pPr>
      <w:r>
        <w:rPr>
          <w:rFonts w:ascii="Arial" w:cs="Arial" w:eastAsia="Arial" w:hAnsi="Arial"/>
          <w:sz w:val="16"/>
          <w:szCs w:val="16"/>
          <w:color w:val="auto"/>
        </w:rPr>
        <w:t>We do not expect the Miller litigation or any other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68" w:lineRule="exact"/>
        <w:rPr>
          <w:sz w:val="20"/>
          <w:szCs w:val="20"/>
          <w:color w:val="auto"/>
        </w:rPr>
      </w:pPr>
    </w:p>
    <w:p>
      <w:pPr>
        <w:jc w:val="both"/>
        <w:ind w:firstLine="188"/>
        <w:spacing w:after="0" w:line="249" w:lineRule="auto"/>
        <w:rPr>
          <w:sz w:val="20"/>
          <w:szCs w:val="20"/>
          <w:color w:val="auto"/>
        </w:rPr>
      </w:pPr>
      <w:r>
        <w:rPr>
          <w:rFonts w:ascii="Arial" w:cs="Arial" w:eastAsia="Arial" w:hAnsi="Arial"/>
          <w:sz w:val="16"/>
          <w:szCs w:val="16"/>
          <w:color w:val="auto"/>
        </w:rPr>
        <w:t>Certain statements contained herein are forward looking statements.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Forward-looking statements are only as of the date they are made and we do not undertake any obligation to update publicly any forward-looking statement, either as a result of new information, future events or otherwise. Please also refer to the Form 20-F filed on February 24, 2021 for risks and uncertainties facing the Company.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277"/>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65" w:lineRule="exact"/>
        <w:rPr>
          <w:sz w:val="20"/>
          <w:szCs w:val="20"/>
          <w:color w:val="auto"/>
        </w:rPr>
      </w:pPr>
    </w:p>
    <w:p>
      <w:pPr>
        <w:ind w:left="790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231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6" w:lineRule="exact"/>
        <w:rPr>
          <w:sz w:val="20"/>
          <w:szCs w:val="20"/>
          <w:color w:val="auto"/>
        </w:rPr>
      </w:pPr>
    </w:p>
    <w:p>
      <w:pPr>
        <w:ind w:left="680" w:right="1740" w:hanging="7869"/>
        <w:spacing w:after="0" w:line="267" w:lineRule="auto"/>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30, 2021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9"/>
    </w:lvl>
  </w:abstractNum>
  <w:abstractNum w:abstractNumId="5">
    <w:nsid w:val="2EB141F2"/>
    <w:multiLevelType w:val="hybridMultilevel"/>
    <w:lvl w:ilvl="0">
      <w:lvlJc w:val="left"/>
      <w:lvlText w:val="*"/>
      <w:numFmt w:val="bullet"/>
      <w:start w:val="1"/>
    </w:lvl>
    <w:lvl w:ilvl="1">
      <w:lvlJc w:val="left"/>
      <w:lvlText w:val="%2)"/>
      <w:numFmt w:val="lowerLetter"/>
      <w:start w:val="2"/>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2021-04-30T06:02:39Z</dcterms:created>
  <dcterms:modified xsi:type="dcterms:W3CDTF">2021-04-30T06:02:39Z</dcterms:modified>
</cp:coreProperties>
</file>