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38" w:lineRule="auto"/>
        <w:rPr>
          <w:sz w:val="20"/>
          <w:szCs w:val="20"/>
          <w:color w:val="auto"/>
        </w:rPr>
      </w:pPr>
      <w:r>
        <w:rPr>
          <w:rFonts w:ascii="Courier New" w:cs="Courier New" w:eastAsia="Courier New" w:hAnsi="Courier New"/>
          <w:sz w:val="18"/>
          <w:szCs w:val="18"/>
          <w:color w:val="auto"/>
        </w:rPr>
        <w:t>Icon Plc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#G4705A100</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626,700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3,817,165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3,817,165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13.262%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#G4705A100</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3,817,165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3,817,165</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16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5"/>
              </w:rPr>
              <w:t>13.262%</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1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6" w:lineRule="exact"/>
        <w:rPr>
          <w:sz w:val="24"/>
          <w:szCs w:val="24"/>
          <w:color w:val="auto"/>
        </w:rPr>
      </w:pPr>
    </w:p>
    <w:p>
      <w:pPr>
        <w:jc w:val="both"/>
        <w:ind w:right="4519"/>
        <w:spacing w:after="0" w:line="236" w:lineRule="auto"/>
        <w:rPr>
          <w:sz w:val="20"/>
          <w:szCs w:val="20"/>
          <w:color w:val="auto"/>
        </w:rPr>
      </w:pPr>
      <w:r>
        <w:rPr>
          <w:rFonts w:ascii="Courier New" w:cs="Courier New" w:eastAsia="Courier New" w:hAnsi="Courier New"/>
          <w:sz w:val="18"/>
          <w:szCs w:val="18"/>
          <w:color w:val="auto"/>
        </w:rPr>
        <w:t>This Amendment to Schedule 13G filed by FMR LLC amends the statement on Schedule 13G previously filed by FMR Corp., the predecessor of FMR LLC.</w:t>
      </w:r>
    </w:p>
    <w:p>
      <w:pPr>
        <w:spacing w:after="0" w:line="200" w:lineRule="exact"/>
        <w:rPr>
          <w:sz w:val="24"/>
          <w:szCs w:val="24"/>
          <w:color w:val="auto"/>
        </w:rPr>
      </w:pPr>
    </w:p>
    <w:p>
      <w:pPr>
        <w:spacing w:after="0" w:line="206"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Icon Plc</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South Business Park</w:t>
      </w:r>
    </w:p>
    <w:p>
      <w:pPr>
        <w:ind w:left="1700"/>
        <w:spacing w:after="0" w:line="238" w:lineRule="auto"/>
        <w:rPr>
          <w:sz w:val="20"/>
          <w:szCs w:val="20"/>
          <w:color w:val="auto"/>
        </w:rPr>
      </w:pPr>
      <w:r>
        <w:rPr>
          <w:rFonts w:ascii="Courier New" w:cs="Courier New" w:eastAsia="Courier New" w:hAnsi="Courier New"/>
          <w:sz w:val="18"/>
          <w:szCs w:val="18"/>
          <w:color w:val="auto"/>
        </w:rPr>
        <w:t>Leopardstown</w:t>
      </w:r>
    </w:p>
    <w:p>
      <w:pPr>
        <w:ind w:left="1700"/>
        <w:spacing w:after="0"/>
        <w:rPr>
          <w:sz w:val="20"/>
          <w:szCs w:val="20"/>
          <w:color w:val="auto"/>
        </w:rPr>
      </w:pPr>
      <w:r>
        <w:rPr>
          <w:rFonts w:ascii="Courier New" w:cs="Courier New" w:eastAsia="Courier New" w:hAnsi="Courier New"/>
          <w:sz w:val="18"/>
          <w:szCs w:val="18"/>
          <w:color w:val="auto"/>
        </w:rPr>
        <w:t>Dublin 18, Ireland</w:t>
      </w:r>
    </w:p>
    <w:p>
      <w:pPr>
        <w:spacing w:after="0" w:line="200" w:lineRule="exact"/>
        <w:rPr>
          <w:sz w:val="24"/>
          <w:szCs w:val="24"/>
          <w:color w:val="auto"/>
        </w:rPr>
      </w:pPr>
    </w:p>
    <w:p>
      <w:pPr>
        <w:spacing w:after="0" w:line="203"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G4705A100</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ectPr>
          <w:pgSz w:w="11900" w:h="16838" w:orient="portrait"/>
          <w:cols w:equalWidth="0" w:num="1">
            <w:col w:w="10219"/>
          </w:cols>
          <w:pgMar w:left="240" w:top="244"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860" w:type="dxa"/>
            <w:vAlign w:val="bottom"/>
            <w:gridSpan w:val="2"/>
          </w:tcPr>
          <w:p>
            <w:pPr>
              <w:spacing w:after="0"/>
              <w:rPr>
                <w:sz w:val="20"/>
                <w:szCs w:val="20"/>
                <w:color w:val="auto"/>
              </w:rPr>
            </w:pPr>
            <w:r>
              <w:rPr>
                <w:rFonts w:ascii="Courier New" w:cs="Courier New" w:eastAsia="Courier New" w:hAnsi="Courier New"/>
                <w:sz w:val="18"/>
                <w:szCs w:val="18"/>
                <w:color w:val="auto"/>
              </w:rPr>
              <w:t>Item 4. Ownership</w:t>
            </w:r>
          </w:p>
        </w:tc>
        <w:tc>
          <w:tcPr>
            <w:tcW w:w="11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(a)</w:t>
            </w:r>
          </w:p>
        </w:tc>
        <w:tc>
          <w:tcPr>
            <w:tcW w:w="358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Amount Beneficially Owned:</w:t>
            </w: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3,817,165</w:t>
            </w:r>
          </w:p>
        </w:tc>
      </w:tr>
      <w:tr>
        <w:trPr>
          <w:trHeight w:val="405"/>
        </w:trPr>
        <w:tc>
          <w:tcPr>
            <w:tcW w:w="1440" w:type="dxa"/>
            <w:vAlign w:val="bottom"/>
          </w:tcPr>
          <w:p>
            <w:pPr>
              <w:ind w:left="860"/>
              <w:spacing w:after="0"/>
              <w:rPr>
                <w:sz w:val="20"/>
                <w:szCs w:val="20"/>
                <w:color w:val="auto"/>
              </w:rPr>
            </w:pPr>
            <w:r>
              <w:rPr>
                <w:rFonts w:ascii="Courier New" w:cs="Courier New" w:eastAsia="Courier New" w:hAnsi="Courier New"/>
                <w:sz w:val="18"/>
                <w:szCs w:val="18"/>
                <w:color w:val="auto"/>
              </w:rPr>
              <w:t>(b)</w:t>
            </w:r>
          </w:p>
        </w:tc>
        <w:tc>
          <w:tcPr>
            <w:tcW w:w="2420" w:type="dxa"/>
            <w:vAlign w:val="bottom"/>
          </w:tcPr>
          <w:p>
            <w:pPr>
              <w:ind w:left="260"/>
              <w:spacing w:after="0"/>
              <w:rPr>
                <w:sz w:val="20"/>
                <w:szCs w:val="20"/>
                <w:color w:val="auto"/>
              </w:rPr>
            </w:pPr>
            <w:r>
              <w:rPr>
                <w:rFonts w:ascii="Courier New" w:cs="Courier New" w:eastAsia="Courier New" w:hAnsi="Courier New"/>
                <w:sz w:val="18"/>
                <w:szCs w:val="18"/>
                <w:color w:val="auto"/>
              </w:rPr>
              <w:t>Percent of Class:</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13.262%</w:t>
            </w:r>
          </w:p>
        </w:tc>
        <w:tc>
          <w:tcPr>
            <w:tcW w:w="1000" w:type="dxa"/>
            <w:vAlign w:val="bottom"/>
          </w:tcPr>
          <w:p>
            <w:pPr>
              <w:spacing w:after="0"/>
              <w:rPr>
                <w:sz w:val="24"/>
                <w:szCs w:val="24"/>
                <w:color w:val="auto"/>
              </w:rPr>
            </w:pPr>
          </w:p>
        </w:tc>
      </w:tr>
    </w:tbl>
    <w:p>
      <w:pPr>
        <w:spacing w:after="0" w:line="201"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136" w:right="1440" w:bottom="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626,700</w:t>
      </w:r>
    </w:p>
    <w:p>
      <w:pPr>
        <w:spacing w:after="0" w:line="200" w:lineRule="exact"/>
        <w:rPr>
          <w:sz w:val="20"/>
          <w:szCs w:val="20"/>
          <w:color w:val="auto"/>
        </w:rPr>
      </w:pPr>
    </w:p>
    <w:p>
      <w:pPr>
        <w:sectPr>
          <w:pgSz w:w="11900" w:h="16838" w:orient="portrait"/>
          <w:cols w:equalWidth="0" w:num="2">
            <w:col w:w="1160" w:space="540"/>
            <w:col w:w="8519"/>
          </w:cols>
          <w:pgMar w:left="240" w:top="136" w:right="1440" w:bottom="0"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3,817,165</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Icon Plc. The interest of one person, Fidelity Low Priced Stock Fund, an investment</w:t>
      </w:r>
    </w:p>
    <w:p>
      <w:pPr>
        <w:spacing w:after="0" w:line="5" w:lineRule="exact"/>
        <w:rPr>
          <w:sz w:val="20"/>
          <w:szCs w:val="20"/>
          <w:color w:val="auto"/>
        </w:rPr>
      </w:pPr>
    </w:p>
    <w:p>
      <w:pPr>
        <w:ind w:right="4519"/>
        <w:spacing w:after="0" w:line="268" w:lineRule="auto"/>
        <w:rPr>
          <w:sz w:val="20"/>
          <w:szCs w:val="20"/>
          <w:color w:val="auto"/>
        </w:rPr>
      </w:pPr>
      <w:r>
        <w:rPr>
          <w:rFonts w:ascii="Courier New" w:cs="Courier New" w:eastAsia="Courier New" w:hAnsi="Courier New"/>
          <w:sz w:val="16"/>
          <w:szCs w:val="16"/>
          <w:color w:val="auto"/>
        </w:rPr>
        <w:t>company registered under the Investment Company Act of 1940, in the Common Stock of Icon Plc, amounted to</w:t>
      </w:r>
    </w:p>
    <w:p>
      <w:pPr>
        <w:ind w:right="4099"/>
        <w:spacing w:after="0" w:line="235" w:lineRule="auto"/>
        <w:rPr>
          <w:sz w:val="20"/>
          <w:szCs w:val="20"/>
          <w:color w:val="auto"/>
        </w:rPr>
      </w:pPr>
      <w:r>
        <w:rPr>
          <w:rFonts w:ascii="Courier New" w:cs="Courier New" w:eastAsia="Courier New" w:hAnsi="Courier New"/>
          <w:sz w:val="18"/>
          <w:szCs w:val="18"/>
          <w:color w:val="auto"/>
        </w:rPr>
        <w:t>1,830,000 shares or 6.358% of the total outstanding Common Stock at December 31, 2007.</w:t>
      </w:r>
    </w:p>
    <w:p>
      <w:pPr>
        <w:spacing w:after="0" w:line="208"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purpose of and do not have the effect of changing or influencing the control of the issuer of such securities and were not acquired in connection with or as a participant in any transaction having such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2008</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/s/Eric D. Roiter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Eric D. Roiter</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619"/>
        <w:spacing w:after="0" w:line="236" w:lineRule="auto"/>
        <w:rPr>
          <w:sz w:val="20"/>
          <w:szCs w:val="20"/>
          <w:color w:val="auto"/>
        </w:rPr>
      </w:pPr>
      <w:r>
        <w:rPr>
          <w:rFonts w:ascii="Courier New" w:cs="Courier New" w:eastAsia="Courier New" w:hAnsi="Courier New"/>
          <w:sz w:val="18"/>
          <w:szCs w:val="18"/>
          <w:color w:val="auto"/>
        </w:rPr>
        <w:t>dated December 30, 1997 by and on behalf of FMR Corp. (now known as FMR LLC) and its direct and indirect subsidiaries</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 of 1940, is the beneficial owner of 3,190,465 shares or</w:t>
      </w:r>
    </w:p>
    <w:p>
      <w:pPr>
        <w:spacing w:after="0" w:line="7" w:lineRule="exact"/>
        <w:rPr>
          <w:sz w:val="20"/>
          <w:szCs w:val="20"/>
          <w:color w:val="auto"/>
        </w:rPr>
      </w:pPr>
    </w:p>
    <w:p>
      <w:pPr>
        <w:ind w:right="4099"/>
        <w:spacing w:after="0" w:line="237" w:lineRule="auto"/>
        <w:rPr>
          <w:sz w:val="20"/>
          <w:szCs w:val="20"/>
          <w:color w:val="auto"/>
        </w:rPr>
      </w:pPr>
      <w:r>
        <w:rPr>
          <w:rFonts w:ascii="Courier New" w:cs="Courier New" w:eastAsia="Courier New" w:hAnsi="Courier New"/>
          <w:sz w:val="18"/>
          <w:szCs w:val="18"/>
          <w:color w:val="auto"/>
        </w:rPr>
        <w:t>11.085% of the Common Stock outstanding of Icon Plc ("the Company") as a result of acting as investment adviser to various investment companies registered under Section 8 of the Investment Company Act of 1940.</w:t>
      </w:r>
    </w:p>
    <w:p>
      <w:pPr>
        <w:spacing w:after="0" w:line="207" w:lineRule="exact"/>
        <w:rPr>
          <w:sz w:val="20"/>
          <w:szCs w:val="20"/>
          <w:color w:val="auto"/>
        </w:rPr>
      </w:pPr>
    </w:p>
    <w:p>
      <w:pPr>
        <w:ind w:right="4199" w:firstLine="843"/>
        <w:spacing w:after="0" w:line="273" w:lineRule="auto"/>
        <w:rPr>
          <w:sz w:val="20"/>
          <w:szCs w:val="20"/>
          <w:color w:val="auto"/>
        </w:rPr>
      </w:pPr>
      <w:r>
        <w:rPr>
          <w:rFonts w:ascii="Courier New" w:cs="Courier New" w:eastAsia="Courier New" w:hAnsi="Courier New"/>
          <w:sz w:val="16"/>
          <w:szCs w:val="16"/>
          <w:color w:val="auto"/>
        </w:rPr>
        <w:t>The ownership of one investment company, Fidelity Low Priced Stock Fund, amounted to 1,830,000 shares or 6.358% of the Common Stock outstanding. Fidelity Low Priced Stock Fund has its principal business office at 82 Devonshire Street, Boston, Massachusetts 02109.</w:t>
      </w:r>
    </w:p>
    <w:p>
      <w:pPr>
        <w:spacing w:after="0" w:line="185"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3,190,465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182" w:lineRule="exact"/>
        <w:rPr>
          <w:sz w:val="20"/>
          <w:szCs w:val="20"/>
          <w:color w:val="auto"/>
        </w:rPr>
      </w:pPr>
    </w:p>
    <w:p>
      <w:pPr>
        <w:ind w:right="3679" w:firstLine="843"/>
        <w:spacing w:after="0" w:line="237" w:lineRule="auto"/>
        <w:rPr>
          <w:sz w:val="20"/>
          <w:szCs w:val="20"/>
          <w:color w:val="auto"/>
        </w:rPr>
      </w:pPr>
      <w:r>
        <w:rPr>
          <w:rFonts w:ascii="Courier New" w:cs="Courier New" w:eastAsia="Courier New" w:hAnsi="Courier New"/>
          <w:sz w:val="18"/>
          <w:szCs w:val="18"/>
          <w:color w:val="auto"/>
        </w:rPr>
        <w:t>Pyramis Global Advisors, LLC ("PGALLC"), 53 State Street, Boston, Massachusetts, 02109, an indirect wholly-owned subsidiary of FMR LLC and an investment adviser registered under Section 203 of the Investment Advisers Act of 1940, is the beneficial owner of 625,000 shares or 2.171% of the outstanding Common Stock of Icon Plc as a result of its serving as investment adviser to institutional accounts, non-U.S. mutual funds, or investment companies registered under Section 8 of the Investment Company Act of 1940 owning such shares.</w:t>
      </w:r>
    </w:p>
    <w:p>
      <w:pPr>
        <w:spacing w:after="0" w:line="215" w:lineRule="exact"/>
        <w:rPr>
          <w:sz w:val="20"/>
          <w:szCs w:val="20"/>
          <w:color w:val="auto"/>
        </w:rPr>
      </w:pPr>
    </w:p>
    <w:p>
      <w:pPr>
        <w:ind w:right="3779" w:firstLine="843"/>
        <w:spacing w:after="0" w:line="237" w:lineRule="auto"/>
        <w:rPr>
          <w:sz w:val="20"/>
          <w:szCs w:val="20"/>
          <w:color w:val="auto"/>
        </w:rPr>
      </w:pPr>
      <w:r>
        <w:rPr>
          <w:rFonts w:ascii="Courier New" w:cs="Courier New" w:eastAsia="Courier New" w:hAnsi="Courier New"/>
          <w:sz w:val="18"/>
          <w:szCs w:val="18"/>
          <w:color w:val="auto"/>
        </w:rPr>
        <w:t>Edward C. Johnson 3d and FMR LLC, through its control of PGALLC, each has sole dispositive power over 625,000 shares and sole power to vote or to direct the voting of 625,000 shares of Common Stock owned by the institutional accounts or funds advised by PGALLC as reported above.</w:t>
      </w:r>
    </w:p>
    <w:p>
      <w:pPr>
        <w:spacing w:after="0" w:line="210"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Pyramis Global Advisors Trust Company ("PGATC"), 53 State Street, Boston, Massachusetts, 02109, an indirect wholly-owned subsidiary of FMR LLC and a bank as defined</w:t>
      </w:r>
    </w:p>
    <w:p>
      <w:pPr>
        <w:spacing w:after="0" w:line="1" w:lineRule="exact"/>
        <w:rPr>
          <w:sz w:val="20"/>
          <w:szCs w:val="20"/>
          <w:color w:val="auto"/>
        </w:rPr>
      </w:pPr>
    </w:p>
    <w:p>
      <w:pPr>
        <w:ind w:right="3779"/>
        <w:spacing w:after="0" w:line="237" w:lineRule="auto"/>
        <w:rPr>
          <w:sz w:val="20"/>
          <w:szCs w:val="20"/>
          <w:color w:val="auto"/>
        </w:rPr>
      </w:pPr>
      <w:r>
        <w:rPr>
          <w:rFonts w:ascii="Courier New" w:cs="Courier New" w:eastAsia="Courier New" w:hAnsi="Courier New"/>
          <w:sz w:val="18"/>
          <w:szCs w:val="18"/>
          <w:color w:val="auto"/>
        </w:rPr>
        <w:t>in Section 3(a)(6) of the Securities Exchange Act of 1934, is the beneficial owner of 1,700 shares or 0.006% of the outstanding Common Stock of the Icon Plc as a result of its serving as investment manager of institutional accounts owning such shares.</w:t>
      </w:r>
    </w:p>
    <w:p>
      <w:pPr>
        <w:spacing w:after="0" w:line="209"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Edward C. Johnson 3d and FMR LLC, through its control of Pyramis Global Advisors Trust Company, each has sole dispositive power over 1,700 shares and sole power to</w:t>
      </w:r>
    </w:p>
    <w:p>
      <w:pPr>
        <w:sectPr>
          <w:pgSz w:w="11900" w:h="16838" w:orient="portrait"/>
          <w:cols w:equalWidth="0" w:num="1">
            <w:col w:w="10219"/>
          </w:cols>
          <w:pgMar w:left="240" w:top="744" w:right="1440" w:bottom="0" w:gutter="0" w:footer="0" w:header="0"/>
        </w:sectPr>
      </w:pPr>
    </w:p>
    <w:bookmarkStart w:id="3" w:name="page4"/>
    <w:bookmarkEnd w:id="3"/>
    <w:p>
      <w:pPr>
        <w:ind w:right="3899"/>
        <w:spacing w:after="0" w:line="236" w:lineRule="auto"/>
        <w:rPr>
          <w:sz w:val="20"/>
          <w:szCs w:val="20"/>
          <w:color w:val="auto"/>
        </w:rPr>
      </w:pPr>
      <w:r>
        <w:rPr>
          <w:rFonts w:ascii="Courier New" w:cs="Courier New" w:eastAsia="Courier New" w:hAnsi="Courier New"/>
          <w:sz w:val="18"/>
          <w:szCs w:val="18"/>
          <w:color w:val="auto"/>
        </w:rPr>
        <w:t>vote or to direct the voting of 1,700 shares of Common Stock owned by the institutional accounts managed by PGATC as reported above.</w:t>
      </w:r>
    </w:p>
    <w:p>
      <w:pPr>
        <w:spacing w:after="0" w:line="209" w:lineRule="exact"/>
        <w:rPr>
          <w:sz w:val="20"/>
          <w:szCs w:val="20"/>
          <w:color w:val="auto"/>
        </w:rPr>
      </w:pPr>
    </w:p>
    <w:p>
      <w:pPr>
        <w:ind w:right="3779" w:firstLine="843"/>
        <w:spacing w:after="0" w:line="235" w:lineRule="auto"/>
        <w:rPr>
          <w:sz w:val="20"/>
          <w:szCs w:val="20"/>
          <w:color w:val="auto"/>
        </w:rPr>
      </w:pPr>
      <w:r>
        <w:rPr>
          <w:rFonts w:ascii="Courier New" w:cs="Courier New" w:eastAsia="Courier New" w:hAnsi="Courier New"/>
          <w:sz w:val="18"/>
          <w:szCs w:val="18"/>
          <w:color w:val="auto"/>
        </w:rPr>
        <w:t>Some or all of the shares of Common Stock of Icon Plc owned by the investment companies at December 31, 2007</w:t>
      </w:r>
    </w:p>
    <w:p>
      <w:pPr>
        <w:spacing w:after="0" w:line="6"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may include shares represented by American Depository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2008, agree and consent to the joint filing on their behalf of this Schedule 13G in connection with their beneficial ownership of the Common Stock of Icon Plc at December 31, 2007.</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099" w:firstLine="843"/>
        <w:spacing w:after="0" w:line="279" w:lineRule="auto"/>
        <w:rPr>
          <w:sz w:val="20"/>
          <w:szCs w:val="20"/>
          <w:color w:val="auto"/>
        </w:rPr>
      </w:pPr>
      <w:r>
        <w:rPr>
          <w:rFonts w:ascii="Courier New" w:cs="Courier New" w:eastAsia="Courier New" w:hAnsi="Courier New"/>
          <w:sz w:val="16"/>
          <w:szCs w:val="16"/>
          <w:color w:val="auto"/>
        </w:rPr>
        <w:t>Duly authorized under Power of Attorney dated December 30, 1997, by and on behalf of FMR Corp. (now known as FMR LLC) and its direct and indirect subsidiaries</w:t>
      </w:r>
    </w:p>
    <w:p>
      <w:pPr>
        <w:spacing w:after="0" w:line="17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spacing w:after="0" w:line="5" w:lineRule="exact"/>
        <w:rPr>
          <w:sz w:val="20"/>
          <w:szCs w:val="20"/>
          <w:color w:val="auto"/>
        </w:rPr>
      </w:pPr>
    </w:p>
    <w:p>
      <w:pPr>
        <w:ind w:right="431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dated December 30, 1997, by and on behalf of Edward C. Johnson 3d</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pacing w:after="0" w:line="200"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Low Priced Stock Fund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Eric D. Roiter</w:t>
      </w:r>
    </w:p>
    <w:p>
      <w:pPr>
        <w:ind w:left="860"/>
        <w:spacing w:after="0" w:line="238" w:lineRule="auto"/>
        <w:rPr>
          <w:sz w:val="20"/>
          <w:szCs w:val="20"/>
          <w:color w:val="auto"/>
        </w:rPr>
      </w:pPr>
      <w:r>
        <w:rPr>
          <w:rFonts w:ascii="Courier New" w:cs="Courier New" w:eastAsia="Courier New" w:hAnsi="Courier New"/>
          <w:sz w:val="18"/>
          <w:szCs w:val="18"/>
          <w:color w:val="auto"/>
        </w:rPr>
        <w:t>Eric D. Roiter</w:t>
      </w:r>
    </w:p>
    <w:p>
      <w:pPr>
        <w:ind w:left="860"/>
        <w:spacing w:after="0"/>
        <w:rPr>
          <w:sz w:val="20"/>
          <w:szCs w:val="20"/>
          <w:color w:val="auto"/>
        </w:rPr>
      </w:pPr>
      <w:r>
        <w:rPr>
          <w:rFonts w:ascii="Courier New" w:cs="Courier New" w:eastAsia="Courier New" w:hAnsi="Courier New"/>
          <w:sz w:val="18"/>
          <w:szCs w:val="18"/>
          <w:color w:val="auto"/>
        </w:rPr>
        <w:t>Secretary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2019-12-14T20:58:03Z</dcterms:created>
  <dcterms:modified xsi:type="dcterms:W3CDTF">2019-12-14T20:58:03Z</dcterms:modified>
</cp:coreProperties>
</file>