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1 )</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ICON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G4705A100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29,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G4705A100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6220" w:type="dxa"/>
            <w:vAlign w:val="bottom"/>
          </w:tcPr>
          <w:p>
            <w:pPr>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2,808,705</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3,724,413</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3,724,413</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6.89%</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HC</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2" w:name="page3"/>
    <w:bookmarkEnd w:id="2"/>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G4705A100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6220" w:type="dxa"/>
            <w:vAlign w:val="bottom"/>
          </w:tcPr>
          <w:p>
            <w:pPr>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2,808,705</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3,724,413</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3,724,413</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6.89%</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HC</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3" w:name="page4"/>
    <w:bookmarkEnd w:id="3"/>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G4705A100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6220" w:type="dxa"/>
            <w:vAlign w:val="bottom"/>
          </w:tcPr>
          <w:p>
            <w:pPr>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2,808,705</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3,724,413</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3,724,413</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6.89%</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HC</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4" w:name="page5"/>
    <w:bookmarkEnd w:id="4"/>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G4705A100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640" w:type="dxa"/>
            <w:vAlign w:val="bottom"/>
          </w:tcPr>
          <w:p>
            <w:pPr>
              <w:spacing w:after="0"/>
              <w:rPr>
                <w:sz w:val="23"/>
                <w:szCs w:val="23"/>
                <w:color w:val="auto"/>
              </w:rPr>
            </w:pPr>
          </w:p>
        </w:tc>
        <w:tc>
          <w:tcPr>
            <w:tcW w:w="6220" w:type="dxa"/>
            <w:vAlign w:val="bottom"/>
          </w:tcPr>
          <w:p>
            <w:pPr>
              <w:spacing w:after="0"/>
              <w:rPr>
                <w:sz w:val="20"/>
                <w:szCs w:val="20"/>
                <w:color w:val="auto"/>
              </w:rPr>
            </w:pPr>
            <w:r>
              <w:rPr>
                <w:rFonts w:ascii="Arial" w:cs="Arial" w:eastAsia="Arial" w:hAnsi="Arial"/>
                <w:sz w:val="22"/>
                <w:szCs w:val="22"/>
                <w:color w:val="auto"/>
              </w:rPr>
              <w:t>5. SOLE VOTING POWER</w:t>
            </w:r>
          </w:p>
        </w:tc>
        <w:tc>
          <w:tcPr>
            <w:tcW w:w="2820" w:type="dxa"/>
            <w:vAlign w:val="bottom"/>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6220" w:type="dxa"/>
            <w:vAlign w:val="bottom"/>
          </w:tcPr>
          <w:p>
            <w:pPr>
              <w:spacing w:after="0"/>
              <w:rPr>
                <w:sz w:val="4"/>
                <w:szCs w:val="4"/>
                <w:color w:val="auto"/>
              </w:rPr>
            </w:pPr>
          </w:p>
        </w:tc>
        <w:tc>
          <w:tcPr>
            <w:tcW w:w="2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640" w:type="dxa"/>
            <w:vAlign w:val="bottom"/>
          </w:tcPr>
          <w:p>
            <w:pPr>
              <w:spacing w:after="0"/>
              <w:rPr>
                <w:sz w:val="21"/>
                <w:szCs w:val="21"/>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6. SHARED VOTING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2,578,971</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640" w:type="dxa"/>
            <w:vAlign w:val="bottom"/>
          </w:tcPr>
          <w:p>
            <w:pPr>
              <w:spacing w:after="0"/>
              <w:rPr>
                <w:sz w:val="14"/>
                <w:szCs w:val="14"/>
                <w:color w:val="auto"/>
              </w:rPr>
            </w:pPr>
          </w:p>
        </w:tc>
        <w:tc>
          <w:tcPr>
            <w:tcW w:w="6220" w:type="dxa"/>
            <w:vAlign w:val="bottom"/>
            <w:vMerge w:val="continue"/>
          </w:tcPr>
          <w:p>
            <w:pPr>
              <w:spacing w:after="0"/>
              <w:rPr>
                <w:sz w:val="14"/>
                <w:szCs w:val="14"/>
                <w:color w:val="auto"/>
              </w:rPr>
            </w:pPr>
          </w:p>
        </w:tc>
        <w:tc>
          <w:tcPr>
            <w:tcW w:w="2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220" w:type="dxa"/>
            <w:vAlign w:val="bottom"/>
          </w:tcPr>
          <w:p>
            <w:pPr>
              <w:spacing w:after="0"/>
              <w:rPr>
                <w:sz w:val="6"/>
                <w:szCs w:val="6"/>
                <w:color w:val="auto"/>
              </w:rPr>
            </w:pPr>
          </w:p>
        </w:tc>
        <w:tc>
          <w:tcPr>
            <w:tcW w:w="2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38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220" w:type="dxa"/>
            <w:vAlign w:val="bottom"/>
            <w:vMerge w:val="restart"/>
          </w:tcPr>
          <w:p>
            <w:pPr>
              <w:spacing w:after="0"/>
              <w:rPr>
                <w:sz w:val="20"/>
                <w:szCs w:val="20"/>
                <w:color w:val="auto"/>
              </w:rPr>
            </w:pPr>
            <w:r>
              <w:rPr>
                <w:rFonts w:ascii="Arial" w:cs="Arial" w:eastAsia="Arial" w:hAnsi="Arial"/>
                <w:sz w:val="22"/>
                <w:szCs w:val="22"/>
                <w:color w:val="auto"/>
              </w:rPr>
              <w:t>7. SOLE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640" w:type="dxa"/>
            <w:vAlign w:val="bottom"/>
          </w:tcPr>
          <w:p>
            <w:pPr>
              <w:spacing w:after="0"/>
              <w:rPr>
                <w:sz w:val="12"/>
                <w:szCs w:val="12"/>
                <w:color w:val="auto"/>
              </w:rPr>
            </w:pPr>
          </w:p>
        </w:tc>
        <w:tc>
          <w:tcPr>
            <w:tcW w:w="622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62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640" w:type="dxa"/>
            <w:vAlign w:val="bottom"/>
          </w:tcPr>
          <w:p>
            <w:pPr>
              <w:spacing w:after="0"/>
              <w:rPr>
                <w:sz w:val="23"/>
                <w:szCs w:val="23"/>
                <w:color w:val="auto"/>
              </w:rPr>
            </w:pPr>
          </w:p>
        </w:tc>
        <w:tc>
          <w:tcPr>
            <w:tcW w:w="6220" w:type="dxa"/>
            <w:vAlign w:val="bottom"/>
            <w:vMerge w:val="restart"/>
          </w:tcPr>
          <w:p>
            <w:pPr>
              <w:spacing w:after="0"/>
              <w:rPr>
                <w:sz w:val="20"/>
                <w:szCs w:val="20"/>
                <w:color w:val="auto"/>
              </w:rPr>
            </w:pPr>
            <w:r>
              <w:rPr>
                <w:rFonts w:ascii="Arial" w:cs="Arial" w:eastAsia="Arial" w:hAnsi="Arial"/>
                <w:sz w:val="22"/>
                <w:szCs w:val="22"/>
                <w:color w:val="auto"/>
              </w:rPr>
              <w:t>8. SHARED DISPOSITIVE POWER</w:t>
            </w:r>
          </w:p>
        </w:tc>
        <w:tc>
          <w:tcPr>
            <w:tcW w:w="2820" w:type="dxa"/>
            <w:vAlign w:val="bottom"/>
            <w:vMerge w:val="restart"/>
          </w:tcPr>
          <w:p>
            <w:pPr>
              <w:ind w:left="720"/>
              <w:spacing w:after="0"/>
              <w:rPr>
                <w:sz w:val="20"/>
                <w:szCs w:val="20"/>
                <w:color w:val="auto"/>
              </w:rPr>
            </w:pPr>
            <w:r>
              <w:rPr>
                <w:rFonts w:ascii="Arial" w:cs="Arial" w:eastAsia="Arial" w:hAnsi="Arial"/>
                <w:sz w:val="22"/>
                <w:szCs w:val="22"/>
                <w:color w:val="auto"/>
              </w:rPr>
              <w:t>3,382,932</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20" w:type="dxa"/>
            <w:vAlign w:val="bottom"/>
            <w:vMerge w:val="continue"/>
          </w:tcPr>
          <w:p>
            <w:pPr>
              <w:spacing w:after="0"/>
              <w:rPr>
                <w:sz w:val="7"/>
                <w:szCs w:val="7"/>
                <w:color w:val="auto"/>
              </w:rPr>
            </w:pPr>
          </w:p>
        </w:tc>
        <w:tc>
          <w:tcPr>
            <w:tcW w:w="2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3,382,932</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 ]</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w w:val="86"/>
              </w:rPr>
              <w:t>6.26%</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686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640" w:type="dxa"/>
            <w:vAlign w:val="bottom"/>
          </w:tcPr>
          <w:p>
            <w:pPr>
              <w:ind w:left="80"/>
              <w:spacing w:after="0"/>
              <w:rPr>
                <w:sz w:val="20"/>
                <w:szCs w:val="20"/>
                <w:color w:val="auto"/>
              </w:rPr>
            </w:pPr>
            <w:r>
              <w:rPr>
                <w:rFonts w:ascii="Arial" w:cs="Arial" w:eastAsia="Arial" w:hAnsi="Arial"/>
                <w:sz w:val="22"/>
                <w:szCs w:val="22"/>
                <w:color w:val="auto"/>
              </w:rPr>
              <w:t>IA</w:t>
            </w:r>
          </w:p>
        </w:tc>
        <w:tc>
          <w:tcPr>
            <w:tcW w:w="62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6220" w:type="dxa"/>
            <w:vAlign w:val="bottom"/>
            <w:tcBorders>
              <w:bottom w:val="single" w:sz="8" w:color="808080"/>
            </w:tcBorders>
          </w:tcPr>
          <w:p>
            <w:pPr>
              <w:spacing w:after="0"/>
              <w:rPr>
                <w:sz w:val="8"/>
                <w:szCs w:val="8"/>
                <w:color w:val="auto"/>
              </w:rPr>
            </w:pPr>
          </w:p>
        </w:tc>
        <w:tc>
          <w:tcPr>
            <w:tcW w:w="2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hanging="407"/>
        <w:spacing w:after="0"/>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ICON PLC</w:t>
      </w:r>
    </w:p>
    <w:p>
      <w:pPr>
        <w:spacing w:after="0" w:line="101" w:lineRule="exact"/>
        <w:rPr>
          <w:rFonts w:ascii="Arial" w:cs="Arial" w:eastAsia="Arial" w:hAnsi="Arial"/>
          <w:sz w:val="22"/>
          <w:szCs w:val="22"/>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South County Business Park</w:t>
      </w:r>
    </w:p>
    <w:p>
      <w:pPr>
        <w:ind w:left="1780" w:right="7660"/>
        <w:spacing w:after="0" w:line="308" w:lineRule="auto"/>
        <w:rPr>
          <w:rFonts w:ascii="Arial" w:cs="Arial" w:eastAsia="Arial" w:hAnsi="Arial"/>
          <w:sz w:val="22"/>
          <w:szCs w:val="22"/>
          <w:b w:val="1"/>
          <w:bCs w:val="1"/>
          <w:color w:val="auto"/>
        </w:rPr>
      </w:pPr>
      <w:r>
        <w:rPr>
          <w:rFonts w:ascii="Arial" w:cs="Arial" w:eastAsia="Arial" w:hAnsi="Arial"/>
          <w:sz w:val="19"/>
          <w:szCs w:val="19"/>
          <w:color w:val="auto"/>
        </w:rPr>
        <w:t>Leopardstown Dublin 18, L2 00000</w:t>
      </w:r>
    </w:p>
    <w:p>
      <w:pPr>
        <w:spacing w:after="0" w:line="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right="5400"/>
        <w:spacing w:after="0" w:line="246"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Wellington Group Holdings LLP Wellington Investment Advisors Holdings LLP Wellington Management Company LLP</w:t>
      </w:r>
    </w:p>
    <w:p>
      <w:pPr>
        <w:spacing w:after="0" w:line="93"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c/o Wellington Management Company LLP</w:t>
      </w:r>
    </w:p>
    <w:p>
      <w:pPr>
        <w:ind w:left="1780" w:right="7740"/>
        <w:spacing w:after="0" w:line="339" w:lineRule="auto"/>
        <w:rPr>
          <w:rFonts w:ascii="Arial" w:cs="Arial" w:eastAsia="Arial" w:hAnsi="Arial"/>
          <w:sz w:val="22"/>
          <w:szCs w:val="22"/>
          <w:b w:val="1"/>
          <w:bCs w:val="1"/>
          <w:color w:val="auto"/>
        </w:rPr>
      </w:pPr>
      <w:r>
        <w:rPr>
          <w:rFonts w:ascii="Arial" w:cs="Arial" w:eastAsia="Arial" w:hAnsi="Arial"/>
          <w:sz w:val="18"/>
          <w:szCs w:val="18"/>
          <w:color w:val="auto"/>
        </w:rPr>
        <w:t>280 Congress Street Boston, MA 02210</w:t>
      </w:r>
    </w:p>
    <w:p>
      <w:pPr>
        <w:spacing w:after="0" w:line="12" w:lineRule="exact"/>
        <w:rPr>
          <w:rFonts w:ascii="Arial" w:cs="Arial" w:eastAsia="Arial" w:hAnsi="Arial"/>
          <w:sz w:val="22"/>
          <w:szCs w:val="22"/>
          <w:b w:val="1"/>
          <w:bCs w:val="1"/>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780" w:right="4380"/>
        <w:spacing w:after="0" w:line="246"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 Massachusetts Wellington Group Holdings LLP - Delaware Wellington Investment Advisors Holdings LLP - Delaware Wellington Management Company LLP - Delaware</w:t>
      </w:r>
    </w:p>
    <w:p>
      <w:pPr>
        <w:spacing w:after="0" w:line="93" w:lineRule="exact"/>
        <w:rPr>
          <w:rFonts w:ascii="Arial" w:cs="Arial" w:eastAsia="Arial" w:hAnsi="Arial"/>
          <w:sz w:val="22"/>
          <w:szCs w:val="22"/>
          <w:b w:val="1"/>
          <w:bCs w:val="1"/>
          <w:color w:val="auto"/>
        </w:rPr>
      </w:pP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G4705A100</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 *</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25"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Wellington Management Group LLP - HC</w:t>
      </w:r>
    </w:p>
    <w:p>
      <w:pPr>
        <w:ind w:left="1380"/>
        <w:spacing w:after="0" w:line="238" w:lineRule="auto"/>
        <w:rPr>
          <w:sz w:val="20"/>
          <w:szCs w:val="20"/>
          <w:color w:val="auto"/>
        </w:rPr>
      </w:pPr>
      <w:r>
        <w:rPr>
          <w:rFonts w:ascii="Arial" w:cs="Arial" w:eastAsia="Arial" w:hAnsi="Arial"/>
          <w:sz w:val="22"/>
          <w:szCs w:val="22"/>
          <w:color w:val="auto"/>
        </w:rPr>
        <w:t>Wellington Group Holdings LLP - HC</w:t>
      </w:r>
    </w:p>
    <w:p>
      <w:pPr>
        <w:ind w:left="1380"/>
        <w:spacing w:after="0" w:line="230" w:lineRule="auto"/>
        <w:rPr>
          <w:sz w:val="20"/>
          <w:szCs w:val="20"/>
          <w:color w:val="auto"/>
        </w:rPr>
      </w:pPr>
      <w:r>
        <w:rPr>
          <w:rFonts w:ascii="Arial" w:cs="Arial" w:eastAsia="Arial" w:hAnsi="Arial"/>
          <w:sz w:val="22"/>
          <w:szCs w:val="22"/>
          <w:color w:val="auto"/>
        </w:rPr>
        <w:t>Wellington Investment Advisors Holdings LLP - HC</w:t>
      </w:r>
    </w:p>
    <w:p>
      <w:pPr>
        <w:spacing w:after="0" w:line="1"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Wellington Management Company LLP - IA</w:t>
      </w:r>
    </w:p>
    <w:p>
      <w:pPr>
        <w:spacing w:after="0" w:line="101"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See the responses to Item 9 on the attached cover pages.</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ectPr>
          <w:pgSz w:w="11900" w:h="16838" w:orient="portrait"/>
          <w:cols w:equalWidth="0" w:num="1">
            <w:col w:w="11260"/>
          </w:cols>
          <w:pgMar w:left="320" w:top="409" w:right="319" w:bottom="0" w:gutter="0" w:footer="0" w:header="0"/>
        </w:sectPr>
      </w:pPr>
    </w:p>
    <w:bookmarkStart w:id="6" w:name="page7"/>
    <w:bookmarkEnd w:id="6"/>
    <w:p>
      <w:pPr>
        <w:ind w:left="1780"/>
        <w:spacing w:after="0"/>
        <w:rPr>
          <w:sz w:val="20"/>
          <w:szCs w:val="20"/>
          <w:color w:val="auto"/>
        </w:rPr>
      </w:pPr>
      <w:r>
        <w:rPr>
          <w:rFonts w:ascii="Arial" w:cs="Arial" w:eastAsia="Arial" w:hAnsi="Arial"/>
          <w:sz w:val="18"/>
          <w:szCs w:val="18"/>
          <w:color w:val="auto"/>
        </w:rPr>
        <w:t>See the responses to Item 11 on the attached cover pages.</w:t>
      </w:r>
    </w:p>
    <w:p>
      <w:pPr>
        <w:sectPr>
          <w:pgSz w:w="11900" w:h="16838" w:orient="portrait"/>
          <w:cols w:equalWidth="0" w:num="1">
            <w:col w:w="11260"/>
          </w:cols>
          <w:pgMar w:left="320" w:top="118" w:right="319" w:bottom="0" w:gutter="0" w:footer="0" w:header="0"/>
        </w:sectPr>
      </w:pPr>
    </w:p>
    <w:p>
      <w:pPr>
        <w:spacing w:after="0" w:line="172" w:lineRule="exact"/>
        <w:rPr>
          <w:sz w:val="20"/>
          <w:szCs w:val="20"/>
          <w:color w:val="auto"/>
        </w:rPr>
      </w:pPr>
    </w:p>
    <w:p>
      <w:pPr>
        <w:ind w:left="1780" w:hanging="407"/>
        <w:spacing w:after="0"/>
        <w:tabs>
          <w:tab w:leader="none" w:pos="1780" w:val="left"/>
        </w:tabs>
        <w:numPr>
          <w:ilvl w:val="0"/>
          <w:numId w:val="6"/>
        </w:numPr>
        <w:rPr>
          <w:rFonts w:ascii="Arial" w:cs="Arial" w:eastAsia="Arial" w:hAnsi="Arial"/>
          <w:sz w:val="21"/>
          <w:szCs w:val="21"/>
          <w:color w:val="auto"/>
        </w:rPr>
      </w:pPr>
      <w:r>
        <w:rPr>
          <w:rFonts w:ascii="Arial" w:cs="Arial" w:eastAsia="Arial" w:hAnsi="Arial"/>
          <w:sz w:val="21"/>
          <w:szCs w:val="21"/>
          <w:color w:val="auto"/>
        </w:rPr>
        <w:t>Number of shares as to which such person has:</w:t>
      </w:r>
    </w:p>
    <w:p>
      <w:pPr>
        <w:spacing w:after="0" w:line="136" w:lineRule="exact"/>
        <w:rPr>
          <w:rFonts w:ascii="Arial" w:cs="Arial" w:eastAsia="Arial" w:hAnsi="Arial"/>
          <w:sz w:val="21"/>
          <w:szCs w:val="21"/>
          <w:color w:val="auto"/>
        </w:rPr>
      </w:pPr>
    </w:p>
    <w:p>
      <w:pPr>
        <w:ind w:left="2240" w:hanging="462"/>
        <w:spacing w:after="0"/>
        <w:tabs>
          <w:tab w:leader="none" w:pos="2240" w:val="left"/>
        </w:tabs>
        <w:numPr>
          <w:ilvl w:val="1"/>
          <w:numId w:val="6"/>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246" w:lineRule="exact"/>
        <w:rPr>
          <w:rFonts w:ascii="Arial" w:cs="Arial" w:eastAsia="Arial" w:hAnsi="Arial"/>
          <w:sz w:val="22"/>
          <w:szCs w:val="22"/>
          <w:color w:val="auto"/>
        </w:rPr>
      </w:pPr>
    </w:p>
    <w:p>
      <w:pPr>
        <w:ind w:left="2240" w:hanging="462"/>
        <w:spacing w:after="0"/>
        <w:tabs>
          <w:tab w:leader="none" w:pos="2240" w:val="left"/>
        </w:tabs>
        <w:numPr>
          <w:ilvl w:val="1"/>
          <w:numId w:val="6"/>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201" w:lineRule="exact"/>
        <w:rPr>
          <w:rFonts w:ascii="Arial" w:cs="Arial" w:eastAsia="Arial" w:hAnsi="Arial"/>
          <w:sz w:val="22"/>
          <w:szCs w:val="22"/>
          <w:color w:val="auto"/>
        </w:rPr>
      </w:pPr>
    </w:p>
    <w:p>
      <w:pPr>
        <w:ind w:left="2240" w:hanging="462"/>
        <w:spacing w:after="0"/>
        <w:tabs>
          <w:tab w:leader="none" w:pos="2240" w:val="left"/>
        </w:tabs>
        <w:numPr>
          <w:ilvl w:val="1"/>
          <w:numId w:val="6"/>
        </w:numPr>
        <w:rPr>
          <w:rFonts w:ascii="Arial" w:cs="Arial" w:eastAsia="Arial" w:hAnsi="Arial"/>
          <w:sz w:val="34"/>
          <w:szCs w:val="34"/>
          <w:color w:val="auto"/>
          <w:vertAlign w:val="subscript"/>
        </w:rPr>
      </w:pPr>
      <w:r>
        <w:rPr>
          <w:rFonts w:ascii="Arial" w:cs="Arial" w:eastAsia="Arial" w:hAnsi="Arial"/>
          <w:sz w:val="18"/>
          <w:szCs w:val="18"/>
          <w:color w:val="auto"/>
        </w:rPr>
        <w:t>sole</w:t>
      </w:r>
      <w:r>
        <w:rPr>
          <w:rFonts w:ascii="Arial" w:cs="Arial" w:eastAsia="Arial" w:hAnsi="Arial"/>
          <w:sz w:val="34"/>
          <w:szCs w:val="34"/>
          <w:color w:val="auto"/>
          <w:vertAlign w:val="subscript"/>
        </w:rPr>
        <w:t>of</w:t>
      </w:r>
      <w:r>
        <w:rPr>
          <w:rFonts w:ascii="Arial" w:cs="Arial" w:eastAsia="Arial" w:hAnsi="Arial"/>
          <w:sz w:val="18"/>
          <w:szCs w:val="18"/>
          <w:color w:val="auto"/>
        </w:rPr>
        <w:t xml:space="preserve"> power to dispose or to direct the disposition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125"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color w:val="auto"/>
        </w:rPr>
        <w:t>See the responses to Item 6 on the attached cover pages.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00" w:lineRule="exact"/>
        <w:rPr>
          <w:sz w:val="20"/>
          <w:szCs w:val="20"/>
          <w:color w:val="auto"/>
        </w:rPr>
      </w:pPr>
    </w:p>
    <w:p>
      <w:pPr>
        <w:sectPr>
          <w:pgSz w:w="11900" w:h="16838" w:orient="portrait"/>
          <w:cols w:equalWidth="0" w:num="2">
            <w:col w:w="6420" w:space="280"/>
            <w:col w:w="4560"/>
          </w:cols>
          <w:pgMar w:left="320" w:top="118" w:right="319" w:bottom="0" w:gutter="0" w:footer="0" w:header="0"/>
          <w:type w:val="continuous"/>
        </w:sectPr>
      </w:pPr>
    </w:p>
    <w:p>
      <w:pPr>
        <w:spacing w:after="0" w:line="47" w:lineRule="exact"/>
        <w:rPr>
          <w:sz w:val="20"/>
          <w:szCs w:val="20"/>
          <w:color w:val="auto"/>
        </w:rPr>
      </w:pPr>
    </w:p>
    <w:p>
      <w:pPr>
        <w:ind w:left="2240" w:right="340" w:hanging="462"/>
        <w:spacing w:after="0" w:line="183" w:lineRule="auto"/>
        <w:tabs>
          <w:tab w:leader="none" w:pos="2240" w:val="left"/>
        </w:tabs>
        <w:numPr>
          <w:ilvl w:val="0"/>
          <w:numId w:val="7"/>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color w:val="auto"/>
        </w:rPr>
        <w:t>See the responses to Item 8 on the attached cover pages.</w:t>
      </w:r>
    </w:p>
    <w:p>
      <w:pPr>
        <w:spacing w:after="0" w:line="86" w:lineRule="exact"/>
        <w:rPr>
          <w:sz w:val="20"/>
          <w:szCs w:val="20"/>
          <w:color w:val="auto"/>
        </w:rPr>
      </w:pPr>
    </w:p>
    <w:p>
      <w:pPr>
        <w:sectPr>
          <w:pgSz w:w="11900" w:h="16838" w:orient="portrait"/>
          <w:cols w:equalWidth="0" w:num="2">
            <w:col w:w="5980" w:space="720"/>
            <w:col w:w="4560"/>
          </w:cols>
          <w:pgMar w:left="320" w:top="118" w:right="319"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940" w:type="dxa"/>
            <w:vAlign w:val="bottom"/>
          </w:tcPr>
          <w:p>
            <w:pPr>
              <w:spacing w:after="0"/>
              <w:rPr>
                <w:sz w:val="20"/>
                <w:szCs w:val="20"/>
                <w:color w:val="auto"/>
              </w:rPr>
            </w:pPr>
            <w:r>
              <w:rPr>
                <w:rFonts w:ascii="Arial" w:cs="Arial" w:eastAsia="Arial" w:hAnsi="Arial"/>
                <w:sz w:val="22"/>
                <w:szCs w:val="22"/>
                <w:b w:val="1"/>
                <w:bCs w:val="1"/>
                <w:color w:val="auto"/>
              </w:rPr>
              <w:t>Item 5.</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Ownership of Five Percent or Less of Class.</w:t>
            </w:r>
          </w:p>
        </w:tc>
      </w:tr>
      <w:tr>
        <w:trPr>
          <w:trHeight w:val="347"/>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88"/>
              </w:rPr>
              <w:t>If this statement is being filed to report the fact that as of the date hereof the reporting person has ceased to be the</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beneficial owner of more than five percent of the class of securities, check the following: [ ]</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Ownership of More than Five Percent on Behalf of Another Person.</w:t>
            </w:r>
          </w:p>
        </w:tc>
      </w:tr>
      <w:tr>
        <w:trPr>
          <w:trHeight w:val="347"/>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88"/>
              </w:rPr>
              <w:t>The securities as to which this Schedule is filed are owned of record by clients of one or more investment advisers</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3"/>
              </w:rPr>
              <w:t>identified in Exhibit A directly or indirectly owned by Wellington Management Group LLP. Those clients have</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2"/>
              </w:rPr>
              <w:t>the right to receive, or the power to direct the receipt of, dividends from, or the proceeds from the sale of, such</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89"/>
              </w:rPr>
              <w:t>securities. No such client is known to have such right or power with respect to more than five percent of this class</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of securities, except as follows:</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41"/>
        </w:trPr>
        <w:tc>
          <w:tcPr>
            <w:tcW w:w="940" w:type="dxa"/>
            <w:vAlign w:val="bottom"/>
          </w:tcPr>
          <w:p>
            <w:pPr>
              <w:spacing w:after="0"/>
              <w:rPr>
                <w:sz w:val="20"/>
                <w:szCs w:val="20"/>
                <w:color w:val="auto"/>
              </w:rPr>
            </w:pPr>
            <w:r>
              <w:rPr>
                <w:rFonts w:ascii="Arial" w:cs="Arial" w:eastAsia="Arial" w:hAnsi="Arial"/>
                <w:sz w:val="22"/>
                <w:szCs w:val="22"/>
                <w:b w:val="1"/>
                <w:bCs w:val="1"/>
                <w:color w:val="auto"/>
              </w:rPr>
              <w:t>Item 7.</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w w:val="90"/>
              </w:rPr>
              <w:t>Identification and Classification of the Subsidiary Which Acquired the Security Being Reported on by the</w:t>
            </w:r>
          </w:p>
        </w:tc>
      </w:tr>
      <w:tr>
        <w:trPr>
          <w:trHeight w:val="281"/>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Parent Holding Company.</w:t>
            </w:r>
          </w:p>
        </w:tc>
      </w:tr>
      <w:tr>
        <w:trPr>
          <w:trHeight w:val="621"/>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See attached Exhibit A.</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8.</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9.</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10.</w:t>
            </w:r>
          </w:p>
        </w:tc>
        <w:tc>
          <w:tcPr>
            <w:tcW w:w="10320" w:type="dxa"/>
            <w:vAlign w:val="bottom"/>
            <w:gridSpan w:val="3"/>
          </w:tcPr>
          <w:p>
            <w:pPr>
              <w:ind w:left="440"/>
              <w:spacing w:after="0"/>
              <w:rPr>
                <w:sz w:val="20"/>
                <w:szCs w:val="20"/>
                <w:color w:val="auto"/>
              </w:rPr>
            </w:pPr>
            <w:r>
              <w:rPr>
                <w:rFonts w:ascii="Arial" w:cs="Arial" w:eastAsia="Arial" w:hAnsi="Arial"/>
                <w:sz w:val="22"/>
                <w:szCs w:val="22"/>
                <w:b w:val="1"/>
                <w:bCs w:val="1"/>
                <w:color w:val="auto"/>
              </w:rPr>
              <w:t>Certification.</w:t>
            </w:r>
          </w:p>
        </w:tc>
      </w:tr>
      <w:tr>
        <w:trPr>
          <w:trHeight w:val="455"/>
        </w:trPr>
        <w:tc>
          <w:tcPr>
            <w:tcW w:w="940" w:type="dxa"/>
            <w:vAlign w:val="bottom"/>
          </w:tcPr>
          <w:p>
            <w:pPr>
              <w:spacing w:after="0"/>
              <w:rPr>
                <w:sz w:val="24"/>
                <w:szCs w:val="24"/>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w w:val="94"/>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88"/>
              </w:rPr>
              <w:t>acquired and are held in the ordinary course of business and were not acquired and are not held for the purpose of</w:t>
            </w:r>
          </w:p>
        </w:tc>
      </w:tr>
      <w:tr>
        <w:trPr>
          <w:trHeight w:val="243"/>
        </w:trPr>
        <w:tc>
          <w:tcPr>
            <w:tcW w:w="940" w:type="dxa"/>
            <w:vAlign w:val="bottom"/>
          </w:tcPr>
          <w:p>
            <w:pPr>
              <w:spacing w:after="0"/>
              <w:rPr>
                <w:sz w:val="21"/>
                <w:szCs w:val="21"/>
                <w:color w:val="auto"/>
              </w:rPr>
            </w:pPr>
          </w:p>
        </w:tc>
        <w:tc>
          <w:tcPr>
            <w:tcW w:w="1032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1"/>
              </w:rPr>
              <w:t>or with the effect of changing or influencing the control of the issuer of the securities and were not acquired and</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440"/>
              <w:spacing w:after="0"/>
              <w:rPr>
                <w:sz w:val="20"/>
                <w:szCs w:val="20"/>
                <w:color w:val="auto"/>
              </w:rPr>
            </w:pPr>
            <w:r>
              <w:rPr>
                <w:rFonts w:ascii="Arial" w:cs="Arial" w:eastAsia="Arial" w:hAnsi="Arial"/>
                <w:sz w:val="22"/>
                <w:szCs w:val="22"/>
                <w:color w:val="auto"/>
              </w:rPr>
              <w:t>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420" w:type="dxa"/>
            <w:vAlign w:val="bottom"/>
            <w:gridSpan w:val="2"/>
          </w:tcPr>
          <w:p>
            <w:pPr>
              <w:ind w:left="160"/>
              <w:spacing w:after="0"/>
              <w:rPr>
                <w:sz w:val="20"/>
                <w:szCs w:val="20"/>
                <w:color w:val="auto"/>
              </w:rPr>
            </w:pPr>
            <w:r>
              <w:rPr>
                <w:rFonts w:ascii="Arial" w:cs="Arial" w:eastAsia="Arial" w:hAnsi="Arial"/>
                <w:sz w:val="22"/>
                <w:szCs w:val="22"/>
                <w:b w:val="1"/>
                <w:bCs w:val="1"/>
                <w:color w:val="auto"/>
              </w:rPr>
              <w:t>SIGNATURE</w:t>
            </w:r>
          </w:p>
        </w:tc>
      </w:tr>
      <w:tr>
        <w:trPr>
          <w:trHeight w:val="549"/>
        </w:trPr>
        <w:tc>
          <w:tcPr>
            <w:tcW w:w="940" w:type="dxa"/>
            <w:vAlign w:val="bottom"/>
          </w:tcPr>
          <w:p>
            <w:pPr>
              <w:spacing w:after="0"/>
              <w:rPr>
                <w:sz w:val="24"/>
                <w:szCs w:val="24"/>
                <w:color w:val="auto"/>
              </w:rPr>
            </w:pPr>
          </w:p>
        </w:tc>
        <w:tc>
          <w:tcPr>
            <w:tcW w:w="10320" w:type="dxa"/>
            <w:vAlign w:val="bottom"/>
            <w:gridSpan w:val="3"/>
          </w:tcPr>
          <w:p>
            <w:pPr>
              <w:ind w:left="180"/>
              <w:spacing w:after="0"/>
              <w:rPr>
                <w:sz w:val="20"/>
                <w:szCs w:val="20"/>
                <w:color w:val="auto"/>
              </w:rPr>
            </w:pPr>
            <w:r>
              <w:rPr>
                <w:rFonts w:ascii="Arial" w:cs="Arial" w:eastAsia="Arial" w:hAnsi="Arial"/>
                <w:sz w:val="22"/>
                <w:szCs w:val="22"/>
                <w:color w:val="auto"/>
              </w:rPr>
              <w:t>After reasonable inquiry and to the best of my knowledge and belief, I certify that the information set</w:t>
            </w:r>
          </w:p>
        </w:tc>
      </w:tr>
      <w:tr>
        <w:trPr>
          <w:trHeight w:val="275"/>
        </w:trPr>
        <w:tc>
          <w:tcPr>
            <w:tcW w:w="940" w:type="dxa"/>
            <w:vAlign w:val="bottom"/>
          </w:tcPr>
          <w:p>
            <w:pPr>
              <w:spacing w:after="0"/>
              <w:rPr>
                <w:sz w:val="23"/>
                <w:szCs w:val="23"/>
                <w:color w:val="auto"/>
              </w:rPr>
            </w:pPr>
          </w:p>
        </w:tc>
        <w:tc>
          <w:tcPr>
            <w:tcW w:w="10320" w:type="dxa"/>
            <w:vAlign w:val="bottom"/>
            <w:gridSpan w:val="3"/>
          </w:tcPr>
          <w:p>
            <w:pPr>
              <w:ind w:left="180"/>
              <w:spacing w:after="0"/>
              <w:rPr>
                <w:sz w:val="20"/>
                <w:szCs w:val="20"/>
                <w:color w:val="auto"/>
              </w:rPr>
            </w:pPr>
            <w:r>
              <w:rPr>
                <w:rFonts w:ascii="Arial" w:cs="Arial" w:eastAsia="Arial" w:hAnsi="Arial"/>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By: Wellington Management Group LLP</w:t>
            </w:r>
          </w:p>
        </w:tc>
      </w:tr>
      <w:tr>
        <w:trPr>
          <w:trHeight w:val="247"/>
        </w:trPr>
        <w:tc>
          <w:tcPr>
            <w:tcW w:w="940" w:type="dxa"/>
            <w:vAlign w:val="bottom"/>
          </w:tcPr>
          <w:p>
            <w:pPr>
              <w:spacing w:after="0"/>
              <w:rPr>
                <w:sz w:val="21"/>
                <w:szCs w:val="21"/>
                <w:color w:val="auto"/>
              </w:rPr>
            </w:pPr>
          </w:p>
        </w:tc>
        <w:tc>
          <w:tcPr>
            <w:tcW w:w="1032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Silvestre A. Fontes</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Name: Silvestre A. Fontes</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Title: Authorized Signor</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Date: February 14, 2018</w:t>
            </w:r>
          </w:p>
        </w:tc>
      </w:tr>
      <w:tr>
        <w:trPr>
          <w:trHeight w:val="594"/>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By: Wellington Group Holdings LLP</w:t>
            </w:r>
          </w:p>
        </w:tc>
      </w:tr>
      <w:tr>
        <w:trPr>
          <w:trHeight w:val="247"/>
        </w:trPr>
        <w:tc>
          <w:tcPr>
            <w:tcW w:w="940" w:type="dxa"/>
            <w:vAlign w:val="bottom"/>
          </w:tcPr>
          <w:p>
            <w:pPr>
              <w:spacing w:after="0"/>
              <w:rPr>
                <w:sz w:val="21"/>
                <w:szCs w:val="21"/>
                <w:color w:val="auto"/>
              </w:rPr>
            </w:pPr>
          </w:p>
        </w:tc>
        <w:tc>
          <w:tcPr>
            <w:tcW w:w="1032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Silvestre A. Fontes</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Name: Silvestre A. Fontes</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Title: Authorized Signor</w:t>
            </w:r>
          </w:p>
        </w:tc>
      </w:tr>
      <w:tr>
        <w:trPr>
          <w:trHeight w:val="297"/>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Date: February 14, 2018</w:t>
            </w:r>
          </w:p>
        </w:tc>
      </w:tr>
      <w:tr>
        <w:trPr>
          <w:trHeight w:val="594"/>
        </w:trPr>
        <w:tc>
          <w:tcPr>
            <w:tcW w:w="940" w:type="dxa"/>
            <w:vAlign w:val="bottom"/>
          </w:tcPr>
          <w:p>
            <w:pPr>
              <w:spacing w:after="0"/>
              <w:rPr>
                <w:sz w:val="24"/>
                <w:szCs w:val="24"/>
                <w:color w:val="auto"/>
              </w:rPr>
            </w:pPr>
          </w:p>
        </w:tc>
        <w:tc>
          <w:tcPr>
            <w:tcW w:w="10320" w:type="dxa"/>
            <w:vAlign w:val="bottom"/>
            <w:gridSpan w:val="3"/>
          </w:tcPr>
          <w:p>
            <w:pPr>
              <w:ind w:left="3540"/>
              <w:spacing w:after="0"/>
              <w:rPr>
                <w:sz w:val="20"/>
                <w:szCs w:val="20"/>
                <w:color w:val="auto"/>
              </w:rPr>
            </w:pPr>
            <w:r>
              <w:rPr>
                <w:rFonts w:ascii="Arial" w:cs="Arial" w:eastAsia="Arial" w:hAnsi="Arial"/>
                <w:sz w:val="22"/>
                <w:szCs w:val="22"/>
                <w:color w:val="auto"/>
              </w:rPr>
              <w:t>By: Wellington Investment Advisors Holdings LLP</w:t>
            </w:r>
          </w:p>
        </w:tc>
      </w:tr>
      <w:tr>
        <w:trPr>
          <w:trHeight w:val="247"/>
        </w:trPr>
        <w:tc>
          <w:tcPr>
            <w:tcW w:w="940" w:type="dxa"/>
            <w:vAlign w:val="bottom"/>
          </w:tcPr>
          <w:p>
            <w:pPr>
              <w:spacing w:after="0"/>
              <w:rPr>
                <w:sz w:val="21"/>
                <w:szCs w:val="21"/>
                <w:color w:val="auto"/>
              </w:rPr>
            </w:pPr>
          </w:p>
        </w:tc>
        <w:tc>
          <w:tcPr>
            <w:tcW w:w="1032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Silvestre A. Fontes</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r>
    </w:tbl>
    <w:p>
      <w:pPr>
        <w:sectPr>
          <w:pgSz w:w="11900" w:h="16838" w:orient="portrait"/>
          <w:cols w:equalWidth="0" w:num="1">
            <w:col w:w="11260"/>
          </w:cols>
          <w:pgMar w:left="320" w:top="118" w:right="319" w:bottom="0" w:gutter="0" w:footer="0" w:header="0"/>
          <w:type w:val="continuous"/>
        </w:sectPr>
      </w:pPr>
    </w:p>
    <w:bookmarkStart w:id="7" w:name="page8"/>
    <w:bookmarkEnd w:id="7"/>
    <w:p>
      <w:pPr>
        <w:ind w:left="3360"/>
        <w:spacing w:after="0"/>
        <w:rPr>
          <w:sz w:val="20"/>
          <w:szCs w:val="20"/>
          <w:color w:val="auto"/>
        </w:rPr>
      </w:pPr>
      <w:r>
        <w:rPr>
          <w:rFonts w:ascii="Arial" w:cs="Arial" w:eastAsia="Arial" w:hAnsi="Arial"/>
          <w:sz w:val="22"/>
          <w:szCs w:val="22"/>
          <w:color w:val="auto"/>
        </w:rPr>
        <w:t>Name: Silvestre A. Fontes</w:t>
      </w:r>
    </w:p>
    <w:p>
      <w:pPr>
        <w:spacing w:after="0" w:line="45"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Signor</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14, 2018</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Management Company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Silvestre A. Fontes</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Silvestre A. Fontes</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Signor</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356870</wp:posOffset>
            </wp:positionV>
            <wp:extent cx="581850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68" w:lineRule="exact"/>
        <w:rPr>
          <w:sz w:val="20"/>
          <w:szCs w:val="20"/>
          <w:color w:val="auto"/>
        </w:rPr>
      </w:pPr>
    </w:p>
    <w:p>
      <w:pPr>
        <w:ind w:right="4460"/>
        <w:spacing w:after="0" w:line="311" w:lineRule="auto"/>
        <w:rPr>
          <w:sz w:val="20"/>
          <w:szCs w:val="20"/>
          <w:color w:val="auto"/>
        </w:rPr>
      </w:pPr>
      <w:r>
        <w:rPr>
          <w:rFonts w:ascii="Arial" w:cs="Arial" w:eastAsia="Arial" w:hAnsi="Arial"/>
          <w:sz w:val="21"/>
          <w:szCs w:val="21"/>
          <w:color w:val="auto"/>
        </w:rPr>
        <w:t>Wellington Group Holdings LLP – HC Wellington Investment Advisors LLP – HC Wellington Management Global Holdings, Ltd. - HC</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One or more of the following investment advisers (the “Wellington Investment Advisers”):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Company LLP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Canada LLC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Singapore Pte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Hong Kong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International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Japan Pte Ltd – IA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Wellington Management Australia Pty Ltd - IA</w:t>
      </w:r>
    </w:p>
    <w:p>
      <w:pPr>
        <w:spacing w:after="0" w:line="287"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132715</wp:posOffset>
            </wp:positionV>
            <wp:extent cx="581850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JOINT FILING AGREEMENT</w:t>
      </w:r>
    </w:p>
    <w:p>
      <w:pPr>
        <w:spacing w:after="0" w:line="320"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auto"/>
        </w:rPr>
        <w:t>The undersigned hereby agree that this Schedule 13G (the “Schedule 13G”) with respect to the common stock of ICON PLC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Management Group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Silvestre A. Fontes</w:t>
      </w:r>
    </w:p>
    <w:p>
      <w:pPr>
        <w:sectPr>
          <w:pgSz w:w="11900" w:h="16838" w:orient="portrait"/>
          <w:cols w:equalWidth="0" w:num="1">
            <w:col w:w="9020"/>
          </w:cols>
          <w:pgMar w:left="1440" w:top="118" w:right="1439" w:bottom="0" w:gutter="0" w:footer="0" w:header="0"/>
        </w:sectPr>
      </w:pPr>
    </w:p>
    <w:bookmarkStart w:id="8" w:name="page9"/>
    <w:bookmarkEnd w:id="8"/>
    <w:p>
      <w:pPr>
        <w:ind w:left="3360"/>
        <w:spacing w:after="0"/>
        <w:rPr>
          <w:sz w:val="20"/>
          <w:szCs w:val="20"/>
          <w:color w:val="auto"/>
        </w:rPr>
      </w:pPr>
      <w:r>
        <w:rPr>
          <w:rFonts w:ascii="Arial" w:cs="Arial" w:eastAsia="Arial" w:hAnsi="Arial"/>
          <w:sz w:val="22"/>
          <w:szCs w:val="22"/>
          <w:color w:val="auto"/>
        </w:rPr>
        <w:t>Name: Silvestre A. Fontes</w:t>
      </w:r>
    </w:p>
    <w:p>
      <w:pPr>
        <w:spacing w:after="0" w:line="45"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Signor</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14, 2018</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Group Holdings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Silvestre A. Fontes</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Silvestre A. Fontes</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Signor</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14, 2018</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19"/>
          <w:szCs w:val="19"/>
          <w:color w:val="auto"/>
        </w:rPr>
        <w:t>By: Wellington Investment Advisors Holdings LLP</w:t>
      </w:r>
    </w:p>
    <w:p>
      <w:pPr>
        <w:spacing w:after="0" w:line="79"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Silvestre A. Fontes</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Silvestre A. Fontes</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Signor</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14, 2018</w:t>
      </w:r>
    </w:p>
    <w:p>
      <w:pPr>
        <w:spacing w:after="0" w:line="341"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By: Wellington Management Company LLP</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Silvestre A. Fontes</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Name: Silvestre A. Fontes</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Title: Authorized Signor</w:t>
      </w:r>
    </w:p>
    <w:p>
      <w:pPr>
        <w:spacing w:after="0" w:line="44"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 February 14, 2018</w:t>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2]"/>
      <w:numFmt w:val="upperLetter"/>
      <w:start w:val="24"/>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lvl w:ilvl="1">
      <w:lvlJc w:val="left"/>
      <w:lvlText w:val="(%2)"/>
      <w:numFmt w:val="lowerRoman"/>
      <w:start w:val="1"/>
    </w:lvl>
  </w:abstractNum>
  <w:abstractNum w:abstractNumId="6">
    <w:nsid w:val="41B71EF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2019-12-06T11:45:28Z</dcterms:created>
  <dcterms:modified xsi:type="dcterms:W3CDTF">2019-12-06T11:45:28Z</dcterms:modified>
</cp:coreProperties>
</file>